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16BD" w14:textId="77777777" w:rsidR="008C7C04" w:rsidRPr="004D2F78" w:rsidRDefault="008C7C04" w:rsidP="00BA343C">
      <w:pPr>
        <w:pStyle w:val="Heading1"/>
        <w:spacing w:before="0" w:after="120"/>
        <w:jc w:val="left"/>
        <w:rPr>
          <w:i/>
        </w:rPr>
      </w:pPr>
      <w:r w:rsidRPr="004D2F78">
        <w:t>Streamlining exploration and mining on Aboriginal land</w:t>
      </w:r>
    </w:p>
    <w:p w14:paraId="4387154B" w14:textId="105B2701" w:rsidR="008C7C04" w:rsidRPr="00BA343C" w:rsidRDefault="00C4172E" w:rsidP="00C368C2">
      <w:pPr>
        <w:spacing w:after="160" w:line="276" w:lineRule="auto"/>
        <w:rPr>
          <w:rFonts w:cstheme="minorHAnsi"/>
          <w:bCs/>
          <w:color w:val="auto"/>
          <w:sz w:val="22"/>
          <w:szCs w:val="24"/>
        </w:rPr>
      </w:pPr>
      <w:r w:rsidRPr="00BA343C">
        <w:rPr>
          <w:color w:val="auto"/>
          <w:sz w:val="22"/>
          <w:szCs w:val="24"/>
        </w:rPr>
        <w:t xml:space="preserve">On 1 December 2021, the Australian Parliament passed the Aboriginal Land Rights (Northern Territory) Amendment (Economic Empowerment) Bill 2021. </w:t>
      </w:r>
      <w:r w:rsidR="00E3515B" w:rsidRPr="00BA343C">
        <w:rPr>
          <w:color w:val="auto"/>
          <w:sz w:val="22"/>
          <w:szCs w:val="24"/>
        </w:rPr>
        <w:t>T</w:t>
      </w:r>
      <w:r w:rsidR="004C61AB" w:rsidRPr="00BA343C">
        <w:rPr>
          <w:color w:val="auto"/>
          <w:sz w:val="22"/>
          <w:szCs w:val="24"/>
        </w:rPr>
        <w:t>he Australian Govern</w:t>
      </w:r>
      <w:r w:rsidR="00A37DEF" w:rsidRPr="00BA343C">
        <w:rPr>
          <w:color w:val="auto"/>
          <w:sz w:val="22"/>
          <w:szCs w:val="24"/>
        </w:rPr>
        <w:t>ment worked with the four Northern Territory (NT)</w:t>
      </w:r>
      <w:r w:rsidR="004C61AB" w:rsidRPr="00BA343C">
        <w:rPr>
          <w:color w:val="auto"/>
          <w:sz w:val="22"/>
          <w:szCs w:val="24"/>
        </w:rPr>
        <w:t xml:space="preserve"> Land Councils to agree a package of generational reforms </w:t>
      </w:r>
      <w:r w:rsidR="00E3515B" w:rsidRPr="00BA343C">
        <w:rPr>
          <w:color w:val="auto"/>
          <w:sz w:val="22"/>
          <w:szCs w:val="24"/>
        </w:rPr>
        <w:t xml:space="preserve">to the </w:t>
      </w:r>
      <w:r w:rsidR="004C61AB" w:rsidRPr="00BA343C">
        <w:rPr>
          <w:color w:val="auto"/>
          <w:sz w:val="22"/>
          <w:szCs w:val="24"/>
        </w:rPr>
        <w:t xml:space="preserve">iconic </w:t>
      </w:r>
      <w:r w:rsidR="00E3515B" w:rsidRPr="00BA343C">
        <w:rPr>
          <w:i/>
          <w:color w:val="auto"/>
          <w:sz w:val="22"/>
          <w:szCs w:val="24"/>
        </w:rPr>
        <w:t xml:space="preserve">Aboriginal Land Rights (Northern Territory) Act 1976 </w:t>
      </w:r>
      <w:r w:rsidR="00E3515B" w:rsidRPr="00BA343C">
        <w:rPr>
          <w:color w:val="auto"/>
          <w:sz w:val="22"/>
          <w:szCs w:val="24"/>
        </w:rPr>
        <w:t>(ALRA).</w:t>
      </w:r>
      <w:r w:rsidR="00976967" w:rsidRPr="00BA343C">
        <w:rPr>
          <w:color w:val="auto"/>
          <w:sz w:val="22"/>
          <w:szCs w:val="24"/>
        </w:rPr>
        <w:t xml:space="preserve"> </w:t>
      </w:r>
      <w:r w:rsidR="004E4430" w:rsidRPr="00BA343C">
        <w:rPr>
          <w:rFonts w:cstheme="minorHAnsi"/>
          <w:bCs/>
          <w:color w:val="auto"/>
          <w:sz w:val="22"/>
          <w:szCs w:val="24"/>
        </w:rPr>
        <w:t xml:space="preserve">Traditional </w:t>
      </w:r>
      <w:r w:rsidR="0018753A" w:rsidRPr="00BA343C">
        <w:rPr>
          <w:rFonts w:cstheme="minorHAnsi"/>
          <w:bCs/>
          <w:color w:val="auto"/>
          <w:sz w:val="22"/>
          <w:szCs w:val="24"/>
        </w:rPr>
        <w:t xml:space="preserve">owners have the right to free, prior and informed consent </w:t>
      </w:r>
      <w:r w:rsidR="006E75BD" w:rsidRPr="00BA343C">
        <w:rPr>
          <w:rFonts w:cstheme="minorHAnsi"/>
          <w:bCs/>
          <w:color w:val="auto"/>
          <w:sz w:val="22"/>
          <w:szCs w:val="24"/>
        </w:rPr>
        <w:t xml:space="preserve">to land use and development proposals </w:t>
      </w:r>
      <w:r w:rsidR="0018753A" w:rsidRPr="00BA343C">
        <w:rPr>
          <w:rFonts w:cstheme="minorHAnsi"/>
          <w:bCs/>
          <w:color w:val="auto"/>
          <w:sz w:val="22"/>
          <w:szCs w:val="24"/>
        </w:rPr>
        <w:t xml:space="preserve">through the veto power. </w:t>
      </w:r>
      <w:r w:rsidR="008C7C04" w:rsidRPr="00BA343C">
        <w:rPr>
          <w:rFonts w:cstheme="minorHAnsi"/>
          <w:bCs/>
          <w:color w:val="auto"/>
          <w:sz w:val="22"/>
          <w:szCs w:val="24"/>
        </w:rPr>
        <w:t xml:space="preserve">Having the right regulatory settings and ensuring traditional owners can take advantage of opportunities on their land is critical to economic </w:t>
      </w:r>
      <w:r w:rsidR="00C368C2" w:rsidRPr="00BA343C">
        <w:rPr>
          <w:rFonts w:cstheme="minorHAnsi"/>
          <w:bCs/>
          <w:color w:val="auto"/>
          <w:sz w:val="22"/>
          <w:szCs w:val="24"/>
        </w:rPr>
        <w:t>development</w:t>
      </w:r>
      <w:r w:rsidR="004E4430" w:rsidRPr="00BA343C">
        <w:rPr>
          <w:rFonts w:cstheme="minorHAnsi"/>
          <w:bCs/>
          <w:color w:val="auto"/>
          <w:sz w:val="22"/>
          <w:szCs w:val="24"/>
        </w:rPr>
        <w:t xml:space="preserve"> and self-determination</w:t>
      </w:r>
      <w:r w:rsidR="008C7C04" w:rsidRPr="00BA343C">
        <w:rPr>
          <w:rFonts w:cstheme="minorHAnsi"/>
          <w:bCs/>
          <w:color w:val="auto"/>
          <w:sz w:val="22"/>
          <w:szCs w:val="24"/>
        </w:rPr>
        <w:t xml:space="preserve">. </w:t>
      </w:r>
    </w:p>
    <w:p w14:paraId="3048C6C6" w14:textId="26526BDC" w:rsidR="00D9479C" w:rsidRPr="00BA343C" w:rsidRDefault="00D9479C" w:rsidP="00DA4CB4">
      <w:pPr>
        <w:spacing w:after="160" w:line="276" w:lineRule="auto"/>
        <w:rPr>
          <w:rFonts w:cstheme="minorHAnsi"/>
          <w:bCs/>
          <w:color w:val="auto"/>
          <w:sz w:val="22"/>
          <w:szCs w:val="24"/>
        </w:rPr>
      </w:pPr>
      <w:r w:rsidRPr="00BA343C">
        <w:rPr>
          <w:rFonts w:cstheme="minorHAnsi"/>
          <w:bCs/>
          <w:color w:val="auto"/>
          <w:sz w:val="22"/>
          <w:szCs w:val="24"/>
        </w:rPr>
        <w:t>Amendments to the ALRA support Aboriginal Territorians to activate the</w:t>
      </w:r>
      <w:r w:rsidR="007E1A97" w:rsidRPr="00BA343C">
        <w:rPr>
          <w:rFonts w:cstheme="minorHAnsi"/>
          <w:bCs/>
          <w:color w:val="auto"/>
          <w:sz w:val="22"/>
          <w:szCs w:val="24"/>
        </w:rPr>
        <w:t xml:space="preserve"> economic</w:t>
      </w:r>
      <w:r w:rsidRPr="00BA343C">
        <w:rPr>
          <w:rFonts w:cstheme="minorHAnsi"/>
          <w:bCs/>
          <w:color w:val="auto"/>
          <w:sz w:val="22"/>
          <w:szCs w:val="24"/>
        </w:rPr>
        <w:t xml:space="preserve"> potential of Aboriginal land by streamlining arrangements for exploration and mining on that land, while protecting the interests of traditional owners</w:t>
      </w:r>
      <w:r w:rsidR="004569A6" w:rsidRPr="00BA343C">
        <w:rPr>
          <w:rFonts w:cstheme="minorHAnsi"/>
          <w:bCs/>
          <w:color w:val="auto"/>
          <w:sz w:val="22"/>
          <w:szCs w:val="24"/>
        </w:rPr>
        <w:t xml:space="preserve">. </w:t>
      </w:r>
      <w:r w:rsidR="007E1A97" w:rsidRPr="00BA343C">
        <w:rPr>
          <w:rFonts w:cstheme="minorHAnsi"/>
          <w:bCs/>
          <w:color w:val="auto"/>
          <w:sz w:val="22"/>
          <w:szCs w:val="24"/>
        </w:rPr>
        <w:t xml:space="preserve">The </w:t>
      </w:r>
      <w:r w:rsidR="007E1A97" w:rsidRPr="00BA343C">
        <w:rPr>
          <w:color w:val="auto"/>
          <w:sz w:val="22"/>
          <w:szCs w:val="24"/>
        </w:rPr>
        <w:t>amendments</w:t>
      </w:r>
      <w:r w:rsidR="0018753A" w:rsidRPr="00BA343C">
        <w:rPr>
          <w:rFonts w:cstheme="minorHAnsi"/>
          <w:bCs/>
          <w:color w:val="auto"/>
          <w:sz w:val="22"/>
          <w:szCs w:val="24"/>
        </w:rPr>
        <w:t xml:space="preserve"> also build confidence and create clarity for industry and investors.</w:t>
      </w:r>
    </w:p>
    <w:p w14:paraId="72FE5C50" w14:textId="76D670AA" w:rsidR="005A0353" w:rsidRPr="00BA343C" w:rsidRDefault="00976967" w:rsidP="00BB16B3">
      <w:pPr>
        <w:spacing w:after="160" w:line="276" w:lineRule="auto"/>
        <w:rPr>
          <w:rFonts w:cstheme="minorHAnsi"/>
          <w:bCs/>
          <w:color w:val="auto"/>
          <w:sz w:val="22"/>
          <w:szCs w:val="24"/>
        </w:rPr>
      </w:pPr>
      <w:r w:rsidRPr="00BA343C">
        <w:rPr>
          <w:rFonts w:cstheme="minorHAnsi"/>
          <w:bCs/>
          <w:color w:val="auto"/>
          <w:sz w:val="22"/>
          <w:szCs w:val="24"/>
        </w:rPr>
        <w:t>The</w:t>
      </w:r>
      <w:r w:rsidR="00BB16B3" w:rsidRPr="00BA343C">
        <w:rPr>
          <w:rFonts w:cstheme="minorHAnsi"/>
          <w:bCs/>
          <w:color w:val="auto"/>
          <w:sz w:val="22"/>
          <w:szCs w:val="24"/>
        </w:rPr>
        <w:t xml:space="preserve"> reforms </w:t>
      </w:r>
      <w:r w:rsidR="004C61AB" w:rsidRPr="00BA343C">
        <w:rPr>
          <w:rFonts w:cstheme="minorHAnsi"/>
          <w:bCs/>
          <w:color w:val="auto"/>
          <w:sz w:val="22"/>
          <w:szCs w:val="24"/>
        </w:rPr>
        <w:t>follow</w:t>
      </w:r>
      <w:r w:rsidRPr="00BA343C">
        <w:rPr>
          <w:rFonts w:cstheme="minorHAnsi"/>
          <w:bCs/>
          <w:color w:val="auto"/>
          <w:sz w:val="22"/>
          <w:szCs w:val="24"/>
        </w:rPr>
        <w:t xml:space="preserve"> from an independent review in 2013, and agreement of a working group comprising the Australian and NT Governments and the four NT Land Councils which has consulted </w:t>
      </w:r>
      <w:r w:rsidR="00FF2C32" w:rsidRPr="00BA343C">
        <w:rPr>
          <w:rFonts w:cstheme="minorHAnsi"/>
          <w:bCs/>
          <w:color w:val="auto"/>
          <w:sz w:val="22"/>
          <w:szCs w:val="24"/>
        </w:rPr>
        <w:t>resource sector peak bodies</w:t>
      </w:r>
      <w:r w:rsidR="004C61AB" w:rsidRPr="00BA343C">
        <w:rPr>
          <w:rFonts w:cstheme="minorHAnsi"/>
          <w:bCs/>
          <w:color w:val="auto"/>
          <w:sz w:val="22"/>
          <w:szCs w:val="24"/>
        </w:rPr>
        <w:t xml:space="preserve">. </w:t>
      </w:r>
    </w:p>
    <w:p w14:paraId="232866B8" w14:textId="77777777" w:rsidR="00E3515B" w:rsidRPr="00A37DEF" w:rsidRDefault="00FA19D5" w:rsidP="00BA343C">
      <w:pPr>
        <w:pStyle w:val="Heading2"/>
        <w:spacing w:after="0"/>
      </w:pPr>
      <w:r w:rsidRPr="00A37DEF">
        <w:t xml:space="preserve">Streamline </w:t>
      </w:r>
      <w:r w:rsidR="00E3515B" w:rsidRPr="00A37DEF">
        <w:t xml:space="preserve">the </w:t>
      </w:r>
      <w:r w:rsidR="00E3515B" w:rsidRPr="004C16B1">
        <w:t>application</w:t>
      </w:r>
      <w:r w:rsidR="00E3515B" w:rsidRPr="00A37DEF">
        <w:t xml:space="preserve"> and consent process for granting explora</w:t>
      </w:r>
      <w:r w:rsidRPr="00A37DEF">
        <w:t xml:space="preserve">tion </w:t>
      </w:r>
      <w:proofErr w:type="spellStart"/>
      <w:r w:rsidR="0018753A" w:rsidRPr="00A37DEF">
        <w:t>licences</w:t>
      </w:r>
      <w:proofErr w:type="spellEnd"/>
      <w:r w:rsidR="0018753A" w:rsidRPr="00A37DEF">
        <w:t xml:space="preserve"> </w:t>
      </w:r>
    </w:p>
    <w:p w14:paraId="5FF96BD8" w14:textId="1F072417" w:rsidR="00E3515B" w:rsidRPr="00BA343C" w:rsidRDefault="00A00E1D" w:rsidP="00DA4CB4">
      <w:pPr>
        <w:spacing w:after="160" w:line="276" w:lineRule="auto"/>
        <w:rPr>
          <w:rFonts w:cstheme="minorHAnsi"/>
          <w:bCs/>
          <w:color w:val="auto"/>
          <w:sz w:val="22"/>
          <w:szCs w:val="24"/>
        </w:rPr>
      </w:pPr>
      <w:r w:rsidRPr="00BA343C">
        <w:rPr>
          <w:rFonts w:cstheme="minorHAnsi"/>
          <w:bCs/>
          <w:color w:val="auto"/>
          <w:sz w:val="22"/>
          <w:szCs w:val="24"/>
        </w:rPr>
        <w:t xml:space="preserve">The amendments </w:t>
      </w:r>
      <w:r w:rsidR="004C5979" w:rsidRPr="00BA343C">
        <w:rPr>
          <w:rFonts w:cstheme="minorHAnsi"/>
          <w:bCs/>
          <w:color w:val="auto"/>
          <w:sz w:val="22"/>
          <w:szCs w:val="24"/>
        </w:rPr>
        <w:t>reduce the time and cost of processing licence application</w:t>
      </w:r>
      <w:r w:rsidR="00545836" w:rsidRPr="00BA343C">
        <w:rPr>
          <w:rFonts w:cstheme="minorHAnsi"/>
          <w:bCs/>
          <w:color w:val="auto"/>
          <w:sz w:val="22"/>
          <w:szCs w:val="24"/>
        </w:rPr>
        <w:t>s</w:t>
      </w:r>
      <w:r w:rsidR="004C5979" w:rsidRPr="00BA343C">
        <w:rPr>
          <w:rFonts w:cstheme="minorHAnsi"/>
          <w:bCs/>
          <w:color w:val="auto"/>
          <w:sz w:val="22"/>
          <w:szCs w:val="24"/>
        </w:rPr>
        <w:t xml:space="preserve"> over Aboriginal land to increase clarity, </w:t>
      </w:r>
      <w:r w:rsidRPr="00BA343C">
        <w:rPr>
          <w:rFonts w:cstheme="minorHAnsi"/>
          <w:bCs/>
          <w:color w:val="auto"/>
          <w:sz w:val="22"/>
          <w:szCs w:val="24"/>
        </w:rPr>
        <w:t xml:space="preserve">certainty, and confidence for all </w:t>
      </w:r>
      <w:r w:rsidR="00FF2C32" w:rsidRPr="00BA343C">
        <w:rPr>
          <w:rFonts w:cstheme="minorHAnsi"/>
          <w:bCs/>
          <w:color w:val="auto"/>
          <w:sz w:val="22"/>
          <w:szCs w:val="24"/>
        </w:rPr>
        <w:t>stakeholders</w:t>
      </w:r>
      <w:r w:rsidR="00CA6729" w:rsidRPr="00BA343C">
        <w:rPr>
          <w:rFonts w:cstheme="minorHAnsi"/>
          <w:bCs/>
          <w:color w:val="auto"/>
          <w:sz w:val="22"/>
          <w:szCs w:val="24"/>
        </w:rPr>
        <w:t xml:space="preserve">. </w:t>
      </w:r>
      <w:r w:rsidR="00D73B36">
        <w:rPr>
          <w:rFonts w:cstheme="minorHAnsi"/>
          <w:bCs/>
          <w:color w:val="auto"/>
          <w:sz w:val="22"/>
          <w:szCs w:val="24"/>
        </w:rPr>
        <w:t>The a</w:t>
      </w:r>
      <w:r w:rsidR="00CA6729" w:rsidRPr="00BA343C">
        <w:rPr>
          <w:rFonts w:cstheme="minorHAnsi"/>
          <w:bCs/>
          <w:color w:val="auto"/>
          <w:sz w:val="22"/>
          <w:szCs w:val="24"/>
        </w:rPr>
        <w:t>mendments:</w:t>
      </w:r>
    </w:p>
    <w:p w14:paraId="7EAB36D9" w14:textId="77777777" w:rsidR="00A37DEF" w:rsidRPr="00BA343C" w:rsidRDefault="00A37DEF" w:rsidP="00BA343C">
      <w:pPr>
        <w:spacing w:after="160" w:line="276" w:lineRule="auto"/>
        <w:rPr>
          <w:rFonts w:cstheme="minorHAnsi"/>
          <w:bCs/>
          <w:color w:val="auto"/>
          <w:sz w:val="22"/>
          <w:szCs w:val="24"/>
        </w:rPr>
        <w:sectPr w:rsidR="00A37DEF" w:rsidRPr="00BA343C" w:rsidSect="00BA343C">
          <w:headerReference w:type="default" r:id="rId11"/>
          <w:footerReference w:type="default" r:id="rId12"/>
          <w:headerReference w:type="first" r:id="rId13"/>
          <w:pgSz w:w="11906" w:h="16838"/>
          <w:pgMar w:top="720" w:right="720" w:bottom="720" w:left="720" w:header="567" w:footer="0" w:gutter="0"/>
          <w:cols w:space="708"/>
          <w:titlePg/>
          <w:docGrid w:linePitch="360"/>
        </w:sectPr>
      </w:pPr>
    </w:p>
    <w:p w14:paraId="09642CEE" w14:textId="77777777" w:rsidR="00BB16B3" w:rsidRPr="00B6745B" w:rsidRDefault="00CA6729" w:rsidP="00B6745B">
      <w:pPr>
        <w:pStyle w:val="ListParagraph"/>
        <w:numPr>
          <w:ilvl w:val="0"/>
          <w:numId w:val="19"/>
        </w:numPr>
        <w:spacing w:after="160" w:line="276" w:lineRule="auto"/>
        <w:rPr>
          <w:rFonts w:cstheme="minorHAnsi"/>
          <w:bCs/>
          <w:color w:val="auto"/>
          <w:sz w:val="22"/>
          <w:szCs w:val="24"/>
        </w:rPr>
      </w:pPr>
      <w:r w:rsidRPr="00B6745B">
        <w:rPr>
          <w:rFonts w:cstheme="minorHAnsi"/>
          <w:bCs/>
          <w:color w:val="auto"/>
          <w:sz w:val="22"/>
          <w:szCs w:val="24"/>
        </w:rPr>
        <w:t>Enable exploration licence applicants to amend their original applications in certai</w:t>
      </w:r>
      <w:bookmarkStart w:id="0" w:name="_GoBack"/>
      <w:bookmarkEnd w:id="0"/>
      <w:r w:rsidRPr="00B6745B">
        <w:rPr>
          <w:rFonts w:cstheme="minorHAnsi"/>
          <w:bCs/>
          <w:color w:val="auto"/>
          <w:sz w:val="22"/>
          <w:szCs w:val="24"/>
        </w:rPr>
        <w:t xml:space="preserve">n circumstances without being required to recommence the application process, saving a minimum of three months, </w:t>
      </w:r>
      <w:r w:rsidR="007E1A97" w:rsidRPr="00B6745B">
        <w:rPr>
          <w:rFonts w:cstheme="minorHAnsi"/>
          <w:bCs/>
          <w:color w:val="auto"/>
          <w:sz w:val="22"/>
          <w:szCs w:val="24"/>
        </w:rPr>
        <w:t>and potentially up to two years</w:t>
      </w:r>
      <w:r w:rsidR="00C368C2" w:rsidRPr="00B6745B">
        <w:rPr>
          <w:rFonts w:cstheme="minorHAnsi"/>
          <w:bCs/>
          <w:color w:val="auto"/>
          <w:sz w:val="22"/>
          <w:szCs w:val="24"/>
        </w:rPr>
        <w:t>.</w:t>
      </w:r>
    </w:p>
    <w:p w14:paraId="631C50F2" w14:textId="77777777" w:rsidR="00BB16B3" w:rsidRPr="00B6745B" w:rsidRDefault="001C7D45" w:rsidP="00B6745B">
      <w:pPr>
        <w:pStyle w:val="ListParagraph"/>
        <w:numPr>
          <w:ilvl w:val="0"/>
          <w:numId w:val="19"/>
        </w:numPr>
        <w:spacing w:after="160" w:line="276" w:lineRule="auto"/>
        <w:rPr>
          <w:rFonts w:cstheme="minorHAnsi"/>
          <w:bCs/>
          <w:color w:val="auto"/>
          <w:sz w:val="22"/>
          <w:szCs w:val="24"/>
        </w:rPr>
      </w:pPr>
      <w:r w:rsidRPr="00B6745B">
        <w:rPr>
          <w:rFonts w:cstheme="minorHAnsi"/>
          <w:bCs/>
          <w:color w:val="auto"/>
          <w:sz w:val="22"/>
          <w:szCs w:val="24"/>
        </w:rPr>
        <w:t xml:space="preserve">Give </w:t>
      </w:r>
      <w:r w:rsidR="00D85316" w:rsidRPr="00B6745B">
        <w:rPr>
          <w:rFonts w:cstheme="minorHAnsi"/>
          <w:bCs/>
          <w:color w:val="auto"/>
          <w:sz w:val="22"/>
          <w:szCs w:val="24"/>
        </w:rPr>
        <w:t>Land Councils greater flexibility to determine how traditional Aboriginal owners are consulted, with the agreemen</w:t>
      </w:r>
      <w:r w:rsidR="007E1A97" w:rsidRPr="00B6745B">
        <w:rPr>
          <w:rFonts w:cstheme="minorHAnsi"/>
          <w:bCs/>
          <w:color w:val="auto"/>
          <w:sz w:val="22"/>
          <w:szCs w:val="24"/>
        </w:rPr>
        <w:t>t of the applicant in each case</w:t>
      </w:r>
      <w:r w:rsidR="00D85316" w:rsidRPr="00B6745B">
        <w:rPr>
          <w:rFonts w:cstheme="minorHAnsi"/>
          <w:bCs/>
          <w:color w:val="auto"/>
          <w:sz w:val="22"/>
          <w:szCs w:val="24"/>
        </w:rPr>
        <w:t>. This will support greater efficiency</w:t>
      </w:r>
      <w:r w:rsidR="00C368C2" w:rsidRPr="00B6745B">
        <w:rPr>
          <w:rFonts w:cstheme="minorHAnsi"/>
          <w:bCs/>
          <w:color w:val="auto"/>
          <w:sz w:val="22"/>
          <w:szCs w:val="24"/>
        </w:rPr>
        <w:t xml:space="preserve"> and </w:t>
      </w:r>
      <w:r w:rsidR="00D85316" w:rsidRPr="00B6745B">
        <w:rPr>
          <w:rFonts w:cstheme="minorHAnsi"/>
          <w:bCs/>
          <w:color w:val="auto"/>
          <w:sz w:val="22"/>
          <w:szCs w:val="24"/>
        </w:rPr>
        <w:t>cost savings</w:t>
      </w:r>
      <w:r w:rsidR="007E1A97" w:rsidRPr="00B6745B">
        <w:rPr>
          <w:rFonts w:cstheme="minorHAnsi"/>
          <w:bCs/>
          <w:color w:val="auto"/>
          <w:sz w:val="22"/>
          <w:szCs w:val="24"/>
        </w:rPr>
        <w:t xml:space="preserve">, while retaining </w:t>
      </w:r>
      <w:r w:rsidR="006E75BD" w:rsidRPr="00B6745B">
        <w:rPr>
          <w:rFonts w:cstheme="minorHAnsi"/>
          <w:bCs/>
          <w:color w:val="auto"/>
          <w:sz w:val="22"/>
          <w:szCs w:val="24"/>
        </w:rPr>
        <w:t xml:space="preserve">both </w:t>
      </w:r>
      <w:r w:rsidR="007E1A97" w:rsidRPr="00B6745B">
        <w:rPr>
          <w:rFonts w:cstheme="minorHAnsi"/>
          <w:bCs/>
          <w:color w:val="auto"/>
          <w:sz w:val="22"/>
          <w:szCs w:val="24"/>
        </w:rPr>
        <w:t>the significant consultative and representative functions of Land Councils under the ALRA</w:t>
      </w:r>
      <w:r w:rsidR="006E75BD" w:rsidRPr="00B6745B">
        <w:rPr>
          <w:rFonts w:cstheme="minorHAnsi"/>
          <w:bCs/>
          <w:color w:val="auto"/>
          <w:sz w:val="22"/>
          <w:szCs w:val="24"/>
        </w:rPr>
        <w:t xml:space="preserve"> and traditional owners’ veto power</w:t>
      </w:r>
      <w:r w:rsidR="007E1A97" w:rsidRPr="00B6745B">
        <w:rPr>
          <w:rFonts w:cstheme="minorHAnsi"/>
          <w:bCs/>
          <w:color w:val="auto"/>
          <w:sz w:val="22"/>
          <w:szCs w:val="24"/>
        </w:rPr>
        <w:t>.</w:t>
      </w:r>
    </w:p>
    <w:p w14:paraId="2E8BB76F" w14:textId="77777777" w:rsidR="00E3515B" w:rsidRPr="00BA343C" w:rsidRDefault="00FA19D5" w:rsidP="00BA343C">
      <w:pPr>
        <w:pStyle w:val="Heading2"/>
        <w:spacing w:after="0"/>
      </w:pPr>
      <w:r w:rsidRPr="00BA343C">
        <w:t>Reduce red tape while maintaining important Ministerial oversight</w:t>
      </w:r>
    </w:p>
    <w:p w14:paraId="4108E4F5" w14:textId="77777777" w:rsidR="00FA19D5" w:rsidRPr="00BA343C" w:rsidRDefault="00FA19D5" w:rsidP="00DA4CB4">
      <w:pPr>
        <w:spacing w:after="160" w:line="276" w:lineRule="auto"/>
        <w:rPr>
          <w:rFonts w:cstheme="minorHAnsi"/>
          <w:color w:val="auto"/>
          <w:sz w:val="22"/>
          <w:szCs w:val="22"/>
          <w:lang w:val="en-US"/>
        </w:rPr>
      </w:pPr>
      <w:r w:rsidRPr="00BA343C">
        <w:rPr>
          <w:rFonts w:cstheme="minorHAnsi"/>
          <w:bCs/>
          <w:color w:val="auto"/>
          <w:sz w:val="22"/>
          <w:szCs w:val="22"/>
        </w:rPr>
        <w:t>These reforms simplify key steps in the approvals process by removing the requirement for the</w:t>
      </w:r>
      <w:r w:rsidRPr="00BA343C">
        <w:rPr>
          <w:rFonts w:cstheme="minorHAnsi"/>
          <w:color w:val="auto"/>
          <w:sz w:val="22"/>
          <w:szCs w:val="22"/>
          <w:lang w:val="en-US"/>
        </w:rPr>
        <w:t xml:space="preserve"> consent of the Minister for Indigenous Australians for standard exploration </w:t>
      </w:r>
      <w:proofErr w:type="spellStart"/>
      <w:r w:rsidRPr="00BA343C">
        <w:rPr>
          <w:rFonts w:cstheme="minorHAnsi"/>
          <w:color w:val="auto"/>
          <w:sz w:val="22"/>
          <w:szCs w:val="22"/>
          <w:lang w:val="en-US"/>
        </w:rPr>
        <w:t>licen</w:t>
      </w:r>
      <w:r w:rsidR="00FF2C32" w:rsidRPr="00BA343C">
        <w:rPr>
          <w:rFonts w:cstheme="minorHAnsi"/>
          <w:color w:val="auto"/>
          <w:sz w:val="22"/>
          <w:szCs w:val="22"/>
          <w:lang w:val="en-US"/>
        </w:rPr>
        <w:t>c</w:t>
      </w:r>
      <w:r w:rsidRPr="00BA343C">
        <w:rPr>
          <w:rFonts w:cstheme="minorHAnsi"/>
          <w:color w:val="auto"/>
          <w:sz w:val="22"/>
          <w:szCs w:val="22"/>
          <w:lang w:val="en-US"/>
        </w:rPr>
        <w:t>es</w:t>
      </w:r>
      <w:proofErr w:type="spellEnd"/>
      <w:r w:rsidRPr="00BA343C">
        <w:rPr>
          <w:rFonts w:cstheme="minorHAnsi"/>
          <w:color w:val="auto"/>
          <w:sz w:val="22"/>
          <w:szCs w:val="22"/>
          <w:lang w:val="en-US"/>
        </w:rPr>
        <w:t xml:space="preserve"> that have been approved by traditional owners, while </w:t>
      </w:r>
      <w:r w:rsidRPr="00BA343C">
        <w:rPr>
          <w:color w:val="auto"/>
          <w:sz w:val="22"/>
          <w:szCs w:val="22"/>
        </w:rPr>
        <w:t>maintaining</w:t>
      </w:r>
      <w:r w:rsidRPr="00BA343C">
        <w:rPr>
          <w:rFonts w:cstheme="minorHAnsi"/>
          <w:color w:val="auto"/>
          <w:sz w:val="22"/>
          <w:szCs w:val="22"/>
          <w:lang w:val="en-US"/>
        </w:rPr>
        <w:t xml:space="preserve"> Ministerial consent for significant proposals. </w:t>
      </w:r>
    </w:p>
    <w:p w14:paraId="0D44575C" w14:textId="77777777" w:rsidR="007E1A97" w:rsidRPr="00B6745B" w:rsidRDefault="00775997" w:rsidP="00B6745B">
      <w:pPr>
        <w:pStyle w:val="ListParagraph"/>
        <w:numPr>
          <w:ilvl w:val="0"/>
          <w:numId w:val="19"/>
        </w:numPr>
        <w:spacing w:after="160" w:line="276" w:lineRule="auto"/>
        <w:rPr>
          <w:rFonts w:cstheme="minorHAnsi"/>
          <w:bCs/>
          <w:color w:val="auto"/>
          <w:sz w:val="22"/>
          <w:szCs w:val="24"/>
        </w:rPr>
      </w:pPr>
      <w:r w:rsidRPr="00B6745B">
        <w:rPr>
          <w:rFonts w:cstheme="minorHAnsi"/>
          <w:bCs/>
          <w:color w:val="auto"/>
          <w:sz w:val="22"/>
          <w:szCs w:val="24"/>
        </w:rPr>
        <w:t>R</w:t>
      </w:r>
      <w:r w:rsidR="00E3515B" w:rsidRPr="00B6745B">
        <w:rPr>
          <w:rFonts w:cstheme="minorHAnsi"/>
          <w:bCs/>
          <w:color w:val="auto"/>
          <w:sz w:val="22"/>
          <w:szCs w:val="24"/>
        </w:rPr>
        <w:t>epeal</w:t>
      </w:r>
      <w:r w:rsidR="00FA19D5" w:rsidRPr="00B6745B">
        <w:rPr>
          <w:rFonts w:cstheme="minorHAnsi"/>
          <w:bCs/>
          <w:color w:val="auto"/>
          <w:sz w:val="22"/>
          <w:szCs w:val="24"/>
        </w:rPr>
        <w:t xml:space="preserve">ing </w:t>
      </w:r>
      <w:r w:rsidR="00E3515B" w:rsidRPr="00B6745B">
        <w:rPr>
          <w:rFonts w:cstheme="minorHAnsi"/>
          <w:bCs/>
          <w:color w:val="auto"/>
          <w:sz w:val="22"/>
          <w:szCs w:val="24"/>
        </w:rPr>
        <w:t>th</w:t>
      </w:r>
      <w:r w:rsidRPr="00B6745B">
        <w:rPr>
          <w:rFonts w:cstheme="minorHAnsi"/>
          <w:bCs/>
          <w:color w:val="auto"/>
          <w:sz w:val="22"/>
          <w:szCs w:val="24"/>
        </w:rPr>
        <w:t xml:space="preserve">e Minister’s role </w:t>
      </w:r>
      <w:r w:rsidR="00E3515B" w:rsidRPr="00B6745B">
        <w:rPr>
          <w:rFonts w:cstheme="minorHAnsi"/>
          <w:bCs/>
          <w:color w:val="auto"/>
          <w:sz w:val="22"/>
          <w:szCs w:val="24"/>
        </w:rPr>
        <w:t xml:space="preserve">in </w:t>
      </w:r>
      <w:r w:rsidR="003639E5" w:rsidRPr="00B6745B">
        <w:rPr>
          <w:rFonts w:cstheme="minorHAnsi"/>
          <w:bCs/>
          <w:color w:val="auto"/>
          <w:sz w:val="22"/>
          <w:szCs w:val="24"/>
        </w:rPr>
        <w:t xml:space="preserve">giving consent to </w:t>
      </w:r>
      <w:r w:rsidR="00E3515B" w:rsidRPr="00B6745B">
        <w:rPr>
          <w:rFonts w:cstheme="minorHAnsi"/>
          <w:bCs/>
          <w:color w:val="auto"/>
          <w:sz w:val="22"/>
          <w:szCs w:val="24"/>
        </w:rPr>
        <w:t xml:space="preserve">the grant of exploration </w:t>
      </w:r>
      <w:r w:rsidR="00272295" w:rsidRPr="00B6745B">
        <w:rPr>
          <w:rFonts w:cstheme="minorHAnsi"/>
          <w:bCs/>
          <w:color w:val="auto"/>
          <w:sz w:val="22"/>
          <w:szCs w:val="24"/>
        </w:rPr>
        <w:t>licen</w:t>
      </w:r>
      <w:r w:rsidR="00B1176C" w:rsidRPr="00B6745B">
        <w:rPr>
          <w:rFonts w:cstheme="minorHAnsi"/>
          <w:bCs/>
          <w:color w:val="auto"/>
          <w:sz w:val="22"/>
          <w:szCs w:val="24"/>
        </w:rPr>
        <w:t>c</w:t>
      </w:r>
      <w:r w:rsidR="00272295" w:rsidRPr="00B6745B">
        <w:rPr>
          <w:rFonts w:cstheme="minorHAnsi"/>
          <w:bCs/>
          <w:color w:val="auto"/>
          <w:sz w:val="22"/>
          <w:szCs w:val="24"/>
        </w:rPr>
        <w:t>es</w:t>
      </w:r>
      <w:r w:rsidR="003639E5" w:rsidRPr="00B6745B">
        <w:rPr>
          <w:rFonts w:cstheme="minorHAnsi"/>
          <w:bCs/>
          <w:color w:val="auto"/>
          <w:sz w:val="22"/>
          <w:szCs w:val="24"/>
        </w:rPr>
        <w:t xml:space="preserve"> </w:t>
      </w:r>
      <w:r w:rsidR="00E3515B" w:rsidRPr="00B6745B">
        <w:rPr>
          <w:rFonts w:cstheme="minorHAnsi"/>
          <w:bCs/>
          <w:color w:val="auto"/>
          <w:sz w:val="22"/>
          <w:szCs w:val="24"/>
        </w:rPr>
        <w:t>by the NT</w:t>
      </w:r>
      <w:r w:rsidR="003639E5" w:rsidRPr="00B6745B">
        <w:rPr>
          <w:rFonts w:cstheme="minorHAnsi"/>
          <w:bCs/>
          <w:color w:val="auto"/>
          <w:sz w:val="22"/>
          <w:szCs w:val="24"/>
        </w:rPr>
        <w:t xml:space="preserve"> </w:t>
      </w:r>
      <w:r w:rsidRPr="00B6745B">
        <w:rPr>
          <w:rFonts w:cstheme="minorHAnsi"/>
          <w:bCs/>
          <w:color w:val="auto"/>
          <w:sz w:val="22"/>
          <w:szCs w:val="24"/>
        </w:rPr>
        <w:t xml:space="preserve">Minister </w:t>
      </w:r>
      <w:r w:rsidR="003639E5" w:rsidRPr="00B6745B">
        <w:rPr>
          <w:rFonts w:cstheme="minorHAnsi"/>
          <w:bCs/>
          <w:color w:val="auto"/>
          <w:sz w:val="22"/>
          <w:szCs w:val="24"/>
        </w:rPr>
        <w:t>in most instances</w:t>
      </w:r>
      <w:r w:rsidR="00FA19D5" w:rsidRPr="00B6745B">
        <w:rPr>
          <w:rFonts w:cstheme="minorHAnsi"/>
          <w:bCs/>
          <w:color w:val="auto"/>
          <w:sz w:val="22"/>
          <w:szCs w:val="24"/>
        </w:rPr>
        <w:t xml:space="preserve"> </w:t>
      </w:r>
      <w:r w:rsidR="00E3515B" w:rsidRPr="00B6745B">
        <w:rPr>
          <w:rFonts w:cstheme="minorHAnsi"/>
          <w:bCs/>
          <w:color w:val="auto"/>
          <w:sz w:val="22"/>
          <w:szCs w:val="24"/>
        </w:rPr>
        <w:t xml:space="preserve">will make processing exploration </w:t>
      </w:r>
      <w:r w:rsidR="00272295" w:rsidRPr="00B6745B">
        <w:rPr>
          <w:rFonts w:cstheme="minorHAnsi"/>
          <w:bCs/>
          <w:color w:val="auto"/>
          <w:sz w:val="22"/>
          <w:szCs w:val="24"/>
        </w:rPr>
        <w:t>licen</w:t>
      </w:r>
      <w:r w:rsidR="00B1176C" w:rsidRPr="00B6745B">
        <w:rPr>
          <w:rFonts w:cstheme="minorHAnsi"/>
          <w:bCs/>
          <w:color w:val="auto"/>
          <w:sz w:val="22"/>
          <w:szCs w:val="24"/>
        </w:rPr>
        <w:t>c</w:t>
      </w:r>
      <w:r w:rsidR="00272295" w:rsidRPr="00B6745B">
        <w:rPr>
          <w:rFonts w:cstheme="minorHAnsi"/>
          <w:bCs/>
          <w:color w:val="auto"/>
          <w:sz w:val="22"/>
          <w:szCs w:val="24"/>
        </w:rPr>
        <w:t>es</w:t>
      </w:r>
      <w:r w:rsidR="003639E5" w:rsidRPr="00B6745B">
        <w:rPr>
          <w:rFonts w:cstheme="minorHAnsi"/>
          <w:bCs/>
          <w:color w:val="auto"/>
          <w:sz w:val="22"/>
          <w:szCs w:val="24"/>
        </w:rPr>
        <w:t xml:space="preserve"> </w:t>
      </w:r>
      <w:r w:rsidR="00E3515B" w:rsidRPr="00B6745B">
        <w:rPr>
          <w:rFonts w:cstheme="minorHAnsi"/>
          <w:bCs/>
          <w:color w:val="auto"/>
          <w:sz w:val="22"/>
          <w:szCs w:val="24"/>
        </w:rPr>
        <w:t>more efficient by leaving consent with the Land Council a</w:t>
      </w:r>
      <w:r w:rsidRPr="00B6745B">
        <w:rPr>
          <w:rFonts w:cstheme="minorHAnsi"/>
          <w:bCs/>
          <w:color w:val="auto"/>
          <w:sz w:val="22"/>
          <w:szCs w:val="24"/>
        </w:rPr>
        <w:t>nd NT Minister, saving up to thirty days.</w:t>
      </w:r>
    </w:p>
    <w:p w14:paraId="11D81B6C" w14:textId="77777777" w:rsidR="007E1A97" w:rsidRPr="00B6745B" w:rsidRDefault="00775997" w:rsidP="00B6745B">
      <w:pPr>
        <w:pStyle w:val="ListParagraph"/>
        <w:numPr>
          <w:ilvl w:val="0"/>
          <w:numId w:val="19"/>
        </w:numPr>
        <w:spacing w:after="160" w:line="276" w:lineRule="auto"/>
        <w:rPr>
          <w:rFonts w:cstheme="minorHAnsi"/>
          <w:bCs/>
          <w:color w:val="auto"/>
          <w:sz w:val="22"/>
          <w:szCs w:val="24"/>
        </w:rPr>
      </w:pPr>
      <w:r w:rsidRPr="00B6745B">
        <w:rPr>
          <w:rFonts w:cstheme="minorHAnsi"/>
          <w:bCs/>
          <w:color w:val="auto"/>
          <w:sz w:val="22"/>
          <w:szCs w:val="24"/>
        </w:rPr>
        <w:t>Importantly, t</w:t>
      </w:r>
      <w:r w:rsidR="00545836" w:rsidRPr="00B6745B">
        <w:rPr>
          <w:rFonts w:cstheme="minorHAnsi"/>
          <w:bCs/>
          <w:color w:val="auto"/>
          <w:sz w:val="22"/>
          <w:szCs w:val="24"/>
        </w:rPr>
        <w:t>he Mini</w:t>
      </w:r>
      <w:r w:rsidR="00D85316" w:rsidRPr="00B6745B">
        <w:rPr>
          <w:rFonts w:cstheme="minorHAnsi"/>
          <w:bCs/>
          <w:color w:val="auto"/>
          <w:sz w:val="22"/>
          <w:szCs w:val="24"/>
        </w:rPr>
        <w:t xml:space="preserve">ster </w:t>
      </w:r>
      <w:r w:rsidRPr="00B6745B">
        <w:rPr>
          <w:rFonts w:cstheme="minorHAnsi"/>
          <w:bCs/>
          <w:color w:val="auto"/>
          <w:sz w:val="22"/>
          <w:szCs w:val="24"/>
        </w:rPr>
        <w:t xml:space="preserve">will retain </w:t>
      </w:r>
      <w:r w:rsidR="00D85316" w:rsidRPr="00B6745B">
        <w:rPr>
          <w:rFonts w:cstheme="minorHAnsi"/>
          <w:bCs/>
          <w:color w:val="auto"/>
          <w:sz w:val="22"/>
          <w:szCs w:val="24"/>
        </w:rPr>
        <w:t xml:space="preserve">a consent </w:t>
      </w:r>
      <w:r w:rsidRPr="00B6745B">
        <w:rPr>
          <w:rFonts w:cstheme="minorHAnsi"/>
          <w:bCs/>
          <w:color w:val="auto"/>
          <w:sz w:val="22"/>
          <w:szCs w:val="24"/>
        </w:rPr>
        <w:t>role in relation</w:t>
      </w:r>
      <w:r w:rsidR="00545836" w:rsidRPr="00B6745B">
        <w:rPr>
          <w:rFonts w:cstheme="minorHAnsi"/>
          <w:bCs/>
          <w:color w:val="auto"/>
          <w:sz w:val="22"/>
          <w:szCs w:val="24"/>
        </w:rPr>
        <w:t xml:space="preserve"> to high value exploration licences, determining national interest issues associated with proposed mining interests, cancellation of exploration licences and mining interests in certain circumstances, and the grant of mineral leases if an explorer wants to proceed to production.</w:t>
      </w:r>
    </w:p>
    <w:p w14:paraId="2AA0BE26" w14:textId="77777777" w:rsidR="00DC1F41" w:rsidRPr="00B6745B" w:rsidRDefault="00B1176C" w:rsidP="00B6745B">
      <w:pPr>
        <w:pStyle w:val="ListParagraph"/>
        <w:numPr>
          <w:ilvl w:val="0"/>
          <w:numId w:val="19"/>
        </w:numPr>
        <w:spacing w:after="160" w:line="276" w:lineRule="auto"/>
        <w:rPr>
          <w:rFonts w:cstheme="minorHAnsi"/>
          <w:bCs/>
          <w:color w:val="auto"/>
          <w:sz w:val="22"/>
          <w:szCs w:val="24"/>
        </w:rPr>
      </w:pPr>
      <w:r w:rsidRPr="00B6745B">
        <w:rPr>
          <w:rFonts w:cstheme="minorHAnsi"/>
          <w:bCs/>
          <w:color w:val="auto"/>
          <w:sz w:val="22"/>
          <w:szCs w:val="24"/>
        </w:rPr>
        <w:t>Clarification of t</w:t>
      </w:r>
      <w:r w:rsidR="00D85316" w:rsidRPr="00B6745B">
        <w:rPr>
          <w:rFonts w:cstheme="minorHAnsi"/>
          <w:bCs/>
          <w:color w:val="auto"/>
          <w:sz w:val="22"/>
          <w:szCs w:val="24"/>
        </w:rPr>
        <w:t>he Minister</w:t>
      </w:r>
      <w:r w:rsidRPr="00B6745B">
        <w:rPr>
          <w:rFonts w:cstheme="minorHAnsi"/>
          <w:bCs/>
          <w:color w:val="auto"/>
          <w:sz w:val="22"/>
          <w:szCs w:val="24"/>
        </w:rPr>
        <w:t>’s</w:t>
      </w:r>
      <w:r w:rsidR="00D85316" w:rsidRPr="00B6745B">
        <w:rPr>
          <w:rFonts w:cstheme="minorHAnsi"/>
          <w:bCs/>
          <w:color w:val="auto"/>
          <w:sz w:val="22"/>
          <w:szCs w:val="24"/>
        </w:rPr>
        <w:t xml:space="preserve"> powers to cancel exploration and mini</w:t>
      </w:r>
      <w:r w:rsidR="00775997" w:rsidRPr="00B6745B">
        <w:rPr>
          <w:rFonts w:cstheme="minorHAnsi"/>
          <w:bCs/>
          <w:color w:val="auto"/>
          <w:sz w:val="22"/>
          <w:szCs w:val="24"/>
        </w:rPr>
        <w:t>ng interests granted by the NT Mining Minister</w:t>
      </w:r>
      <w:r w:rsidR="00D85316" w:rsidRPr="00B6745B">
        <w:rPr>
          <w:rFonts w:cstheme="minorHAnsi"/>
          <w:bCs/>
          <w:color w:val="auto"/>
          <w:sz w:val="22"/>
          <w:szCs w:val="24"/>
        </w:rPr>
        <w:t xml:space="preserve"> in certain circumstances</w:t>
      </w:r>
      <w:r w:rsidRPr="00B6745B">
        <w:rPr>
          <w:rFonts w:cstheme="minorHAnsi"/>
          <w:bCs/>
          <w:color w:val="auto"/>
          <w:sz w:val="22"/>
          <w:szCs w:val="24"/>
        </w:rPr>
        <w:t xml:space="preserve"> so </w:t>
      </w:r>
      <w:r w:rsidR="006100BA" w:rsidRPr="00B6745B">
        <w:rPr>
          <w:rFonts w:cstheme="minorHAnsi"/>
          <w:bCs/>
          <w:color w:val="auto"/>
          <w:sz w:val="22"/>
          <w:szCs w:val="24"/>
        </w:rPr>
        <w:t xml:space="preserve">that these powers cannot be </w:t>
      </w:r>
      <w:r w:rsidR="00657AC8" w:rsidRPr="00B6745B">
        <w:rPr>
          <w:rFonts w:cstheme="minorHAnsi"/>
          <w:bCs/>
          <w:color w:val="auto"/>
          <w:sz w:val="22"/>
          <w:szCs w:val="24"/>
        </w:rPr>
        <w:t>delegated to the NT Mining Minister.</w:t>
      </w:r>
    </w:p>
    <w:p w14:paraId="73AB8F51" w14:textId="77777777" w:rsidR="00E3515B" w:rsidRPr="00A37DEF" w:rsidRDefault="00C31820" w:rsidP="00BA343C">
      <w:pPr>
        <w:pStyle w:val="Heading2"/>
        <w:spacing w:after="0"/>
      </w:pPr>
      <w:r w:rsidRPr="00A37DEF">
        <w:t xml:space="preserve">Better align the ALRA </w:t>
      </w:r>
      <w:r w:rsidR="00E3515B" w:rsidRPr="00A37DEF">
        <w:t>with related NT legislation</w:t>
      </w:r>
    </w:p>
    <w:p w14:paraId="17A61CA0" w14:textId="2F82327F" w:rsidR="00003585" w:rsidRPr="00BA343C" w:rsidRDefault="00D85316" w:rsidP="00DA4CB4">
      <w:pPr>
        <w:spacing w:after="160" w:line="276" w:lineRule="auto"/>
        <w:rPr>
          <w:rFonts w:cstheme="minorHAnsi"/>
          <w:color w:val="auto"/>
          <w:sz w:val="22"/>
          <w:szCs w:val="24"/>
        </w:rPr>
      </w:pPr>
      <w:r w:rsidRPr="00BA343C">
        <w:rPr>
          <w:rFonts w:cstheme="minorHAnsi"/>
          <w:color w:val="auto"/>
          <w:sz w:val="22"/>
          <w:szCs w:val="24"/>
        </w:rPr>
        <w:t xml:space="preserve">Minor amendments </w:t>
      </w:r>
      <w:r w:rsidR="00DA4CB4" w:rsidRPr="00BA343C">
        <w:rPr>
          <w:rFonts w:cstheme="minorHAnsi"/>
          <w:color w:val="auto"/>
          <w:sz w:val="22"/>
          <w:szCs w:val="24"/>
        </w:rPr>
        <w:t xml:space="preserve">have </w:t>
      </w:r>
      <w:r w:rsidR="00B1176C" w:rsidRPr="00BA343C">
        <w:rPr>
          <w:rFonts w:cstheme="minorHAnsi"/>
          <w:color w:val="auto"/>
          <w:sz w:val="22"/>
          <w:szCs w:val="24"/>
        </w:rPr>
        <w:t>update</w:t>
      </w:r>
      <w:r w:rsidR="00DA4CB4" w:rsidRPr="00BA343C">
        <w:rPr>
          <w:rFonts w:cstheme="minorHAnsi"/>
          <w:color w:val="auto"/>
          <w:sz w:val="22"/>
          <w:szCs w:val="24"/>
        </w:rPr>
        <w:t>d</w:t>
      </w:r>
      <w:r w:rsidR="00B1176C" w:rsidRPr="00BA343C">
        <w:rPr>
          <w:rFonts w:cstheme="minorHAnsi"/>
          <w:color w:val="auto"/>
          <w:sz w:val="22"/>
          <w:szCs w:val="24"/>
        </w:rPr>
        <w:t xml:space="preserve"> </w:t>
      </w:r>
      <w:r w:rsidRPr="00BA343C">
        <w:rPr>
          <w:rFonts w:cstheme="minorHAnsi"/>
          <w:color w:val="auto"/>
          <w:sz w:val="22"/>
          <w:szCs w:val="24"/>
        </w:rPr>
        <w:t xml:space="preserve">some definitions in the ALRA to accurately reflect contemporary forms of resource titles under related NT legislation. </w:t>
      </w:r>
      <w:r w:rsidR="005A62D8" w:rsidRPr="00BA343C">
        <w:rPr>
          <w:rFonts w:ascii="Calibri" w:eastAsia="Calibri" w:hAnsi="Calibri" w:cs="Times New Roman"/>
          <w:color w:val="auto"/>
          <w:sz w:val="22"/>
          <w:szCs w:val="24"/>
        </w:rPr>
        <w:t xml:space="preserve">For example, the </w:t>
      </w:r>
      <w:r w:rsidR="00C4172E" w:rsidRPr="00BA343C">
        <w:rPr>
          <w:rFonts w:ascii="Calibri" w:eastAsia="Calibri" w:hAnsi="Calibri" w:cs="Times New Roman"/>
          <w:color w:val="auto"/>
          <w:sz w:val="22"/>
          <w:szCs w:val="24"/>
        </w:rPr>
        <w:t xml:space="preserve">amendments </w:t>
      </w:r>
      <w:r w:rsidR="005A62D8" w:rsidRPr="00BA343C">
        <w:rPr>
          <w:rFonts w:ascii="Calibri" w:eastAsia="Calibri" w:hAnsi="Calibri" w:cs="Times New Roman"/>
          <w:color w:val="auto"/>
          <w:sz w:val="22"/>
          <w:szCs w:val="24"/>
        </w:rPr>
        <w:t>repeal</w:t>
      </w:r>
      <w:r w:rsidR="00CA6729" w:rsidRPr="00BA343C">
        <w:rPr>
          <w:rFonts w:ascii="Calibri" w:eastAsia="Calibri" w:hAnsi="Calibri" w:cs="Times New Roman"/>
          <w:color w:val="auto"/>
          <w:sz w:val="22"/>
          <w:szCs w:val="24"/>
        </w:rPr>
        <w:t xml:space="preserve"> s</w:t>
      </w:r>
      <w:r w:rsidR="00E0678E" w:rsidRPr="00BA343C">
        <w:rPr>
          <w:rFonts w:ascii="Calibri" w:eastAsia="Calibri" w:hAnsi="Calibri" w:cs="Times New Roman"/>
          <w:color w:val="auto"/>
          <w:sz w:val="22"/>
          <w:szCs w:val="24"/>
        </w:rPr>
        <w:t xml:space="preserve">ection 75 as it </w:t>
      </w:r>
      <w:r w:rsidR="00E3515B" w:rsidRPr="00BA343C">
        <w:rPr>
          <w:rFonts w:ascii="Calibri" w:eastAsia="Calibri" w:hAnsi="Calibri" w:cs="Times New Roman"/>
          <w:color w:val="auto"/>
          <w:sz w:val="22"/>
          <w:szCs w:val="24"/>
        </w:rPr>
        <w:t>rel</w:t>
      </w:r>
      <w:r w:rsidR="00E0678E" w:rsidRPr="00BA343C">
        <w:rPr>
          <w:rFonts w:ascii="Calibri" w:eastAsia="Calibri" w:hAnsi="Calibri" w:cs="Times New Roman"/>
          <w:color w:val="auto"/>
          <w:sz w:val="22"/>
          <w:szCs w:val="24"/>
        </w:rPr>
        <w:t>at</w:t>
      </w:r>
      <w:r w:rsidR="00B1176C" w:rsidRPr="00BA343C">
        <w:rPr>
          <w:rFonts w:ascii="Calibri" w:eastAsia="Calibri" w:hAnsi="Calibri" w:cs="Times New Roman"/>
          <w:color w:val="auto"/>
          <w:sz w:val="22"/>
          <w:szCs w:val="24"/>
        </w:rPr>
        <w:t>es</w:t>
      </w:r>
      <w:r w:rsidR="00E0678E" w:rsidRPr="00BA343C">
        <w:rPr>
          <w:rFonts w:ascii="Calibri" w:eastAsia="Calibri" w:hAnsi="Calibri" w:cs="Times New Roman"/>
          <w:color w:val="auto"/>
          <w:sz w:val="22"/>
          <w:szCs w:val="24"/>
        </w:rPr>
        <w:t xml:space="preserve"> to miner’s rights which</w:t>
      </w:r>
      <w:r w:rsidR="00E3515B" w:rsidRPr="00BA343C">
        <w:rPr>
          <w:rFonts w:ascii="Calibri" w:eastAsia="Calibri" w:hAnsi="Calibri" w:cs="Times New Roman"/>
          <w:color w:val="auto"/>
          <w:sz w:val="22"/>
          <w:szCs w:val="24"/>
        </w:rPr>
        <w:t xml:space="preserve"> </w:t>
      </w:r>
      <w:r w:rsidR="00B1176C" w:rsidRPr="00BA343C">
        <w:rPr>
          <w:rFonts w:ascii="Calibri" w:eastAsia="Calibri" w:hAnsi="Calibri" w:cs="Times New Roman"/>
          <w:color w:val="auto"/>
          <w:sz w:val="22"/>
          <w:szCs w:val="24"/>
        </w:rPr>
        <w:t xml:space="preserve">are </w:t>
      </w:r>
      <w:r w:rsidR="00E3515B" w:rsidRPr="00BA343C">
        <w:rPr>
          <w:rFonts w:ascii="Calibri" w:eastAsia="Calibri" w:hAnsi="Calibri" w:cs="Times New Roman"/>
          <w:color w:val="auto"/>
          <w:sz w:val="22"/>
          <w:szCs w:val="24"/>
        </w:rPr>
        <w:t xml:space="preserve">a form of title that no longer exists under the NT </w:t>
      </w:r>
      <w:r w:rsidR="00E3515B" w:rsidRPr="00BA343C">
        <w:rPr>
          <w:rFonts w:ascii="Calibri" w:eastAsia="Calibri" w:hAnsi="Calibri" w:cs="Times New Roman"/>
          <w:i/>
          <w:color w:val="auto"/>
          <w:sz w:val="22"/>
          <w:szCs w:val="24"/>
        </w:rPr>
        <w:t>Mineral Titles Act 2010</w:t>
      </w:r>
      <w:r w:rsidR="00E0678E" w:rsidRPr="00BA343C">
        <w:rPr>
          <w:rFonts w:ascii="Calibri" w:eastAsia="Calibri" w:hAnsi="Calibri" w:cs="Times New Roman"/>
          <w:color w:val="auto"/>
          <w:sz w:val="22"/>
          <w:szCs w:val="24"/>
        </w:rPr>
        <w:t>.</w:t>
      </w:r>
    </w:p>
    <w:sectPr w:rsidR="00003585" w:rsidRPr="00BA343C" w:rsidSect="00BA343C">
      <w:type w:val="continuous"/>
      <w:pgSz w:w="11906" w:h="16838"/>
      <w:pgMar w:top="720" w:right="720" w:bottom="284"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C228" w14:textId="77777777" w:rsidR="007637BB" w:rsidRDefault="007637BB">
      <w:pPr>
        <w:spacing w:after="0" w:line="240" w:lineRule="auto"/>
      </w:pPr>
      <w:r>
        <w:separator/>
      </w:r>
    </w:p>
  </w:endnote>
  <w:endnote w:type="continuationSeparator" w:id="0">
    <w:p w14:paraId="33C895CD" w14:textId="77777777" w:rsidR="007637BB" w:rsidRDefault="0076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885156"/>
      <w:docPartObj>
        <w:docPartGallery w:val="Page Numbers (Bottom of Page)"/>
        <w:docPartUnique/>
      </w:docPartObj>
    </w:sdtPr>
    <w:sdtEndPr>
      <w:rPr>
        <w:noProof/>
      </w:rPr>
    </w:sdtEndPr>
    <w:sdtContent>
      <w:p w14:paraId="039E428C" w14:textId="1F4F12F6" w:rsidR="001677D0" w:rsidRDefault="001677D0">
        <w:pPr>
          <w:pStyle w:val="Footer"/>
        </w:pPr>
        <w:r>
          <w:fldChar w:fldCharType="begin"/>
        </w:r>
        <w:r>
          <w:instrText xml:space="preserve"> PAGE   \* MERGEFORMAT </w:instrText>
        </w:r>
        <w:r>
          <w:fldChar w:fldCharType="separate"/>
        </w:r>
        <w:r w:rsidR="00BA343C">
          <w:rPr>
            <w:noProof/>
          </w:rPr>
          <w:t>2</w:t>
        </w:r>
        <w:r>
          <w:rPr>
            <w:noProof/>
          </w:rPr>
          <w:fldChar w:fldCharType="end"/>
        </w:r>
      </w:p>
    </w:sdtContent>
  </w:sdt>
  <w:p w14:paraId="696BA4A9" w14:textId="77777777" w:rsidR="009672EB" w:rsidRPr="0040648D" w:rsidRDefault="00650DAB" w:rsidP="00281E3E">
    <w:pPr>
      <w:pStyle w:val="Footer"/>
      <w:rPr>
        <w:color w:val="FFCA08"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D56B" w14:textId="77777777" w:rsidR="007637BB" w:rsidRDefault="007637BB">
      <w:pPr>
        <w:spacing w:after="0" w:line="240" w:lineRule="auto"/>
      </w:pPr>
      <w:r>
        <w:separator/>
      </w:r>
    </w:p>
  </w:footnote>
  <w:footnote w:type="continuationSeparator" w:id="0">
    <w:p w14:paraId="6E01AADA" w14:textId="77777777" w:rsidR="007637BB" w:rsidRDefault="0076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8C09" w14:textId="77777777" w:rsidR="00EB28C4" w:rsidRDefault="00E3515B" w:rsidP="00B95533">
    <w:pPr>
      <w:spacing w:after="0" w:line="240" w:lineRule="auto"/>
    </w:pPr>
    <w:r>
      <w:continuationSeparator/>
    </w:r>
  </w:p>
  <w:p w14:paraId="2084FC27" w14:textId="77777777" w:rsidR="00EB28C4" w:rsidRDefault="00650DAB"/>
  <w:p w14:paraId="28CA3791" w14:textId="77777777" w:rsidR="00EE76B9" w:rsidRDefault="00650DAB" w:rsidP="00992D3E">
    <w:pPr>
      <w:pStyle w:val="ProtectiveMarking"/>
      <w:jc w:val="left"/>
    </w:pPr>
    <w:sdt>
      <w:sdtPr>
        <w:alias w:val="Classification"/>
        <w:tag w:val="Classification"/>
        <w:id w:val="928778366"/>
        <w:dataBinding w:xpath="/root[1]/Classification[1]" w:storeItemID="{F533AE62-A212-4B26-92DA-A3B336E8AE06}"/>
        <w:text/>
      </w:sdtPr>
      <w:sdtEndPr/>
      <w:sdtContent/>
    </w:sdt>
  </w:p>
  <w:p w14:paraId="70C26F85" w14:textId="77777777" w:rsidR="00EE76B9" w:rsidRDefault="00E3515B">
    <w:pPr>
      <w:pStyle w:val="Header"/>
    </w:pPr>
    <w:r>
      <w:rPr>
        <w:noProof/>
        <w:lang w:eastAsia="en-AU"/>
      </w:rPr>
      <w:drawing>
        <wp:anchor distT="0" distB="0" distL="114300" distR="114300" simplePos="0" relativeHeight="251663360" behindDoc="0" locked="1" layoutInCell="1" allowOverlap="1" wp14:anchorId="5A58AEB6" wp14:editId="17336FCF">
          <wp:simplePos x="0" y="0"/>
          <wp:positionH relativeFrom="margin">
            <wp:align>left</wp:align>
          </wp:positionH>
          <wp:positionV relativeFrom="page">
            <wp:posOffset>628650</wp:posOffset>
          </wp:positionV>
          <wp:extent cx="6480000" cy="186711"/>
          <wp:effectExtent l="0" t="0" r="0" b="3810"/>
          <wp:wrapNone/>
          <wp:docPr id="1" name="Graphic 25" descr="Line of grey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3D23D8" w14:textId="77777777" w:rsidR="009672EB" w:rsidRDefault="00650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F1C1" w14:textId="77777777" w:rsidR="009672EB" w:rsidRPr="00BA343C" w:rsidRDefault="00E3515B">
    <w:pPr>
      <w:pStyle w:val="Header"/>
      <w:rPr>
        <w:sz w:val="2"/>
        <w:szCs w:val="2"/>
        <w:vertAlign w:val="superscript"/>
      </w:rPr>
    </w:pPr>
    <w:r w:rsidRPr="00BA343C">
      <w:rPr>
        <w:noProof/>
        <w:sz w:val="2"/>
        <w:szCs w:val="2"/>
        <w:vertAlign w:val="superscript"/>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65408" behindDoc="0" locked="0" layoutInCell="1" allowOverlap="1" wp14:anchorId="2B551D0F" wp14:editId="7B489F83">
          <wp:simplePos x="0" y="0"/>
          <wp:positionH relativeFrom="page">
            <wp:posOffset>535305</wp:posOffset>
          </wp:positionH>
          <wp:positionV relativeFrom="page">
            <wp:posOffset>257175</wp:posOffset>
          </wp:positionV>
          <wp:extent cx="2118360" cy="640080"/>
          <wp:effectExtent l="0" t="0" r="0" b="7620"/>
          <wp:wrapNone/>
          <wp:docPr id="2"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sidRPr="00BA343C">
      <w:rPr>
        <w:noProof/>
        <w:sz w:val="2"/>
        <w:szCs w:val="2"/>
        <w:vertAlign w:val="superscript"/>
        <w:lang w:eastAsia="en-AU"/>
      </w:rPr>
      <mc:AlternateContent>
        <mc:Choice Requires="wps">
          <w:drawing>
            <wp:anchor distT="0" distB="0" distL="114300" distR="114300" simplePos="0" relativeHeight="251668480" behindDoc="0" locked="0" layoutInCell="1" allowOverlap="1" wp14:anchorId="2C1C6757" wp14:editId="58B54D18">
              <wp:simplePos x="0" y="0"/>
              <wp:positionH relativeFrom="page">
                <wp:posOffset>2852738</wp:posOffset>
              </wp:positionH>
              <wp:positionV relativeFrom="page">
                <wp:posOffset>290513</wp:posOffset>
              </wp:positionV>
              <wp:extent cx="0" cy="620077"/>
              <wp:effectExtent l="0" t="0" r="38100" b="27940"/>
              <wp:wrapNone/>
              <wp:docPr id="55" name="Straight Connector 55" descr="White line"/>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71BB6A" id="Straight Connector 55" o:spid="_x0000_s1026" alt="White line"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" strokecolor="white [3212]">
              <v:stroke joinstyle="miter"/>
              <w10:wrap anchorx="page" anchory="page"/>
            </v:line>
          </w:pict>
        </mc:Fallback>
      </mc:AlternateContent>
    </w:r>
    <w:r w:rsidRPr="00BA343C">
      <w:rPr>
        <w:noProof/>
        <w:sz w:val="2"/>
        <w:szCs w:val="2"/>
        <w:vertAlign w:val="superscript"/>
        <w:lang w:eastAsia="en-AU"/>
      </w:rPr>
      <mc:AlternateContent>
        <mc:Choice Requires="wps">
          <w:drawing>
            <wp:anchor distT="45720" distB="45720" distL="114300" distR="114300" simplePos="0" relativeHeight="251667456" behindDoc="0" locked="1" layoutInCell="1" allowOverlap="1" wp14:anchorId="3E5B7F6A" wp14:editId="5733DC59">
              <wp:simplePos x="0" y="0"/>
              <wp:positionH relativeFrom="page">
                <wp:posOffset>0</wp:posOffset>
              </wp:positionH>
              <wp:positionV relativeFrom="page">
                <wp:posOffset>1153160</wp:posOffset>
              </wp:positionV>
              <wp:extent cx="3096000" cy="143510"/>
              <wp:effectExtent l="0" t="0" r="9525" b="88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solidFill>
                        <a:schemeClr val="bg1"/>
                      </a:solidFill>
                      <a:ln w="9525">
                        <a:noFill/>
                        <a:miter lim="800000"/>
                        <a:headEnd/>
                        <a:tailEnd/>
                      </a:ln>
                    </wps:spPr>
                    <wps:txbx>
                      <w:txbxContent>
                        <w:p w14:paraId="5C5F0845" w14:textId="77777777" w:rsidR="00FC6275" w:rsidRPr="00602577" w:rsidRDefault="00E3515B" w:rsidP="009672EB">
                          <w:pPr>
                            <w:spacing w:after="0" w:line="240" w:lineRule="auto"/>
                            <w:rPr>
                              <w:i/>
                              <w:iCs/>
                              <w:color w:val="D2C6C1" w:themeColor="background2" w:themeShade="E6"/>
                              <w:sz w:val="16"/>
                              <w:szCs w:val="16"/>
                            </w:rPr>
                          </w:pPr>
                          <w:r w:rsidRPr="00602577">
                            <w:rPr>
                              <w:i/>
                              <w:iCs/>
                              <w:color w:val="D2C6C1"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5B7F6A" id="_x0000_t202" coordsize="21600,21600" o:spt="202" path="m,l,21600r21600,l21600,xe">
              <v:stroke joinstyle="miter"/>
              <v:path gradientshapeok="t" o:connecttype="rect"/>
            </v:shapetype>
            <v:shape id="Text Box 2" o:spid="_x0000_s1026" type="#_x0000_t202" style="position:absolute;margin-left:0;margin-top:90.8pt;width:243.8pt;height:11.3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" fillcolor="white [3212]" stroked="f">
              <v:textbox inset="15mm,0,0,0">
                <w:txbxContent>
                  <w:p w14:paraId="5C5F0845" w14:textId="77777777" w:rsidR="00FC6275" w:rsidRPr="00602577" w:rsidRDefault="00E3515B" w:rsidP="009672EB">
                    <w:pPr>
                      <w:spacing w:after="0" w:line="240" w:lineRule="auto"/>
                      <w:rPr>
                        <w:i/>
                        <w:iCs/>
                        <w:color w:val="D2C6C1" w:themeColor="background2" w:themeShade="E6"/>
                        <w:sz w:val="16"/>
                        <w:szCs w:val="16"/>
                      </w:rPr>
                    </w:pPr>
                    <w:r w:rsidRPr="00602577">
                      <w:rPr>
                        <w:i/>
                        <w:iCs/>
                        <w:color w:val="D2C6C1" w:themeColor="background2" w:themeShade="E6"/>
                        <w:sz w:val="16"/>
                        <w:szCs w:val="16"/>
                      </w:rPr>
                      <w:t>Working with Aboriginal and Torres Strait Islander peoples</w:t>
                    </w:r>
                  </w:p>
                </w:txbxContent>
              </v:textbox>
              <w10:wrap anchorx="page" anchory="page"/>
              <w10:anchorlock/>
            </v:shape>
          </w:pict>
        </mc:Fallback>
      </mc:AlternateContent>
    </w:r>
    <w:r w:rsidRPr="00BA343C">
      <w:rPr>
        <w:noProof/>
        <w:sz w:val="2"/>
        <w:szCs w:val="2"/>
        <w:vertAlign w:val="superscript"/>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66432" behindDoc="0" locked="1" layoutInCell="1" allowOverlap="1" wp14:anchorId="7B99302C" wp14:editId="3EDA1320">
          <wp:simplePos x="0" y="0"/>
          <wp:positionH relativeFrom="page">
            <wp:posOffset>3016885</wp:posOffset>
          </wp:positionH>
          <wp:positionV relativeFrom="page">
            <wp:posOffset>291465</wp:posOffset>
          </wp:positionV>
          <wp:extent cx="1580400" cy="518400"/>
          <wp:effectExtent l="0" t="0" r="1270" b="0"/>
          <wp:wrapNone/>
          <wp:docPr id="3" name="Graphic 16" descr="NI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BA343C">
      <w:rPr>
        <w:noProof/>
        <w:sz w:val="2"/>
        <w:szCs w:val="2"/>
        <w:vertAlign w:val="superscript"/>
        <w:lang w:eastAsia="en-AU"/>
      </w:rPr>
      <w:drawing>
        <wp:anchor distT="0" distB="0" distL="0" distR="0" simplePos="0" relativeHeight="251664384" behindDoc="0" locked="1" layoutInCell="1" allowOverlap="1" wp14:anchorId="4F1C984D" wp14:editId="170BAE79">
          <wp:simplePos x="0" y="0"/>
          <wp:positionH relativeFrom="page">
            <wp:align>left</wp:align>
          </wp:positionH>
          <wp:positionV relativeFrom="page">
            <wp:align>top</wp:align>
          </wp:positionV>
          <wp:extent cx="7448400" cy="1328400"/>
          <wp:effectExtent l="0" t="0" r="635" b="5715"/>
          <wp:wrapSquare wrapText="bothSides"/>
          <wp:docPr id="4" name="Graphic 11" descr="NIAA 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4E9"/>
    <w:multiLevelType w:val="hybridMultilevel"/>
    <w:tmpl w:val="0B003BBA"/>
    <w:lvl w:ilvl="0" w:tplc="0C090001">
      <w:start w:val="1"/>
      <w:numFmt w:val="bullet"/>
      <w:lvlText w:val=""/>
      <w:lvlJc w:val="left"/>
      <w:pPr>
        <w:tabs>
          <w:tab w:val="num" w:pos="644"/>
        </w:tabs>
        <w:ind w:left="644" w:hanging="360"/>
      </w:pPr>
      <w:rPr>
        <w:rFonts w:ascii="Symbol" w:hAnsi="Symbol" w:hint="default"/>
        <w:b w:val="0"/>
        <w:color w:val="auto"/>
        <w:sz w:val="20"/>
        <w:szCs w:val="20"/>
      </w:rPr>
    </w:lvl>
    <w:lvl w:ilvl="1" w:tplc="7382DF36">
      <w:start w:val="1"/>
      <w:numFmt w:val="bullet"/>
      <w:lvlText w:val="­"/>
      <w:lvlJc w:val="left"/>
      <w:pPr>
        <w:tabs>
          <w:tab w:val="num" w:pos="1364"/>
        </w:tabs>
        <w:ind w:left="1364" w:hanging="360"/>
      </w:pPr>
      <w:rPr>
        <w:rFonts w:ascii="Courier New" w:hAnsi="Courier New" w:hint="default"/>
      </w:rPr>
    </w:lvl>
    <w:lvl w:ilvl="2" w:tplc="1ACC8B32">
      <w:start w:val="1"/>
      <w:numFmt w:val="bullet"/>
      <w:lvlText w:val="•"/>
      <w:lvlJc w:val="left"/>
      <w:pPr>
        <w:tabs>
          <w:tab w:val="num" w:pos="2084"/>
        </w:tabs>
        <w:ind w:left="2084" w:hanging="360"/>
      </w:pPr>
      <w:rPr>
        <w:rFonts w:ascii="Arial" w:hAnsi="Arial" w:hint="default"/>
      </w:rPr>
    </w:lvl>
    <w:lvl w:ilvl="3" w:tplc="A8AC5F0C" w:tentative="1">
      <w:start w:val="1"/>
      <w:numFmt w:val="bullet"/>
      <w:lvlText w:val="•"/>
      <w:lvlJc w:val="left"/>
      <w:pPr>
        <w:tabs>
          <w:tab w:val="num" w:pos="2804"/>
        </w:tabs>
        <w:ind w:left="2804" w:hanging="360"/>
      </w:pPr>
      <w:rPr>
        <w:rFonts w:ascii="Arial" w:hAnsi="Arial" w:hint="default"/>
      </w:rPr>
    </w:lvl>
    <w:lvl w:ilvl="4" w:tplc="EABCE3BA" w:tentative="1">
      <w:start w:val="1"/>
      <w:numFmt w:val="bullet"/>
      <w:lvlText w:val="•"/>
      <w:lvlJc w:val="left"/>
      <w:pPr>
        <w:tabs>
          <w:tab w:val="num" w:pos="3524"/>
        </w:tabs>
        <w:ind w:left="3524" w:hanging="360"/>
      </w:pPr>
      <w:rPr>
        <w:rFonts w:ascii="Arial" w:hAnsi="Arial" w:hint="default"/>
      </w:rPr>
    </w:lvl>
    <w:lvl w:ilvl="5" w:tplc="F9B2B8B2" w:tentative="1">
      <w:start w:val="1"/>
      <w:numFmt w:val="bullet"/>
      <w:lvlText w:val="•"/>
      <w:lvlJc w:val="left"/>
      <w:pPr>
        <w:tabs>
          <w:tab w:val="num" w:pos="4244"/>
        </w:tabs>
        <w:ind w:left="4244" w:hanging="360"/>
      </w:pPr>
      <w:rPr>
        <w:rFonts w:ascii="Arial" w:hAnsi="Arial" w:hint="default"/>
      </w:rPr>
    </w:lvl>
    <w:lvl w:ilvl="6" w:tplc="3ABA3F82" w:tentative="1">
      <w:start w:val="1"/>
      <w:numFmt w:val="bullet"/>
      <w:lvlText w:val="•"/>
      <w:lvlJc w:val="left"/>
      <w:pPr>
        <w:tabs>
          <w:tab w:val="num" w:pos="4964"/>
        </w:tabs>
        <w:ind w:left="4964" w:hanging="360"/>
      </w:pPr>
      <w:rPr>
        <w:rFonts w:ascii="Arial" w:hAnsi="Arial" w:hint="default"/>
      </w:rPr>
    </w:lvl>
    <w:lvl w:ilvl="7" w:tplc="BAA25144" w:tentative="1">
      <w:start w:val="1"/>
      <w:numFmt w:val="bullet"/>
      <w:lvlText w:val="•"/>
      <w:lvlJc w:val="left"/>
      <w:pPr>
        <w:tabs>
          <w:tab w:val="num" w:pos="5684"/>
        </w:tabs>
        <w:ind w:left="5684" w:hanging="360"/>
      </w:pPr>
      <w:rPr>
        <w:rFonts w:ascii="Arial" w:hAnsi="Arial" w:hint="default"/>
      </w:rPr>
    </w:lvl>
    <w:lvl w:ilvl="8" w:tplc="126895A8"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1C8F48E1"/>
    <w:multiLevelType w:val="hybridMultilevel"/>
    <w:tmpl w:val="37D44EE6"/>
    <w:lvl w:ilvl="0" w:tplc="0C090003">
      <w:start w:val="1"/>
      <w:numFmt w:val="bullet"/>
      <w:lvlText w:val="o"/>
      <w:lvlJc w:val="left"/>
      <w:pPr>
        <w:ind w:left="1494" w:hanging="360"/>
      </w:pPr>
      <w:rPr>
        <w:rFonts w:ascii="Courier New" w:hAnsi="Courier New" w:cs="Courier New" w:hint="default"/>
        <w:b w:val="0"/>
        <w:color w:val="auto"/>
        <w:sz w:val="20"/>
        <w:szCs w:val="20"/>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1D307011"/>
    <w:multiLevelType w:val="hybridMultilevel"/>
    <w:tmpl w:val="D4E61C92"/>
    <w:lvl w:ilvl="0" w:tplc="0C090003">
      <w:start w:val="1"/>
      <w:numFmt w:val="bullet"/>
      <w:lvlText w:val="o"/>
      <w:lvlJc w:val="left"/>
      <w:pPr>
        <w:ind w:left="1494" w:hanging="360"/>
      </w:pPr>
      <w:rPr>
        <w:rFonts w:ascii="Courier New" w:hAnsi="Courier New" w:cs="Courier New" w:hint="default"/>
        <w:b w:val="0"/>
        <w:color w:val="auto"/>
        <w:sz w:val="20"/>
        <w:szCs w:val="20"/>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1D79666D"/>
    <w:multiLevelType w:val="hybridMultilevel"/>
    <w:tmpl w:val="40E028A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C921D0D"/>
    <w:multiLevelType w:val="hybridMultilevel"/>
    <w:tmpl w:val="D12AE0E4"/>
    <w:lvl w:ilvl="0" w:tplc="FF342CAA">
      <w:start w:val="1"/>
      <w:numFmt w:val="bullet"/>
      <w:pStyle w:val="Bullet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9935DD"/>
    <w:multiLevelType w:val="hybridMultilevel"/>
    <w:tmpl w:val="B3E02AEE"/>
    <w:lvl w:ilvl="0" w:tplc="BFCEDFE6">
      <w:start w:val="1"/>
      <w:numFmt w:val="bullet"/>
      <w:lvlText w:val="•"/>
      <w:lvlJc w:val="left"/>
      <w:pPr>
        <w:ind w:left="786" w:hanging="360"/>
      </w:pPr>
      <w:rPr>
        <w:rFonts w:ascii="Arial" w:hAnsi="Arial" w:hint="default"/>
        <w:b w:val="0"/>
        <w:color w:val="auto"/>
        <w:sz w:val="20"/>
        <w:szCs w:val="2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379D46B5"/>
    <w:multiLevelType w:val="hybridMultilevel"/>
    <w:tmpl w:val="A3F43004"/>
    <w:lvl w:ilvl="0" w:tplc="BFCEDFE6">
      <w:start w:val="1"/>
      <w:numFmt w:val="bullet"/>
      <w:lvlText w:val="•"/>
      <w:lvlJc w:val="left"/>
      <w:pPr>
        <w:ind w:left="786" w:hanging="360"/>
      </w:pPr>
      <w:rPr>
        <w:rFonts w:ascii="Arial" w:hAnsi="Arial" w:hint="default"/>
        <w:b w:val="0"/>
        <w:color w:val="auto"/>
        <w:sz w:val="20"/>
        <w:szCs w:val="2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3A701FED"/>
    <w:multiLevelType w:val="hybridMultilevel"/>
    <w:tmpl w:val="65A27248"/>
    <w:lvl w:ilvl="0" w:tplc="C6DC8D26">
      <w:start w:val="1"/>
      <w:numFmt w:val="decimal"/>
      <w:lvlText w:val="%1."/>
      <w:lvlJc w:val="left"/>
      <w:pPr>
        <w:ind w:left="360" w:hanging="360"/>
      </w:pPr>
      <w:rPr>
        <w:rFonts w:hint="default"/>
        <w:color w:val="C96E06" w:themeColor="accent2"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F737261"/>
    <w:multiLevelType w:val="hybridMultilevel"/>
    <w:tmpl w:val="BC2A2E54"/>
    <w:lvl w:ilvl="0" w:tplc="0C090003">
      <w:start w:val="1"/>
      <w:numFmt w:val="bullet"/>
      <w:lvlText w:val="o"/>
      <w:lvlJc w:val="left"/>
      <w:pPr>
        <w:tabs>
          <w:tab w:val="num" w:pos="927"/>
        </w:tabs>
        <w:ind w:left="927" w:hanging="360"/>
      </w:pPr>
      <w:rPr>
        <w:rFonts w:ascii="Courier New" w:hAnsi="Courier New" w:cs="Courier New" w:hint="default"/>
        <w:b w:val="0"/>
        <w:color w:val="auto"/>
        <w:sz w:val="20"/>
        <w:szCs w:val="20"/>
      </w:rPr>
    </w:lvl>
    <w:lvl w:ilvl="1" w:tplc="7382DF36">
      <w:start w:val="1"/>
      <w:numFmt w:val="bullet"/>
      <w:lvlText w:val="­"/>
      <w:lvlJc w:val="left"/>
      <w:pPr>
        <w:tabs>
          <w:tab w:val="num" w:pos="1647"/>
        </w:tabs>
        <w:ind w:left="1647" w:hanging="360"/>
      </w:pPr>
      <w:rPr>
        <w:rFonts w:ascii="Courier New" w:hAnsi="Courier New" w:hint="default"/>
      </w:rPr>
    </w:lvl>
    <w:lvl w:ilvl="2" w:tplc="1ACC8B32">
      <w:start w:val="1"/>
      <w:numFmt w:val="bullet"/>
      <w:lvlText w:val="•"/>
      <w:lvlJc w:val="left"/>
      <w:pPr>
        <w:tabs>
          <w:tab w:val="num" w:pos="2367"/>
        </w:tabs>
        <w:ind w:left="2367" w:hanging="360"/>
      </w:pPr>
      <w:rPr>
        <w:rFonts w:ascii="Arial" w:hAnsi="Arial" w:hint="default"/>
      </w:rPr>
    </w:lvl>
    <w:lvl w:ilvl="3" w:tplc="A8AC5F0C" w:tentative="1">
      <w:start w:val="1"/>
      <w:numFmt w:val="bullet"/>
      <w:lvlText w:val="•"/>
      <w:lvlJc w:val="left"/>
      <w:pPr>
        <w:tabs>
          <w:tab w:val="num" w:pos="3087"/>
        </w:tabs>
        <w:ind w:left="3087" w:hanging="360"/>
      </w:pPr>
      <w:rPr>
        <w:rFonts w:ascii="Arial" w:hAnsi="Arial" w:hint="default"/>
      </w:rPr>
    </w:lvl>
    <w:lvl w:ilvl="4" w:tplc="EABCE3BA" w:tentative="1">
      <w:start w:val="1"/>
      <w:numFmt w:val="bullet"/>
      <w:lvlText w:val="•"/>
      <w:lvlJc w:val="left"/>
      <w:pPr>
        <w:tabs>
          <w:tab w:val="num" w:pos="3807"/>
        </w:tabs>
        <w:ind w:left="3807" w:hanging="360"/>
      </w:pPr>
      <w:rPr>
        <w:rFonts w:ascii="Arial" w:hAnsi="Arial" w:hint="default"/>
      </w:rPr>
    </w:lvl>
    <w:lvl w:ilvl="5" w:tplc="F9B2B8B2" w:tentative="1">
      <w:start w:val="1"/>
      <w:numFmt w:val="bullet"/>
      <w:lvlText w:val="•"/>
      <w:lvlJc w:val="left"/>
      <w:pPr>
        <w:tabs>
          <w:tab w:val="num" w:pos="4527"/>
        </w:tabs>
        <w:ind w:left="4527" w:hanging="360"/>
      </w:pPr>
      <w:rPr>
        <w:rFonts w:ascii="Arial" w:hAnsi="Arial" w:hint="default"/>
      </w:rPr>
    </w:lvl>
    <w:lvl w:ilvl="6" w:tplc="3ABA3F82" w:tentative="1">
      <w:start w:val="1"/>
      <w:numFmt w:val="bullet"/>
      <w:lvlText w:val="•"/>
      <w:lvlJc w:val="left"/>
      <w:pPr>
        <w:tabs>
          <w:tab w:val="num" w:pos="5247"/>
        </w:tabs>
        <w:ind w:left="5247" w:hanging="360"/>
      </w:pPr>
      <w:rPr>
        <w:rFonts w:ascii="Arial" w:hAnsi="Arial" w:hint="default"/>
      </w:rPr>
    </w:lvl>
    <w:lvl w:ilvl="7" w:tplc="BAA25144" w:tentative="1">
      <w:start w:val="1"/>
      <w:numFmt w:val="bullet"/>
      <w:lvlText w:val="•"/>
      <w:lvlJc w:val="left"/>
      <w:pPr>
        <w:tabs>
          <w:tab w:val="num" w:pos="5967"/>
        </w:tabs>
        <w:ind w:left="5967" w:hanging="360"/>
      </w:pPr>
      <w:rPr>
        <w:rFonts w:ascii="Arial" w:hAnsi="Arial" w:hint="default"/>
      </w:rPr>
    </w:lvl>
    <w:lvl w:ilvl="8" w:tplc="126895A8" w:tentative="1">
      <w:start w:val="1"/>
      <w:numFmt w:val="bullet"/>
      <w:lvlText w:val="•"/>
      <w:lvlJc w:val="left"/>
      <w:pPr>
        <w:tabs>
          <w:tab w:val="num" w:pos="6687"/>
        </w:tabs>
        <w:ind w:left="6687" w:hanging="360"/>
      </w:pPr>
      <w:rPr>
        <w:rFonts w:ascii="Arial" w:hAnsi="Arial" w:hint="default"/>
      </w:rPr>
    </w:lvl>
  </w:abstractNum>
  <w:abstractNum w:abstractNumId="9" w15:restartNumberingAfterBreak="0">
    <w:nsid w:val="434F6963"/>
    <w:multiLevelType w:val="hybridMultilevel"/>
    <w:tmpl w:val="78B649B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470F4A35"/>
    <w:multiLevelType w:val="hybridMultilevel"/>
    <w:tmpl w:val="F23818B6"/>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522E7CB4"/>
    <w:multiLevelType w:val="hybridMultilevel"/>
    <w:tmpl w:val="B2EC9B3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55BF47B7"/>
    <w:multiLevelType w:val="hybridMultilevel"/>
    <w:tmpl w:val="147C3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DF4B20"/>
    <w:multiLevelType w:val="hybridMultilevel"/>
    <w:tmpl w:val="C00C056E"/>
    <w:lvl w:ilvl="0" w:tplc="BFCEDFE6">
      <w:start w:val="1"/>
      <w:numFmt w:val="bullet"/>
      <w:lvlText w:val="•"/>
      <w:lvlJc w:val="left"/>
      <w:pPr>
        <w:tabs>
          <w:tab w:val="num" w:pos="786"/>
        </w:tabs>
        <w:ind w:left="786" w:hanging="360"/>
      </w:pPr>
      <w:rPr>
        <w:rFonts w:ascii="Arial" w:hAnsi="Arial" w:hint="default"/>
        <w:b w:val="0"/>
        <w:color w:val="auto"/>
        <w:sz w:val="20"/>
        <w:szCs w:val="20"/>
      </w:rPr>
    </w:lvl>
    <w:lvl w:ilvl="1" w:tplc="0C090001">
      <w:start w:val="1"/>
      <w:numFmt w:val="bullet"/>
      <w:lvlText w:val=""/>
      <w:lvlJc w:val="left"/>
      <w:pPr>
        <w:tabs>
          <w:tab w:val="num" w:pos="644"/>
        </w:tabs>
        <w:ind w:left="644" w:hanging="360"/>
      </w:pPr>
      <w:rPr>
        <w:rFonts w:ascii="Symbol" w:hAnsi="Symbol" w:hint="default"/>
      </w:rPr>
    </w:lvl>
    <w:lvl w:ilvl="2" w:tplc="1ACC8B32">
      <w:start w:val="1"/>
      <w:numFmt w:val="bullet"/>
      <w:lvlText w:val="•"/>
      <w:lvlJc w:val="left"/>
      <w:pPr>
        <w:tabs>
          <w:tab w:val="num" w:pos="2226"/>
        </w:tabs>
        <w:ind w:left="2226" w:hanging="360"/>
      </w:pPr>
      <w:rPr>
        <w:rFonts w:ascii="Arial" w:hAnsi="Arial" w:hint="default"/>
      </w:rPr>
    </w:lvl>
    <w:lvl w:ilvl="3" w:tplc="A8AC5F0C" w:tentative="1">
      <w:start w:val="1"/>
      <w:numFmt w:val="bullet"/>
      <w:lvlText w:val="•"/>
      <w:lvlJc w:val="left"/>
      <w:pPr>
        <w:tabs>
          <w:tab w:val="num" w:pos="2946"/>
        </w:tabs>
        <w:ind w:left="2946" w:hanging="360"/>
      </w:pPr>
      <w:rPr>
        <w:rFonts w:ascii="Arial" w:hAnsi="Arial" w:hint="default"/>
      </w:rPr>
    </w:lvl>
    <w:lvl w:ilvl="4" w:tplc="EABCE3BA" w:tentative="1">
      <w:start w:val="1"/>
      <w:numFmt w:val="bullet"/>
      <w:lvlText w:val="•"/>
      <w:lvlJc w:val="left"/>
      <w:pPr>
        <w:tabs>
          <w:tab w:val="num" w:pos="3666"/>
        </w:tabs>
        <w:ind w:left="3666" w:hanging="360"/>
      </w:pPr>
      <w:rPr>
        <w:rFonts w:ascii="Arial" w:hAnsi="Arial" w:hint="default"/>
      </w:rPr>
    </w:lvl>
    <w:lvl w:ilvl="5" w:tplc="F9B2B8B2" w:tentative="1">
      <w:start w:val="1"/>
      <w:numFmt w:val="bullet"/>
      <w:lvlText w:val="•"/>
      <w:lvlJc w:val="left"/>
      <w:pPr>
        <w:tabs>
          <w:tab w:val="num" w:pos="4386"/>
        </w:tabs>
        <w:ind w:left="4386" w:hanging="360"/>
      </w:pPr>
      <w:rPr>
        <w:rFonts w:ascii="Arial" w:hAnsi="Arial" w:hint="default"/>
      </w:rPr>
    </w:lvl>
    <w:lvl w:ilvl="6" w:tplc="3ABA3F82" w:tentative="1">
      <w:start w:val="1"/>
      <w:numFmt w:val="bullet"/>
      <w:lvlText w:val="•"/>
      <w:lvlJc w:val="left"/>
      <w:pPr>
        <w:tabs>
          <w:tab w:val="num" w:pos="5106"/>
        </w:tabs>
        <w:ind w:left="5106" w:hanging="360"/>
      </w:pPr>
      <w:rPr>
        <w:rFonts w:ascii="Arial" w:hAnsi="Arial" w:hint="default"/>
      </w:rPr>
    </w:lvl>
    <w:lvl w:ilvl="7" w:tplc="BAA25144" w:tentative="1">
      <w:start w:val="1"/>
      <w:numFmt w:val="bullet"/>
      <w:lvlText w:val="•"/>
      <w:lvlJc w:val="left"/>
      <w:pPr>
        <w:tabs>
          <w:tab w:val="num" w:pos="5826"/>
        </w:tabs>
        <w:ind w:left="5826" w:hanging="360"/>
      </w:pPr>
      <w:rPr>
        <w:rFonts w:ascii="Arial" w:hAnsi="Arial" w:hint="default"/>
      </w:rPr>
    </w:lvl>
    <w:lvl w:ilvl="8" w:tplc="126895A8" w:tentative="1">
      <w:start w:val="1"/>
      <w:numFmt w:val="bullet"/>
      <w:lvlText w:val="•"/>
      <w:lvlJc w:val="left"/>
      <w:pPr>
        <w:tabs>
          <w:tab w:val="num" w:pos="6546"/>
        </w:tabs>
        <w:ind w:left="6546" w:hanging="360"/>
      </w:pPr>
      <w:rPr>
        <w:rFonts w:ascii="Arial" w:hAnsi="Arial" w:hint="default"/>
      </w:rPr>
    </w:lvl>
  </w:abstractNum>
  <w:abstractNum w:abstractNumId="14" w15:restartNumberingAfterBreak="0">
    <w:nsid w:val="68D32C2B"/>
    <w:multiLevelType w:val="hybridMultilevel"/>
    <w:tmpl w:val="3E48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2A4717"/>
    <w:multiLevelType w:val="hybridMultilevel"/>
    <w:tmpl w:val="7046C4B4"/>
    <w:lvl w:ilvl="0" w:tplc="BFCEDFE6">
      <w:start w:val="1"/>
      <w:numFmt w:val="bullet"/>
      <w:lvlText w:val="•"/>
      <w:lvlJc w:val="left"/>
      <w:pPr>
        <w:tabs>
          <w:tab w:val="num" w:pos="786"/>
        </w:tabs>
        <w:ind w:left="786" w:hanging="360"/>
      </w:pPr>
      <w:rPr>
        <w:rFonts w:ascii="Arial" w:hAnsi="Arial" w:hint="default"/>
        <w:b w:val="0"/>
        <w:color w:val="auto"/>
        <w:sz w:val="20"/>
        <w:szCs w:val="20"/>
      </w:rPr>
    </w:lvl>
    <w:lvl w:ilvl="1" w:tplc="0C090001">
      <w:start w:val="1"/>
      <w:numFmt w:val="bullet"/>
      <w:lvlText w:val=""/>
      <w:lvlJc w:val="left"/>
      <w:pPr>
        <w:tabs>
          <w:tab w:val="num" w:pos="360"/>
        </w:tabs>
        <w:ind w:left="360" w:hanging="360"/>
      </w:pPr>
      <w:rPr>
        <w:rFonts w:ascii="Symbol" w:hAnsi="Symbol" w:hint="default"/>
      </w:rPr>
    </w:lvl>
    <w:lvl w:ilvl="2" w:tplc="1ACC8B32">
      <w:start w:val="1"/>
      <w:numFmt w:val="bullet"/>
      <w:lvlText w:val="•"/>
      <w:lvlJc w:val="left"/>
      <w:pPr>
        <w:tabs>
          <w:tab w:val="num" w:pos="2226"/>
        </w:tabs>
        <w:ind w:left="2226" w:hanging="360"/>
      </w:pPr>
      <w:rPr>
        <w:rFonts w:ascii="Arial" w:hAnsi="Arial" w:hint="default"/>
      </w:rPr>
    </w:lvl>
    <w:lvl w:ilvl="3" w:tplc="A8AC5F0C" w:tentative="1">
      <w:start w:val="1"/>
      <w:numFmt w:val="bullet"/>
      <w:lvlText w:val="•"/>
      <w:lvlJc w:val="left"/>
      <w:pPr>
        <w:tabs>
          <w:tab w:val="num" w:pos="2946"/>
        </w:tabs>
        <w:ind w:left="2946" w:hanging="360"/>
      </w:pPr>
      <w:rPr>
        <w:rFonts w:ascii="Arial" w:hAnsi="Arial" w:hint="default"/>
      </w:rPr>
    </w:lvl>
    <w:lvl w:ilvl="4" w:tplc="EABCE3BA" w:tentative="1">
      <w:start w:val="1"/>
      <w:numFmt w:val="bullet"/>
      <w:lvlText w:val="•"/>
      <w:lvlJc w:val="left"/>
      <w:pPr>
        <w:tabs>
          <w:tab w:val="num" w:pos="3666"/>
        </w:tabs>
        <w:ind w:left="3666" w:hanging="360"/>
      </w:pPr>
      <w:rPr>
        <w:rFonts w:ascii="Arial" w:hAnsi="Arial" w:hint="default"/>
      </w:rPr>
    </w:lvl>
    <w:lvl w:ilvl="5" w:tplc="F9B2B8B2" w:tentative="1">
      <w:start w:val="1"/>
      <w:numFmt w:val="bullet"/>
      <w:lvlText w:val="•"/>
      <w:lvlJc w:val="left"/>
      <w:pPr>
        <w:tabs>
          <w:tab w:val="num" w:pos="4386"/>
        </w:tabs>
        <w:ind w:left="4386" w:hanging="360"/>
      </w:pPr>
      <w:rPr>
        <w:rFonts w:ascii="Arial" w:hAnsi="Arial" w:hint="default"/>
      </w:rPr>
    </w:lvl>
    <w:lvl w:ilvl="6" w:tplc="3ABA3F82" w:tentative="1">
      <w:start w:val="1"/>
      <w:numFmt w:val="bullet"/>
      <w:lvlText w:val="•"/>
      <w:lvlJc w:val="left"/>
      <w:pPr>
        <w:tabs>
          <w:tab w:val="num" w:pos="5106"/>
        </w:tabs>
        <w:ind w:left="5106" w:hanging="360"/>
      </w:pPr>
      <w:rPr>
        <w:rFonts w:ascii="Arial" w:hAnsi="Arial" w:hint="default"/>
      </w:rPr>
    </w:lvl>
    <w:lvl w:ilvl="7" w:tplc="BAA25144" w:tentative="1">
      <w:start w:val="1"/>
      <w:numFmt w:val="bullet"/>
      <w:lvlText w:val="•"/>
      <w:lvlJc w:val="left"/>
      <w:pPr>
        <w:tabs>
          <w:tab w:val="num" w:pos="5826"/>
        </w:tabs>
        <w:ind w:left="5826" w:hanging="360"/>
      </w:pPr>
      <w:rPr>
        <w:rFonts w:ascii="Arial" w:hAnsi="Arial" w:hint="default"/>
      </w:rPr>
    </w:lvl>
    <w:lvl w:ilvl="8" w:tplc="126895A8" w:tentative="1">
      <w:start w:val="1"/>
      <w:numFmt w:val="bullet"/>
      <w:lvlText w:val="•"/>
      <w:lvlJc w:val="left"/>
      <w:pPr>
        <w:tabs>
          <w:tab w:val="num" w:pos="6546"/>
        </w:tabs>
        <w:ind w:left="6546" w:hanging="360"/>
      </w:pPr>
      <w:rPr>
        <w:rFonts w:ascii="Arial" w:hAnsi="Arial" w:hint="default"/>
      </w:rPr>
    </w:lvl>
  </w:abstractNum>
  <w:abstractNum w:abstractNumId="16" w15:restartNumberingAfterBreak="0">
    <w:nsid w:val="7A456DB6"/>
    <w:multiLevelType w:val="hybridMultilevel"/>
    <w:tmpl w:val="6D0A91D0"/>
    <w:lvl w:ilvl="0" w:tplc="0C090001">
      <w:start w:val="1"/>
      <w:numFmt w:val="bullet"/>
      <w:lvlText w:val=""/>
      <w:lvlJc w:val="left"/>
      <w:pPr>
        <w:tabs>
          <w:tab w:val="num" w:pos="644"/>
        </w:tabs>
        <w:ind w:left="644" w:hanging="360"/>
      </w:pPr>
      <w:rPr>
        <w:rFonts w:ascii="Symbol" w:hAnsi="Symbol" w:hint="default"/>
        <w:b w:val="0"/>
        <w:color w:val="auto"/>
        <w:sz w:val="20"/>
        <w:szCs w:val="20"/>
      </w:rPr>
    </w:lvl>
    <w:lvl w:ilvl="1" w:tplc="7382DF36">
      <w:start w:val="1"/>
      <w:numFmt w:val="bullet"/>
      <w:lvlText w:val="­"/>
      <w:lvlJc w:val="left"/>
      <w:pPr>
        <w:tabs>
          <w:tab w:val="num" w:pos="1364"/>
        </w:tabs>
        <w:ind w:left="1364" w:hanging="360"/>
      </w:pPr>
      <w:rPr>
        <w:rFonts w:ascii="Courier New" w:hAnsi="Courier New" w:hint="default"/>
      </w:rPr>
    </w:lvl>
    <w:lvl w:ilvl="2" w:tplc="1ACC8B32">
      <w:start w:val="1"/>
      <w:numFmt w:val="bullet"/>
      <w:lvlText w:val="•"/>
      <w:lvlJc w:val="left"/>
      <w:pPr>
        <w:tabs>
          <w:tab w:val="num" w:pos="2084"/>
        </w:tabs>
        <w:ind w:left="2084" w:hanging="360"/>
      </w:pPr>
      <w:rPr>
        <w:rFonts w:ascii="Arial" w:hAnsi="Arial" w:hint="default"/>
      </w:rPr>
    </w:lvl>
    <w:lvl w:ilvl="3" w:tplc="A8AC5F0C" w:tentative="1">
      <w:start w:val="1"/>
      <w:numFmt w:val="bullet"/>
      <w:lvlText w:val="•"/>
      <w:lvlJc w:val="left"/>
      <w:pPr>
        <w:tabs>
          <w:tab w:val="num" w:pos="2804"/>
        </w:tabs>
        <w:ind w:left="2804" w:hanging="360"/>
      </w:pPr>
      <w:rPr>
        <w:rFonts w:ascii="Arial" w:hAnsi="Arial" w:hint="default"/>
      </w:rPr>
    </w:lvl>
    <w:lvl w:ilvl="4" w:tplc="EABCE3BA" w:tentative="1">
      <w:start w:val="1"/>
      <w:numFmt w:val="bullet"/>
      <w:lvlText w:val="•"/>
      <w:lvlJc w:val="left"/>
      <w:pPr>
        <w:tabs>
          <w:tab w:val="num" w:pos="3524"/>
        </w:tabs>
        <w:ind w:left="3524" w:hanging="360"/>
      </w:pPr>
      <w:rPr>
        <w:rFonts w:ascii="Arial" w:hAnsi="Arial" w:hint="default"/>
      </w:rPr>
    </w:lvl>
    <w:lvl w:ilvl="5" w:tplc="F9B2B8B2" w:tentative="1">
      <w:start w:val="1"/>
      <w:numFmt w:val="bullet"/>
      <w:lvlText w:val="•"/>
      <w:lvlJc w:val="left"/>
      <w:pPr>
        <w:tabs>
          <w:tab w:val="num" w:pos="4244"/>
        </w:tabs>
        <w:ind w:left="4244" w:hanging="360"/>
      </w:pPr>
      <w:rPr>
        <w:rFonts w:ascii="Arial" w:hAnsi="Arial" w:hint="default"/>
      </w:rPr>
    </w:lvl>
    <w:lvl w:ilvl="6" w:tplc="3ABA3F82" w:tentative="1">
      <w:start w:val="1"/>
      <w:numFmt w:val="bullet"/>
      <w:lvlText w:val="•"/>
      <w:lvlJc w:val="left"/>
      <w:pPr>
        <w:tabs>
          <w:tab w:val="num" w:pos="4964"/>
        </w:tabs>
        <w:ind w:left="4964" w:hanging="360"/>
      </w:pPr>
      <w:rPr>
        <w:rFonts w:ascii="Arial" w:hAnsi="Arial" w:hint="default"/>
      </w:rPr>
    </w:lvl>
    <w:lvl w:ilvl="7" w:tplc="BAA25144" w:tentative="1">
      <w:start w:val="1"/>
      <w:numFmt w:val="bullet"/>
      <w:lvlText w:val="•"/>
      <w:lvlJc w:val="left"/>
      <w:pPr>
        <w:tabs>
          <w:tab w:val="num" w:pos="5684"/>
        </w:tabs>
        <w:ind w:left="5684" w:hanging="360"/>
      </w:pPr>
      <w:rPr>
        <w:rFonts w:ascii="Arial" w:hAnsi="Arial" w:hint="default"/>
      </w:rPr>
    </w:lvl>
    <w:lvl w:ilvl="8" w:tplc="126895A8" w:tentative="1">
      <w:start w:val="1"/>
      <w:numFmt w:val="bullet"/>
      <w:lvlText w:val="•"/>
      <w:lvlJc w:val="left"/>
      <w:pPr>
        <w:tabs>
          <w:tab w:val="num" w:pos="6404"/>
        </w:tabs>
        <w:ind w:left="6404" w:hanging="360"/>
      </w:pPr>
      <w:rPr>
        <w:rFonts w:ascii="Arial" w:hAnsi="Arial" w:hint="default"/>
      </w:rPr>
    </w:lvl>
  </w:abstractNum>
  <w:abstractNum w:abstractNumId="17" w15:restartNumberingAfterBreak="0">
    <w:nsid w:val="7E9B4C00"/>
    <w:multiLevelType w:val="hybridMultilevel"/>
    <w:tmpl w:val="C0169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2"/>
  </w:num>
  <w:num w:numId="5">
    <w:abstractNumId w:val="8"/>
  </w:num>
  <w:num w:numId="6">
    <w:abstractNumId w:val="12"/>
  </w:num>
  <w:num w:numId="7">
    <w:abstractNumId w:val="5"/>
  </w:num>
  <w:num w:numId="8">
    <w:abstractNumId w:val="3"/>
  </w:num>
  <w:num w:numId="9">
    <w:abstractNumId w:val="10"/>
  </w:num>
  <w:num w:numId="10">
    <w:abstractNumId w:val="4"/>
  </w:num>
  <w:num w:numId="11">
    <w:abstractNumId w:val="14"/>
  </w:num>
  <w:num w:numId="12">
    <w:abstractNumId w:val="13"/>
  </w:num>
  <w:num w:numId="13">
    <w:abstractNumId w:val="11"/>
  </w:num>
  <w:num w:numId="14">
    <w:abstractNumId w:val="1"/>
  </w:num>
  <w:num w:numId="15">
    <w:abstractNumId w:val="16"/>
  </w:num>
  <w:num w:numId="16">
    <w:abstractNumId w:val="9"/>
  </w:num>
  <w:num w:numId="17">
    <w:abstractNumId w:val="0"/>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5B"/>
    <w:rsid w:val="0000627B"/>
    <w:rsid w:val="00075E23"/>
    <w:rsid w:val="000772DB"/>
    <w:rsid w:val="00087F96"/>
    <w:rsid w:val="000E610A"/>
    <w:rsid w:val="001021B7"/>
    <w:rsid w:val="001562E8"/>
    <w:rsid w:val="001677D0"/>
    <w:rsid w:val="0018753A"/>
    <w:rsid w:val="001C548D"/>
    <w:rsid w:val="001C7D45"/>
    <w:rsid w:val="001E6BBE"/>
    <w:rsid w:val="001F6A64"/>
    <w:rsid w:val="001F6F0A"/>
    <w:rsid w:val="00221127"/>
    <w:rsid w:val="00225498"/>
    <w:rsid w:val="0023213A"/>
    <w:rsid w:val="00253647"/>
    <w:rsid w:val="002632ED"/>
    <w:rsid w:val="00272295"/>
    <w:rsid w:val="002B08C7"/>
    <w:rsid w:val="002D1231"/>
    <w:rsid w:val="002F3990"/>
    <w:rsid w:val="00352635"/>
    <w:rsid w:val="003639E5"/>
    <w:rsid w:val="00363AEA"/>
    <w:rsid w:val="003D4DEC"/>
    <w:rsid w:val="004344CD"/>
    <w:rsid w:val="004569A6"/>
    <w:rsid w:val="004C16B1"/>
    <w:rsid w:val="004C2DF7"/>
    <w:rsid w:val="004C5979"/>
    <w:rsid w:val="004C61AB"/>
    <w:rsid w:val="004D2F78"/>
    <w:rsid w:val="004E4430"/>
    <w:rsid w:val="0053051B"/>
    <w:rsid w:val="00537F2D"/>
    <w:rsid w:val="00545836"/>
    <w:rsid w:val="005A0353"/>
    <w:rsid w:val="005A62D8"/>
    <w:rsid w:val="00600E23"/>
    <w:rsid w:val="006100BA"/>
    <w:rsid w:val="006128B3"/>
    <w:rsid w:val="0062407C"/>
    <w:rsid w:val="00650DAB"/>
    <w:rsid w:val="00657AC8"/>
    <w:rsid w:val="00664202"/>
    <w:rsid w:val="006E6901"/>
    <w:rsid w:val="006E75BD"/>
    <w:rsid w:val="00705141"/>
    <w:rsid w:val="00737435"/>
    <w:rsid w:val="007637BB"/>
    <w:rsid w:val="00775997"/>
    <w:rsid w:val="0077724A"/>
    <w:rsid w:val="00794B5F"/>
    <w:rsid w:val="007B20FA"/>
    <w:rsid w:val="007C41C9"/>
    <w:rsid w:val="007E1A97"/>
    <w:rsid w:val="007E4112"/>
    <w:rsid w:val="007F4B43"/>
    <w:rsid w:val="00820169"/>
    <w:rsid w:val="00821B6A"/>
    <w:rsid w:val="00825A08"/>
    <w:rsid w:val="00857617"/>
    <w:rsid w:val="00857CF1"/>
    <w:rsid w:val="00865B26"/>
    <w:rsid w:val="00876ED5"/>
    <w:rsid w:val="008C7C04"/>
    <w:rsid w:val="008F0796"/>
    <w:rsid w:val="009737CA"/>
    <w:rsid w:val="00976967"/>
    <w:rsid w:val="0097700D"/>
    <w:rsid w:val="009775EB"/>
    <w:rsid w:val="009805CC"/>
    <w:rsid w:val="00992D3E"/>
    <w:rsid w:val="00A00E1D"/>
    <w:rsid w:val="00A101AE"/>
    <w:rsid w:val="00A307CB"/>
    <w:rsid w:val="00A37DEF"/>
    <w:rsid w:val="00A770C2"/>
    <w:rsid w:val="00B1176C"/>
    <w:rsid w:val="00B22AAE"/>
    <w:rsid w:val="00B658A8"/>
    <w:rsid w:val="00B6745B"/>
    <w:rsid w:val="00B7557A"/>
    <w:rsid w:val="00BA343C"/>
    <w:rsid w:val="00BB16B3"/>
    <w:rsid w:val="00BB781A"/>
    <w:rsid w:val="00BF1842"/>
    <w:rsid w:val="00C04329"/>
    <w:rsid w:val="00C25F74"/>
    <w:rsid w:val="00C31820"/>
    <w:rsid w:val="00C368C2"/>
    <w:rsid w:val="00C4172E"/>
    <w:rsid w:val="00C44B51"/>
    <w:rsid w:val="00C47E67"/>
    <w:rsid w:val="00C525E4"/>
    <w:rsid w:val="00CA6729"/>
    <w:rsid w:val="00CE4765"/>
    <w:rsid w:val="00D73B36"/>
    <w:rsid w:val="00D81E77"/>
    <w:rsid w:val="00D85141"/>
    <w:rsid w:val="00D85316"/>
    <w:rsid w:val="00D9479C"/>
    <w:rsid w:val="00DA4CB4"/>
    <w:rsid w:val="00DC1F41"/>
    <w:rsid w:val="00DE4AE5"/>
    <w:rsid w:val="00E0678E"/>
    <w:rsid w:val="00E3515B"/>
    <w:rsid w:val="00E67ECD"/>
    <w:rsid w:val="00E82C09"/>
    <w:rsid w:val="00EF4343"/>
    <w:rsid w:val="00F01CF3"/>
    <w:rsid w:val="00F026A2"/>
    <w:rsid w:val="00F45E44"/>
    <w:rsid w:val="00F62EEE"/>
    <w:rsid w:val="00F748D4"/>
    <w:rsid w:val="00F8497F"/>
    <w:rsid w:val="00FA04E0"/>
    <w:rsid w:val="00FA19D5"/>
    <w:rsid w:val="00FA7686"/>
    <w:rsid w:val="00FF2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463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E3515B"/>
    <w:pPr>
      <w:spacing w:after="120" w:line="264" w:lineRule="auto"/>
    </w:pPr>
    <w:rPr>
      <w:color w:val="262626" w:themeColor="text1" w:themeTint="D9"/>
      <w:sz w:val="20"/>
      <w:szCs w:val="20"/>
    </w:rPr>
  </w:style>
  <w:style w:type="paragraph" w:styleId="Heading1">
    <w:name w:val="heading 1"/>
    <w:basedOn w:val="Heading4"/>
    <w:next w:val="Normal"/>
    <w:link w:val="Heading1Char"/>
    <w:uiPriority w:val="9"/>
    <w:qFormat/>
    <w:rsid w:val="004C16B1"/>
    <w:pPr>
      <w:spacing w:before="120" w:after="240"/>
      <w:jc w:val="center"/>
      <w:outlineLvl w:val="0"/>
    </w:pPr>
    <w:rPr>
      <w:rFonts w:ascii="Century Gothic" w:hAnsi="Century Gothic"/>
      <w:b/>
      <w:i w:val="0"/>
      <w:color w:val="EC7016" w:themeColor="accent4"/>
      <w:sz w:val="36"/>
      <w:szCs w:val="36"/>
    </w:rPr>
  </w:style>
  <w:style w:type="paragraph" w:styleId="Heading2">
    <w:name w:val="heading 2"/>
    <w:basedOn w:val="BodyText"/>
    <w:next w:val="BodyText"/>
    <w:link w:val="Heading2Char"/>
    <w:uiPriority w:val="9"/>
    <w:unhideWhenUsed/>
    <w:qFormat/>
    <w:rsid w:val="004C16B1"/>
    <w:pPr>
      <w:spacing w:before="120" w:line="276" w:lineRule="auto"/>
      <w:outlineLvl w:val="1"/>
    </w:pPr>
    <w:rPr>
      <w:rFonts w:ascii="Century Gothic" w:hAnsi="Century Gothic" w:cstheme="minorHAnsi"/>
      <w:color w:val="EC7016" w:themeColor="accent4"/>
      <w:sz w:val="24"/>
      <w:szCs w:val="24"/>
      <w:lang w:val="en-US"/>
    </w:rPr>
  </w:style>
  <w:style w:type="paragraph" w:styleId="Heading4">
    <w:name w:val="heading 4"/>
    <w:basedOn w:val="Normal"/>
    <w:next w:val="Normal"/>
    <w:link w:val="Heading4Char"/>
    <w:uiPriority w:val="9"/>
    <w:unhideWhenUsed/>
    <w:qFormat/>
    <w:rsid w:val="001677D0"/>
    <w:pPr>
      <w:keepNext/>
      <w:keepLines/>
      <w:spacing w:before="40" w:after="0"/>
      <w:outlineLvl w:val="3"/>
    </w:pPr>
    <w:rPr>
      <w:rFonts w:asciiTheme="majorHAnsi" w:eastAsiaTheme="majorEastAsia" w:hAnsiTheme="majorHAnsi" w:cstheme="majorBidi"/>
      <w:i/>
      <w:iCs/>
      <w:color w:val="C49A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6B1"/>
    <w:rPr>
      <w:rFonts w:ascii="Century Gothic" w:hAnsi="Century Gothic" w:cstheme="minorHAnsi"/>
      <w:color w:val="EC7016" w:themeColor="accent4"/>
      <w:sz w:val="24"/>
      <w:szCs w:val="24"/>
      <w:lang w:val="en-US"/>
    </w:rPr>
  </w:style>
  <w:style w:type="paragraph" w:styleId="Header">
    <w:name w:val="header"/>
    <w:basedOn w:val="Normal"/>
    <w:link w:val="HeaderChar"/>
    <w:uiPriority w:val="99"/>
    <w:semiHidden/>
    <w:rsid w:val="00E3515B"/>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E3515B"/>
    <w:rPr>
      <w:rFonts w:asciiTheme="majorHAnsi" w:hAnsiTheme="majorHAnsi"/>
      <w:b/>
      <w:color w:val="FFFFFF" w:themeColor="background1"/>
      <w:sz w:val="20"/>
      <w:szCs w:val="18"/>
    </w:rPr>
  </w:style>
  <w:style w:type="paragraph" w:styleId="Footer">
    <w:name w:val="footer"/>
    <w:basedOn w:val="Normal"/>
    <w:link w:val="FooterChar"/>
    <w:uiPriority w:val="99"/>
    <w:rsid w:val="00E3515B"/>
    <w:pPr>
      <w:tabs>
        <w:tab w:val="center" w:pos="4513"/>
        <w:tab w:val="right" w:pos="9026"/>
      </w:tabs>
      <w:spacing w:after="500" w:line="240" w:lineRule="auto"/>
      <w:contextualSpacing/>
    </w:pPr>
    <w:rPr>
      <w:rFonts w:asciiTheme="majorHAnsi" w:hAnsiTheme="majorHAnsi"/>
      <w:bCs/>
      <w:color w:val="39302A" w:themeColor="text2"/>
      <w:sz w:val="16"/>
      <w:szCs w:val="16"/>
    </w:rPr>
  </w:style>
  <w:style w:type="character" w:customStyle="1" w:styleId="FooterChar">
    <w:name w:val="Footer Char"/>
    <w:basedOn w:val="DefaultParagraphFont"/>
    <w:link w:val="Footer"/>
    <w:uiPriority w:val="99"/>
    <w:rsid w:val="00E3515B"/>
    <w:rPr>
      <w:rFonts w:asciiTheme="majorHAnsi" w:hAnsiTheme="majorHAnsi"/>
      <w:bCs/>
      <w:color w:val="39302A" w:themeColor="text2"/>
      <w:sz w:val="16"/>
      <w:szCs w:val="16"/>
    </w:rPr>
  </w:style>
  <w:style w:type="paragraph" w:styleId="ListParagraph">
    <w:name w:val="List Paragraph"/>
    <w:aliases w:val="List Paragraph1,List Paragraph11,List Paragraph Number,Bullet point,Bulleted Para,NFP GP Bulleted List,bullet point list,L,Bullet points,Content descriptions,Bullet Point,List Paragraph2,Dot Point,NAST Quote,Body Bullets 1,List Bullet Cab"/>
    <w:basedOn w:val="Normal"/>
    <w:link w:val="ListParagraphChar"/>
    <w:uiPriority w:val="34"/>
    <w:qFormat/>
    <w:rsid w:val="00E3515B"/>
    <w:pPr>
      <w:ind w:left="720"/>
      <w:contextualSpacing/>
    </w:pPr>
  </w:style>
  <w:style w:type="paragraph" w:styleId="BodyText">
    <w:name w:val="Body Text"/>
    <w:basedOn w:val="Normal"/>
    <w:link w:val="BodyTextChar"/>
    <w:qFormat/>
    <w:rsid w:val="00E3515B"/>
  </w:style>
  <w:style w:type="character" w:customStyle="1" w:styleId="BodyTextChar">
    <w:name w:val="Body Text Char"/>
    <w:basedOn w:val="DefaultParagraphFont"/>
    <w:link w:val="BodyText"/>
    <w:rsid w:val="00E3515B"/>
    <w:rPr>
      <w:color w:val="262626" w:themeColor="text1" w:themeTint="D9"/>
      <w:sz w:val="20"/>
      <w:szCs w:val="20"/>
    </w:rPr>
  </w:style>
  <w:style w:type="paragraph" w:customStyle="1" w:styleId="ProtectiveMarking">
    <w:name w:val="Protective Marking"/>
    <w:basedOn w:val="Normal"/>
    <w:uiPriority w:val="13"/>
    <w:rsid w:val="00E3515B"/>
    <w:pPr>
      <w:spacing w:after="0" w:line="240" w:lineRule="auto"/>
      <w:jc w:val="center"/>
    </w:pPr>
    <w:rPr>
      <w:rFonts w:asciiTheme="majorHAnsi" w:hAnsiTheme="majorHAnsi"/>
      <w:caps/>
      <w:noProof/>
      <w:color w:val="CD1719"/>
      <w:sz w:val="16"/>
    </w:rPr>
  </w:style>
  <w:style w:type="paragraph" w:customStyle="1" w:styleId="Footerline">
    <w:name w:val="Footer line"/>
    <w:uiPriority w:val="11"/>
    <w:semiHidden/>
    <w:rsid w:val="00E3515B"/>
    <w:pPr>
      <w:spacing w:before="20" w:after="240" w:line="264" w:lineRule="auto"/>
    </w:pPr>
    <w:rPr>
      <w:caps/>
      <w:noProof/>
      <w:color w:val="FFCA08" w:themeColor="accent1"/>
      <w:sz w:val="20"/>
      <w:szCs w:val="20"/>
    </w:rPr>
  </w:style>
  <w:style w:type="character" w:customStyle="1" w:styleId="ListParagraphChar">
    <w:name w:val="List Paragraph Char"/>
    <w:aliases w:val="List Paragraph1 Char,List Paragraph11 Char,List Paragraph Number Char,Bullet point Char,Bulleted Para Char,NFP GP Bulleted List Char,bullet point list Char,L Char,Bullet points Char,Content descriptions Char,Bullet Point Char"/>
    <w:basedOn w:val="DefaultParagraphFont"/>
    <w:link w:val="ListParagraph"/>
    <w:uiPriority w:val="34"/>
    <w:qFormat/>
    <w:locked/>
    <w:rsid w:val="00E3515B"/>
    <w:rPr>
      <w:color w:val="262626" w:themeColor="text1" w:themeTint="D9"/>
      <w:sz w:val="20"/>
      <w:szCs w:val="20"/>
    </w:rPr>
  </w:style>
  <w:style w:type="paragraph" w:styleId="BalloonText">
    <w:name w:val="Balloon Text"/>
    <w:basedOn w:val="Normal"/>
    <w:link w:val="BalloonTextChar"/>
    <w:uiPriority w:val="99"/>
    <w:semiHidden/>
    <w:unhideWhenUsed/>
    <w:rsid w:val="00857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F1"/>
    <w:rPr>
      <w:rFonts w:ascii="Segoe UI" w:hAnsi="Segoe UI" w:cs="Segoe UI"/>
      <w:color w:val="262626" w:themeColor="text1" w:themeTint="D9"/>
      <w:sz w:val="18"/>
      <w:szCs w:val="18"/>
    </w:rPr>
  </w:style>
  <w:style w:type="character" w:styleId="CommentReference">
    <w:name w:val="annotation reference"/>
    <w:basedOn w:val="DefaultParagraphFont"/>
    <w:uiPriority w:val="99"/>
    <w:semiHidden/>
    <w:unhideWhenUsed/>
    <w:rsid w:val="002B08C7"/>
    <w:rPr>
      <w:sz w:val="16"/>
      <w:szCs w:val="16"/>
    </w:rPr>
  </w:style>
  <w:style w:type="paragraph" w:styleId="CommentText">
    <w:name w:val="annotation text"/>
    <w:basedOn w:val="Normal"/>
    <w:link w:val="CommentTextChar"/>
    <w:uiPriority w:val="99"/>
    <w:semiHidden/>
    <w:unhideWhenUsed/>
    <w:rsid w:val="002B08C7"/>
    <w:pPr>
      <w:spacing w:line="240" w:lineRule="auto"/>
    </w:pPr>
  </w:style>
  <w:style w:type="character" w:customStyle="1" w:styleId="CommentTextChar">
    <w:name w:val="Comment Text Char"/>
    <w:basedOn w:val="DefaultParagraphFont"/>
    <w:link w:val="CommentText"/>
    <w:uiPriority w:val="99"/>
    <w:semiHidden/>
    <w:rsid w:val="002B08C7"/>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B08C7"/>
    <w:rPr>
      <w:b/>
      <w:bCs/>
    </w:rPr>
  </w:style>
  <w:style w:type="character" w:customStyle="1" w:styleId="CommentSubjectChar">
    <w:name w:val="Comment Subject Char"/>
    <w:basedOn w:val="CommentTextChar"/>
    <w:link w:val="CommentSubject"/>
    <w:uiPriority w:val="99"/>
    <w:semiHidden/>
    <w:rsid w:val="002B08C7"/>
    <w:rPr>
      <w:b/>
      <w:bCs/>
      <w:color w:val="262626" w:themeColor="text1" w:themeTint="D9"/>
      <w:sz w:val="20"/>
      <w:szCs w:val="20"/>
    </w:rPr>
  </w:style>
  <w:style w:type="paragraph" w:customStyle="1" w:styleId="Bullet3">
    <w:name w:val="Bullet 3"/>
    <w:basedOn w:val="Normal"/>
    <w:rsid w:val="004C2DF7"/>
    <w:pPr>
      <w:numPr>
        <w:numId w:val="10"/>
      </w:numPr>
      <w:spacing w:after="200" w:line="240" w:lineRule="auto"/>
    </w:pPr>
    <w:rPr>
      <w:rFonts w:ascii="Times New Roman" w:eastAsiaTheme="minorEastAsia" w:hAnsi="Times New Roman"/>
      <w:color w:val="auto"/>
      <w:sz w:val="24"/>
      <w:szCs w:val="24"/>
    </w:rPr>
  </w:style>
  <w:style w:type="character" w:customStyle="1" w:styleId="Heading4Char">
    <w:name w:val="Heading 4 Char"/>
    <w:basedOn w:val="DefaultParagraphFont"/>
    <w:link w:val="Heading4"/>
    <w:uiPriority w:val="9"/>
    <w:rsid w:val="001677D0"/>
    <w:rPr>
      <w:rFonts w:asciiTheme="majorHAnsi" w:eastAsiaTheme="majorEastAsia" w:hAnsiTheme="majorHAnsi" w:cstheme="majorBidi"/>
      <w:i/>
      <w:iCs/>
      <w:color w:val="C49A00" w:themeColor="accent1" w:themeShade="BF"/>
      <w:sz w:val="20"/>
      <w:szCs w:val="20"/>
    </w:rPr>
  </w:style>
  <w:style w:type="character" w:customStyle="1" w:styleId="Heading1Char">
    <w:name w:val="Heading 1 Char"/>
    <w:basedOn w:val="DefaultParagraphFont"/>
    <w:link w:val="Heading1"/>
    <w:uiPriority w:val="9"/>
    <w:rsid w:val="004C16B1"/>
    <w:rPr>
      <w:rFonts w:ascii="Century Gothic" w:eastAsiaTheme="majorEastAsia" w:hAnsi="Century Gothic" w:cstheme="majorBidi"/>
      <w:b/>
      <w:iCs/>
      <w:color w:val="EC7016" w:themeColor="accent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DOC21-356108</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94AB3EF-E8AF-472E-A96D-4674F4F1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3EBF5-2B60-4D07-BEB0-D0A13220877D}">
  <ds:schemaRefs>
    <ds:schemaRef ds:uri="http://schemas.microsoft.com/sharepoint/v3/contenttype/forms"/>
  </ds:schemaRefs>
</ds:datastoreItem>
</file>

<file path=customXml/itemProps3.xml><?xml version="1.0" encoding="utf-8"?>
<ds:datastoreItem xmlns:ds="http://schemas.openxmlformats.org/officeDocument/2006/customXml" ds:itemID="{2DA3F755-6996-4055-9CAF-E11012D9C505}">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85f9fda-bd71-4433-b331-92feb9553089"/>
    <ds:schemaRef ds:uri="166541c0-0594-4e6a-9105-c24d4b6de6f7"/>
    <ds:schemaRef ds:uri="http://www.w3.org/XML/1998/namespace"/>
  </ds:schemaRefs>
</ds:datastoreItem>
</file>

<file path=customXml/itemProps4.xml><?xml version="1.0" encoding="utf-8"?>
<ds:datastoreItem xmlns:ds="http://schemas.openxmlformats.org/officeDocument/2006/customXml" ds:itemID="{420795A5-4CB4-4954-A25F-F2369AC1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2022-01-25T02:23:00Z</dcterms:created>
  <dcterms:modified xsi:type="dcterms:W3CDTF">2022-01-25T02:34:00Z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2021-12-14T09:32:29</vt:lpwstr>
  </property>
</Properties>
</file>