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A57BED" w14:textId="75A105DE" w:rsidR="00E41A09" w:rsidRPr="0008132A" w:rsidRDefault="00E41A09" w:rsidP="00F75386">
      <w:pPr>
        <w:pStyle w:val="Covertitle"/>
        <w:rPr>
          <w:rFonts w:cs="Segoe UI"/>
          <w:b/>
          <w:color w:val="FFFFFF" w:themeColor="background1"/>
          <w:sz w:val="64"/>
          <w:szCs w:val="64"/>
        </w:rPr>
      </w:pPr>
      <w:r w:rsidRPr="0008132A">
        <w:rPr>
          <w:rFonts w:cs="Segoe UI"/>
          <w:b/>
          <w:noProof/>
          <w:color w:val="FFFFFF" w:themeColor="background1"/>
          <w:sz w:val="64"/>
          <w:szCs w:val="64"/>
        </w:rPr>
        <w:drawing>
          <wp:anchor distT="0" distB="0" distL="114300" distR="114300" simplePos="0" relativeHeight="251658241" behindDoc="1" locked="0" layoutInCell="1" allowOverlap="1" wp14:anchorId="5DE1F04E" wp14:editId="4DD84E44">
            <wp:simplePos x="0" y="0"/>
            <wp:positionH relativeFrom="page">
              <wp:posOffset>-12065</wp:posOffset>
            </wp:positionH>
            <wp:positionV relativeFrom="page">
              <wp:posOffset>-66675</wp:posOffset>
            </wp:positionV>
            <wp:extent cx="7559998" cy="10693741"/>
            <wp:effectExtent l="0" t="0" r="3175" b="0"/>
            <wp:wrapNone/>
            <wp:docPr id="27872" name="Picture 27872" descr="no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Kate Heslewood\Public\DesignDiagramsIdeas\Word cover_blue murmuration2_portrait.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559998" cy="10693741"/>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Fonts w:cs="Segoe UI"/>
            <w:b/>
            <w:color w:val="FFFFFF" w:themeColor="background1"/>
            <w:sz w:val="64"/>
            <w:szCs w:val="64"/>
          </w:rPr>
          <w:id w:val="-337852473"/>
          <w:docPartObj>
            <w:docPartGallery w:val="Cover Pages"/>
            <w:docPartUnique/>
          </w:docPartObj>
        </w:sdtPr>
        <w:sdtEndPr>
          <w:rPr>
            <w:sz w:val="36"/>
            <w:szCs w:val="36"/>
          </w:rPr>
        </w:sdtEndPr>
        <w:sdtContent>
          <w:sdt>
            <w:sdtPr>
              <w:rPr>
                <w:rFonts w:cs="Segoe UI"/>
                <w:b/>
                <w:color w:val="FFFFFF" w:themeColor="background1"/>
                <w:sz w:val="64"/>
                <w:szCs w:val="64"/>
              </w:rPr>
              <w:alias w:val="Title"/>
              <w:tag w:val=""/>
              <w:id w:val="-1995868770"/>
              <w:dataBinding w:prefixMappings="xmlns:ns0='http://purl.org/dc/elements/1.1/' xmlns:ns1='http://schemas.openxmlformats.org/package/2006/metadata/core-properties' " w:xpath="/ns1:coreProperties[1]/ns0:title[1]" w:storeItemID="{6C3C8BC8-F283-45AE-878A-BAB7291924A1}"/>
              <w:text/>
            </w:sdtPr>
            <w:sdtEndPr/>
            <w:sdtContent>
              <w:r w:rsidR="006A2E19" w:rsidRPr="006A2E19">
                <w:rPr>
                  <w:rFonts w:cs="Segoe UI"/>
                  <w:b/>
                  <w:color w:val="FFFFFF" w:themeColor="background1"/>
                  <w:sz w:val="64"/>
                  <w:szCs w:val="64"/>
                </w:rPr>
                <w:t>Review of Performance as a Native Title Representative Body: Central Land Council</w:t>
              </w:r>
            </w:sdtContent>
          </w:sdt>
        </w:sdtContent>
      </w:sdt>
    </w:p>
    <w:p w14:paraId="7B8FEAFE" w14:textId="2038DC69" w:rsidR="00E41A09" w:rsidRPr="0008132A" w:rsidRDefault="00583587" w:rsidP="00F75386">
      <w:pPr>
        <w:pStyle w:val="CoverPage-Client"/>
        <w:spacing w:before="360"/>
        <w:rPr>
          <w:rFonts w:cs="Segoe UI"/>
          <w:color w:val="F8981D" w:themeColor="accent3"/>
        </w:rPr>
      </w:pPr>
      <w:sdt>
        <w:sdtPr>
          <w:rPr>
            <w:rStyle w:val="CoverPage-ClientChar"/>
            <w:rFonts w:cs="Segoe UI"/>
            <w:color w:val="F8981D" w:themeColor="accent3"/>
          </w:rPr>
          <w:alias w:val="Subject"/>
          <w:tag w:val=""/>
          <w:id w:val="-1732222703"/>
          <w:dataBinding w:prefixMappings="xmlns:ns0='http://purl.org/dc/elements/1.1/' xmlns:ns1='http://schemas.openxmlformats.org/package/2006/metadata/core-properties' " w:xpath="/ns1:coreProperties[1]/ns0:subject[1]" w:storeItemID="{6C3C8BC8-F283-45AE-878A-BAB7291924A1}"/>
          <w:text/>
        </w:sdtPr>
        <w:sdtEndPr>
          <w:rPr>
            <w:rStyle w:val="CoverPage-ClientChar"/>
          </w:rPr>
        </w:sdtEndPr>
        <w:sdtContent>
          <w:r w:rsidR="002A4974" w:rsidRPr="002A4974">
            <w:rPr>
              <w:rStyle w:val="CoverPage-ClientChar"/>
              <w:rFonts w:cs="Segoe UI"/>
              <w:color w:val="F8981D" w:themeColor="accent3"/>
            </w:rPr>
            <w:t>Summary Report</w:t>
          </w:r>
        </w:sdtContent>
      </w:sdt>
    </w:p>
    <w:p w14:paraId="67F284EA" w14:textId="61A65921" w:rsidR="00E41A09" w:rsidRPr="0008132A" w:rsidRDefault="00270E00" w:rsidP="00831ABD">
      <w:pPr>
        <w:pStyle w:val="CoverPage-Date"/>
        <w:spacing w:before="240"/>
        <w:rPr>
          <w:color w:val="FFFFFF" w:themeColor="background1"/>
        </w:rPr>
        <w:sectPr w:rsidR="00E41A09" w:rsidRPr="0008132A" w:rsidSect="00E36891">
          <w:headerReference w:type="default" r:id="rId13"/>
          <w:footerReference w:type="default" r:id="rId14"/>
          <w:headerReference w:type="first" r:id="rId15"/>
          <w:pgSz w:w="11907" w:h="16839" w:code="9"/>
          <w:pgMar w:top="4820" w:right="1418" w:bottom="1701" w:left="1559" w:header="737" w:footer="567" w:gutter="0"/>
          <w:pgNumType w:start="0"/>
          <w:cols w:space="720"/>
          <w:titlePg/>
          <w:docGrid w:linePitch="360"/>
        </w:sectPr>
      </w:pPr>
      <w:r>
        <w:rPr>
          <w:rStyle w:val="CoverPage-DateChar"/>
          <w:rFonts w:cs="Segoe UI"/>
          <w:color w:val="FFFFFF" w:themeColor="background1"/>
          <w:sz w:val="20"/>
          <w:szCs w:val="20"/>
        </w:rPr>
        <w:t>March 2021</w:t>
      </w:r>
    </w:p>
    <w:bookmarkStart w:id="0" w:name="_Toc62459429" w:displacedByCustomXml="next"/>
    <w:sdt>
      <w:sdtPr>
        <w:id w:val="-422653185"/>
        <w:docPartObj>
          <w:docPartGallery w:val="Table of Contents"/>
          <w:docPartUnique/>
        </w:docPartObj>
      </w:sdtPr>
      <w:sdtEndPr/>
      <w:sdtContent>
        <w:p w14:paraId="3FFAE460" w14:textId="54BBFF56" w:rsidR="00DD4D72" w:rsidRPr="0008132A" w:rsidRDefault="00DD4D72" w:rsidP="00DD4D72">
          <w:pPr>
            <w:rPr>
              <w:i/>
              <w:iCs/>
            </w:rPr>
          </w:pPr>
        </w:p>
        <w:p w14:paraId="17180B8D" w14:textId="77777777" w:rsidR="00DD4D72" w:rsidRPr="0008132A" w:rsidRDefault="00DD4D72" w:rsidP="00DD4D72"/>
        <w:p w14:paraId="107FCE15" w14:textId="77777777" w:rsidR="00DD4D72" w:rsidRPr="0008132A" w:rsidRDefault="00DD4D72" w:rsidP="00DD4D72"/>
        <w:p w14:paraId="1211B567" w14:textId="77777777" w:rsidR="00DD4D72" w:rsidRPr="0008132A" w:rsidRDefault="00DD4D72" w:rsidP="00DD4D72"/>
        <w:p w14:paraId="4C68E59E" w14:textId="77777777" w:rsidR="00DD4D72" w:rsidRPr="0008132A" w:rsidRDefault="00DD4D72" w:rsidP="00DD4D72"/>
        <w:p w14:paraId="6F3DB6E3" w14:textId="77777777" w:rsidR="00DD4D72" w:rsidRPr="0008132A" w:rsidRDefault="00DD4D72" w:rsidP="00DD4D72"/>
        <w:p w14:paraId="2D9E1029" w14:textId="77777777" w:rsidR="00DD4D72" w:rsidRPr="0008132A" w:rsidRDefault="00DD4D72" w:rsidP="00DD4D72"/>
        <w:p w14:paraId="23DECBBD" w14:textId="77777777" w:rsidR="00DD4D72" w:rsidRPr="0008132A" w:rsidRDefault="00DD4D72" w:rsidP="00DD4D72"/>
        <w:p w14:paraId="353AD925" w14:textId="77777777" w:rsidR="00DD4D72" w:rsidRPr="0008132A" w:rsidRDefault="00DD4D72" w:rsidP="00DD4D72"/>
        <w:p w14:paraId="2DA91EDC" w14:textId="77777777" w:rsidR="00DD4D72" w:rsidRPr="0008132A" w:rsidRDefault="00DD4D72" w:rsidP="00DD4D72"/>
        <w:p w14:paraId="4C119D29" w14:textId="77777777" w:rsidR="00DD4D72" w:rsidRPr="0008132A" w:rsidRDefault="00DD4D72" w:rsidP="00DD4D72">
          <w:pPr>
            <w:rPr>
              <w:i/>
            </w:rPr>
          </w:pPr>
        </w:p>
        <w:p w14:paraId="5AC7136C" w14:textId="77777777" w:rsidR="00DD4D72" w:rsidRPr="0008132A" w:rsidRDefault="00DD4D72" w:rsidP="00DD4D72">
          <w:pPr>
            <w:rPr>
              <w:i/>
            </w:rPr>
          </w:pPr>
        </w:p>
        <w:p w14:paraId="2240F4CC" w14:textId="77777777" w:rsidR="00DD4D72" w:rsidRPr="0008132A" w:rsidRDefault="00DD4D72" w:rsidP="00DD4D72">
          <w:pPr>
            <w:rPr>
              <w:i/>
            </w:rPr>
          </w:pPr>
        </w:p>
        <w:p w14:paraId="30FBF26E" w14:textId="77777777" w:rsidR="00DD4D72" w:rsidRPr="0008132A" w:rsidRDefault="00DD4D72" w:rsidP="00DD4D72">
          <w:pPr>
            <w:rPr>
              <w:i/>
            </w:rPr>
          </w:pPr>
        </w:p>
        <w:p w14:paraId="4C9021E7" w14:textId="77777777" w:rsidR="00DD4D72" w:rsidRPr="0008132A" w:rsidRDefault="00DD4D72" w:rsidP="00DD4D72">
          <w:pPr>
            <w:rPr>
              <w:i/>
            </w:rPr>
          </w:pPr>
        </w:p>
        <w:p w14:paraId="507180BF" w14:textId="77777777" w:rsidR="00DD4D72" w:rsidRPr="0008132A" w:rsidRDefault="00DD4D72" w:rsidP="00DD4D72">
          <w:pPr>
            <w:rPr>
              <w:i/>
            </w:rPr>
          </w:pPr>
        </w:p>
        <w:p w14:paraId="2D64F375" w14:textId="77777777" w:rsidR="00DD4D72" w:rsidRPr="0008132A" w:rsidRDefault="00DD4D72" w:rsidP="00DD4D72">
          <w:pPr>
            <w:rPr>
              <w:i/>
            </w:rPr>
          </w:pPr>
        </w:p>
        <w:p w14:paraId="14DCA1B4" w14:textId="77777777" w:rsidR="00DD4D72" w:rsidRPr="0008132A" w:rsidRDefault="00DD4D72" w:rsidP="00DD4D72">
          <w:pPr>
            <w:rPr>
              <w:i/>
            </w:rPr>
          </w:pPr>
        </w:p>
        <w:p w14:paraId="6F3433D4" w14:textId="77777777" w:rsidR="00DD4D72" w:rsidRPr="0008132A" w:rsidRDefault="00DD4D72" w:rsidP="00DD4D72">
          <w:pPr>
            <w:rPr>
              <w:i/>
            </w:rPr>
          </w:pPr>
        </w:p>
        <w:p w14:paraId="40B54A1F" w14:textId="77777777" w:rsidR="00DD4D72" w:rsidRPr="0008132A" w:rsidRDefault="00DD4D72" w:rsidP="00DD4D72">
          <w:pPr>
            <w:rPr>
              <w:i/>
            </w:rPr>
          </w:pPr>
        </w:p>
        <w:p w14:paraId="05E955B7" w14:textId="77777777" w:rsidR="00DD4D72" w:rsidRPr="0008132A" w:rsidRDefault="00DD4D72" w:rsidP="00DD4D72">
          <w:pPr>
            <w:rPr>
              <w:i/>
            </w:rPr>
          </w:pPr>
        </w:p>
        <w:p w14:paraId="638A07C6" w14:textId="77777777" w:rsidR="00DD4D72" w:rsidRPr="0008132A" w:rsidRDefault="00DD4D72" w:rsidP="00DD4D72">
          <w:pPr>
            <w:rPr>
              <w:i/>
            </w:rPr>
          </w:pPr>
        </w:p>
        <w:p w14:paraId="41591CE8" w14:textId="77777777" w:rsidR="00DD4D72" w:rsidRPr="0008132A" w:rsidRDefault="00DD4D72" w:rsidP="00DD4D72">
          <w:pPr>
            <w:rPr>
              <w:i/>
            </w:rPr>
          </w:pPr>
        </w:p>
        <w:p w14:paraId="12B6D24A" w14:textId="77777777" w:rsidR="00DD4D72" w:rsidRPr="0008132A" w:rsidRDefault="00DD4D72" w:rsidP="00DD4D72">
          <w:pPr>
            <w:rPr>
              <w:i/>
            </w:rPr>
          </w:pPr>
        </w:p>
        <w:p w14:paraId="0AAE2AD7" w14:textId="77777777" w:rsidR="00DD4D72" w:rsidRPr="0008132A" w:rsidRDefault="00DD4D72" w:rsidP="00DD4D72">
          <w:pPr>
            <w:rPr>
              <w:i/>
            </w:rPr>
          </w:pPr>
        </w:p>
        <w:p w14:paraId="56AE384B" w14:textId="77777777" w:rsidR="00DD4D72" w:rsidRPr="0008132A" w:rsidRDefault="00DD4D72" w:rsidP="00DD4D72">
          <w:pPr>
            <w:rPr>
              <w:b/>
              <w:i/>
            </w:rPr>
          </w:pPr>
          <w:r w:rsidRPr="0008132A">
            <w:rPr>
              <w:b/>
              <w:i/>
            </w:rPr>
            <w:t xml:space="preserve">Disclaimer: </w:t>
          </w:r>
        </w:p>
        <w:p w14:paraId="74B28C4E" w14:textId="77777777" w:rsidR="00DD4D72" w:rsidRPr="0008132A" w:rsidRDefault="00DD4D72" w:rsidP="00DD4D72">
          <w:pPr>
            <w:rPr>
              <w:i/>
            </w:rPr>
          </w:pPr>
          <w:r w:rsidRPr="0008132A">
            <w:rPr>
              <w:i/>
            </w:rPr>
            <w:t>Nous Group (</w:t>
          </w:r>
          <w:r w:rsidRPr="0008132A">
            <w:rPr>
              <w:b/>
              <w:i/>
            </w:rPr>
            <w:t>Nous</w:t>
          </w:r>
          <w:r w:rsidRPr="0008132A">
            <w:rPr>
              <w:i/>
            </w:rPr>
            <w:t xml:space="preserve">) has prepared this report for the benefit of Indigenous Affairs Group of the Department of the Prime Minister and Cabinet, now the National Indigenous Australians Agency (the </w:t>
          </w:r>
          <w:r w:rsidRPr="0008132A">
            <w:rPr>
              <w:b/>
              <w:i/>
            </w:rPr>
            <w:t>Client</w:t>
          </w:r>
          <w:r w:rsidRPr="0008132A">
            <w:rPr>
              <w:i/>
            </w:rPr>
            <w:t xml:space="preserve">). </w:t>
          </w:r>
        </w:p>
        <w:p w14:paraId="00BD7E3B" w14:textId="77777777" w:rsidR="00DD4D72" w:rsidRPr="0008132A" w:rsidRDefault="00DD4D72" w:rsidP="00DD4D72">
          <w:pPr>
            <w:rPr>
              <w:i/>
            </w:rPr>
          </w:pPr>
          <w:r w:rsidRPr="0008132A">
            <w:rPr>
              <w:i/>
            </w:rPr>
            <w:t>The report should not be used or relied upon for any purpose other than as an expression of the conclusions and recommendations of Nous to the Client as to the matters within the scope of the report. Nous and its officers and employees expressly disclaim any liability to any person other than the Client who relies or purports to rely on the report for any other purpose. Nous has prepared the report with care and diligence. The conclusions and recommendations given by Nous in the report are given in good faith and in the reasonable belief that they are correct and not misleading. The report has been prepared by Nous based on information provided by the Client and by other persons. Nous has relied on that information and has not independently verified or audited that information.</w:t>
          </w:r>
        </w:p>
        <w:p w14:paraId="00A05483" w14:textId="72808F2F" w:rsidR="00DD4D72" w:rsidRPr="0008132A" w:rsidRDefault="00DD4D72" w:rsidP="00DD4D72">
          <w:pPr>
            <w:rPr>
              <w:i/>
            </w:rPr>
          </w:pPr>
          <w:r w:rsidRPr="0008132A">
            <w:rPr>
              <w:i/>
            </w:rPr>
            <w:t>This review covered the period from July 201</w:t>
          </w:r>
          <w:r w:rsidR="005758E8" w:rsidRPr="0008132A">
            <w:rPr>
              <w:i/>
            </w:rPr>
            <w:t>6</w:t>
          </w:r>
          <w:r w:rsidRPr="0008132A">
            <w:rPr>
              <w:i/>
            </w:rPr>
            <w:t xml:space="preserve"> to June 20</w:t>
          </w:r>
          <w:r w:rsidR="000F052D" w:rsidRPr="0008132A">
            <w:rPr>
              <w:i/>
            </w:rPr>
            <w:t>19</w:t>
          </w:r>
          <w:r w:rsidRPr="0008132A">
            <w:rPr>
              <w:i/>
            </w:rPr>
            <w:t xml:space="preserve">. Findings relate to this time period unless otherwise stated. Nous conducted the review between </w:t>
          </w:r>
          <w:r w:rsidR="000F052D" w:rsidRPr="0008132A">
            <w:rPr>
              <w:i/>
            </w:rPr>
            <w:t>January 2020</w:t>
          </w:r>
          <w:r w:rsidRPr="0008132A">
            <w:rPr>
              <w:i/>
            </w:rPr>
            <w:t xml:space="preserve"> and </w:t>
          </w:r>
          <w:r w:rsidR="005E5A55">
            <w:rPr>
              <w:i/>
            </w:rPr>
            <w:t>October</w:t>
          </w:r>
          <w:r w:rsidR="000F052D" w:rsidRPr="0008132A">
            <w:rPr>
              <w:i/>
            </w:rPr>
            <w:t xml:space="preserve"> 2020</w:t>
          </w:r>
          <w:r w:rsidRPr="0008132A">
            <w:rPr>
              <w:i/>
            </w:rPr>
            <w:t>.</w:t>
          </w:r>
          <w:r w:rsidRPr="0008132A">
            <w:rPr>
              <w:i/>
            </w:rPr>
            <w:br w:type="page"/>
          </w:r>
        </w:p>
        <w:p w14:paraId="21D6C61D" w14:textId="77777777" w:rsidR="00DD4D72" w:rsidRPr="0008132A" w:rsidRDefault="00DD4D72" w:rsidP="00DD4D72">
          <w:pPr>
            <w:rPr>
              <w:rFonts w:ascii="Segoe UI Semibold" w:hAnsi="Segoe UI Semibold"/>
              <w:color w:val="00264D" w:themeColor="background2"/>
              <w:sz w:val="36"/>
              <w:szCs w:val="36"/>
            </w:rPr>
          </w:pPr>
          <w:r w:rsidRPr="0008132A">
            <w:rPr>
              <w:rFonts w:ascii="Segoe UI Semibold" w:hAnsi="Segoe UI Semibold"/>
              <w:color w:val="00264D" w:themeColor="background2"/>
              <w:sz w:val="36"/>
              <w:szCs w:val="36"/>
            </w:rPr>
            <w:lastRenderedPageBreak/>
            <w:t>Contents</w:t>
          </w:r>
        </w:p>
        <w:p w14:paraId="41BE4EEA" w14:textId="590506C9" w:rsidR="000D664D" w:rsidRDefault="00DD4D72">
          <w:pPr>
            <w:pStyle w:val="TOC1"/>
            <w:rPr>
              <w:rFonts w:asciiTheme="minorHAnsi" w:eastAsiaTheme="minorEastAsia" w:hAnsiTheme="minorHAnsi"/>
              <w:sz w:val="22"/>
              <w:lang w:val="en-AU" w:eastAsia="en-AU"/>
            </w:rPr>
          </w:pPr>
          <w:r w:rsidRPr="0008132A">
            <w:rPr>
              <w:noProof w:val="0"/>
              <w:lang w:val="en-AU"/>
            </w:rPr>
            <w:fldChar w:fldCharType="begin"/>
          </w:r>
          <w:r w:rsidRPr="0008132A">
            <w:rPr>
              <w:lang w:val="en-AU"/>
            </w:rPr>
            <w:instrText xml:space="preserve"> TOC \o "1-3" \h \z \u </w:instrText>
          </w:r>
          <w:r w:rsidRPr="0008132A">
            <w:rPr>
              <w:noProof w:val="0"/>
              <w:lang w:val="en-AU"/>
            </w:rPr>
            <w:fldChar w:fldCharType="separate"/>
          </w:r>
          <w:hyperlink w:anchor="_Toc68072663" w:history="1">
            <w:r w:rsidR="000D664D" w:rsidRPr="00A9318F">
              <w:rPr>
                <w:rStyle w:val="Hyperlink"/>
              </w:rPr>
              <w:t>1</w:t>
            </w:r>
            <w:r w:rsidR="000D664D">
              <w:rPr>
                <w:rFonts w:asciiTheme="minorHAnsi" w:eastAsiaTheme="minorEastAsia" w:hAnsiTheme="minorHAnsi"/>
                <w:sz w:val="22"/>
                <w:lang w:val="en-AU" w:eastAsia="en-AU"/>
              </w:rPr>
              <w:tab/>
            </w:r>
            <w:r w:rsidR="000D664D" w:rsidRPr="00A9318F">
              <w:rPr>
                <w:rStyle w:val="Hyperlink"/>
              </w:rPr>
              <w:t>About the review</w:t>
            </w:r>
            <w:r w:rsidR="000D664D">
              <w:rPr>
                <w:webHidden/>
              </w:rPr>
              <w:tab/>
            </w:r>
            <w:r w:rsidR="000D664D">
              <w:rPr>
                <w:webHidden/>
              </w:rPr>
              <w:fldChar w:fldCharType="begin"/>
            </w:r>
            <w:r w:rsidR="000D664D">
              <w:rPr>
                <w:webHidden/>
              </w:rPr>
              <w:instrText xml:space="preserve"> PAGEREF _Toc68072663 \h </w:instrText>
            </w:r>
            <w:r w:rsidR="000D664D">
              <w:rPr>
                <w:webHidden/>
              </w:rPr>
            </w:r>
            <w:r w:rsidR="000D664D">
              <w:rPr>
                <w:webHidden/>
              </w:rPr>
              <w:fldChar w:fldCharType="separate"/>
            </w:r>
            <w:r w:rsidR="000D664D">
              <w:rPr>
                <w:webHidden/>
              </w:rPr>
              <w:t>3</w:t>
            </w:r>
            <w:r w:rsidR="000D664D">
              <w:rPr>
                <w:webHidden/>
              </w:rPr>
              <w:fldChar w:fldCharType="end"/>
            </w:r>
          </w:hyperlink>
        </w:p>
        <w:p w14:paraId="3CE62C04" w14:textId="7A8F7524" w:rsidR="000D664D" w:rsidRDefault="00583587">
          <w:pPr>
            <w:pStyle w:val="TOC1"/>
            <w:rPr>
              <w:rFonts w:asciiTheme="minorHAnsi" w:eastAsiaTheme="minorEastAsia" w:hAnsiTheme="minorHAnsi"/>
              <w:sz w:val="22"/>
              <w:lang w:val="en-AU" w:eastAsia="en-AU"/>
            </w:rPr>
          </w:pPr>
          <w:hyperlink w:anchor="_Toc68072664" w:history="1">
            <w:r w:rsidR="000D664D" w:rsidRPr="00A9318F">
              <w:rPr>
                <w:rStyle w:val="Hyperlink"/>
              </w:rPr>
              <w:t>2</w:t>
            </w:r>
            <w:r w:rsidR="000D664D">
              <w:rPr>
                <w:rFonts w:asciiTheme="minorHAnsi" w:eastAsiaTheme="minorEastAsia" w:hAnsiTheme="minorHAnsi"/>
                <w:sz w:val="22"/>
                <w:lang w:val="en-AU" w:eastAsia="en-AU"/>
              </w:rPr>
              <w:tab/>
            </w:r>
            <w:r w:rsidR="000D664D" w:rsidRPr="00A9318F">
              <w:rPr>
                <w:rStyle w:val="Hyperlink"/>
              </w:rPr>
              <w:t>Profile of the CLC</w:t>
            </w:r>
            <w:r w:rsidR="000D664D">
              <w:rPr>
                <w:webHidden/>
              </w:rPr>
              <w:tab/>
            </w:r>
            <w:r w:rsidR="000D664D">
              <w:rPr>
                <w:webHidden/>
              </w:rPr>
              <w:fldChar w:fldCharType="begin"/>
            </w:r>
            <w:r w:rsidR="000D664D">
              <w:rPr>
                <w:webHidden/>
              </w:rPr>
              <w:instrText xml:space="preserve"> PAGEREF _Toc68072664 \h </w:instrText>
            </w:r>
            <w:r w:rsidR="000D664D">
              <w:rPr>
                <w:webHidden/>
              </w:rPr>
            </w:r>
            <w:r w:rsidR="000D664D">
              <w:rPr>
                <w:webHidden/>
              </w:rPr>
              <w:fldChar w:fldCharType="separate"/>
            </w:r>
            <w:r w:rsidR="000D664D">
              <w:rPr>
                <w:webHidden/>
              </w:rPr>
              <w:t>4</w:t>
            </w:r>
            <w:r w:rsidR="000D664D">
              <w:rPr>
                <w:webHidden/>
              </w:rPr>
              <w:fldChar w:fldCharType="end"/>
            </w:r>
          </w:hyperlink>
        </w:p>
        <w:p w14:paraId="65337A74" w14:textId="06765616" w:rsidR="000D664D" w:rsidRDefault="00583587">
          <w:pPr>
            <w:pStyle w:val="TOC1"/>
            <w:rPr>
              <w:rFonts w:asciiTheme="minorHAnsi" w:eastAsiaTheme="minorEastAsia" w:hAnsiTheme="minorHAnsi"/>
              <w:sz w:val="22"/>
              <w:lang w:val="en-AU" w:eastAsia="en-AU"/>
            </w:rPr>
          </w:pPr>
          <w:hyperlink w:anchor="_Toc68072665" w:history="1">
            <w:r w:rsidR="000D664D" w:rsidRPr="00A9318F">
              <w:rPr>
                <w:rStyle w:val="Hyperlink"/>
              </w:rPr>
              <w:t>3</w:t>
            </w:r>
            <w:r w:rsidR="000D664D">
              <w:rPr>
                <w:rFonts w:asciiTheme="minorHAnsi" w:eastAsiaTheme="minorEastAsia" w:hAnsiTheme="minorHAnsi"/>
                <w:sz w:val="22"/>
                <w:lang w:val="en-AU" w:eastAsia="en-AU"/>
              </w:rPr>
              <w:tab/>
            </w:r>
            <w:r w:rsidR="000D664D" w:rsidRPr="00A9318F">
              <w:rPr>
                <w:rStyle w:val="Hyperlink"/>
              </w:rPr>
              <w:t>Findings and recommendations by TOR</w:t>
            </w:r>
            <w:r w:rsidR="000D664D">
              <w:rPr>
                <w:webHidden/>
              </w:rPr>
              <w:tab/>
            </w:r>
            <w:r w:rsidR="000D664D">
              <w:rPr>
                <w:webHidden/>
              </w:rPr>
              <w:fldChar w:fldCharType="begin"/>
            </w:r>
            <w:r w:rsidR="000D664D">
              <w:rPr>
                <w:webHidden/>
              </w:rPr>
              <w:instrText xml:space="preserve"> PAGEREF _Toc68072665 \h </w:instrText>
            </w:r>
            <w:r w:rsidR="000D664D">
              <w:rPr>
                <w:webHidden/>
              </w:rPr>
            </w:r>
            <w:r w:rsidR="000D664D">
              <w:rPr>
                <w:webHidden/>
              </w:rPr>
              <w:fldChar w:fldCharType="separate"/>
            </w:r>
            <w:r w:rsidR="000D664D">
              <w:rPr>
                <w:webHidden/>
              </w:rPr>
              <w:t>6</w:t>
            </w:r>
            <w:r w:rsidR="000D664D">
              <w:rPr>
                <w:webHidden/>
              </w:rPr>
              <w:fldChar w:fldCharType="end"/>
            </w:r>
          </w:hyperlink>
        </w:p>
        <w:p w14:paraId="02EDAEA7" w14:textId="0C595CB8" w:rsidR="000D664D" w:rsidRDefault="00583587">
          <w:pPr>
            <w:pStyle w:val="TOC1"/>
            <w:rPr>
              <w:rFonts w:asciiTheme="minorHAnsi" w:eastAsiaTheme="minorEastAsia" w:hAnsiTheme="minorHAnsi"/>
              <w:sz w:val="22"/>
              <w:lang w:val="en-AU" w:eastAsia="en-AU"/>
            </w:rPr>
          </w:pPr>
          <w:hyperlink w:anchor="_Toc68072666" w:history="1">
            <w:r w:rsidR="000D664D" w:rsidRPr="00A9318F">
              <w:rPr>
                <w:rStyle w:val="Hyperlink"/>
              </w:rPr>
              <w:t>Appendix A</w:t>
            </w:r>
            <w:r w:rsidR="000D664D">
              <w:rPr>
                <w:rFonts w:asciiTheme="minorHAnsi" w:eastAsiaTheme="minorEastAsia" w:hAnsiTheme="minorHAnsi"/>
                <w:sz w:val="22"/>
                <w:lang w:val="en-AU" w:eastAsia="en-AU"/>
              </w:rPr>
              <w:tab/>
            </w:r>
            <w:r w:rsidR="000D664D" w:rsidRPr="00A9318F">
              <w:rPr>
                <w:rStyle w:val="Hyperlink"/>
              </w:rPr>
              <w:t>Terms of Reference</w:t>
            </w:r>
            <w:r w:rsidR="000D664D">
              <w:rPr>
                <w:webHidden/>
              </w:rPr>
              <w:tab/>
            </w:r>
            <w:r w:rsidR="000D664D">
              <w:rPr>
                <w:webHidden/>
              </w:rPr>
              <w:fldChar w:fldCharType="begin"/>
            </w:r>
            <w:r w:rsidR="000D664D">
              <w:rPr>
                <w:webHidden/>
              </w:rPr>
              <w:instrText xml:space="preserve"> PAGEREF _Toc68072666 \h </w:instrText>
            </w:r>
            <w:r w:rsidR="000D664D">
              <w:rPr>
                <w:webHidden/>
              </w:rPr>
            </w:r>
            <w:r w:rsidR="000D664D">
              <w:rPr>
                <w:webHidden/>
              </w:rPr>
              <w:fldChar w:fldCharType="separate"/>
            </w:r>
            <w:r w:rsidR="000D664D">
              <w:rPr>
                <w:webHidden/>
              </w:rPr>
              <w:t>15</w:t>
            </w:r>
            <w:r w:rsidR="000D664D">
              <w:rPr>
                <w:webHidden/>
              </w:rPr>
              <w:fldChar w:fldCharType="end"/>
            </w:r>
          </w:hyperlink>
        </w:p>
        <w:p w14:paraId="7351EF77" w14:textId="5AE2401B" w:rsidR="000D664D" w:rsidRDefault="00583587">
          <w:pPr>
            <w:pStyle w:val="TOC1"/>
            <w:rPr>
              <w:rFonts w:asciiTheme="minorHAnsi" w:eastAsiaTheme="minorEastAsia" w:hAnsiTheme="minorHAnsi"/>
              <w:sz w:val="22"/>
              <w:lang w:val="en-AU" w:eastAsia="en-AU"/>
            </w:rPr>
          </w:pPr>
          <w:hyperlink w:anchor="_Toc68072667" w:history="1">
            <w:r w:rsidR="000D664D" w:rsidRPr="00A9318F">
              <w:rPr>
                <w:rStyle w:val="Hyperlink"/>
              </w:rPr>
              <w:t>Appendix B</w:t>
            </w:r>
            <w:r w:rsidR="000D664D">
              <w:rPr>
                <w:rFonts w:asciiTheme="minorHAnsi" w:eastAsiaTheme="minorEastAsia" w:hAnsiTheme="minorHAnsi"/>
                <w:sz w:val="22"/>
                <w:lang w:val="en-AU" w:eastAsia="en-AU"/>
              </w:rPr>
              <w:tab/>
            </w:r>
            <w:r w:rsidR="000D664D" w:rsidRPr="00A9318F">
              <w:rPr>
                <w:rStyle w:val="Hyperlink"/>
              </w:rPr>
              <w:t>NTRB-SPs under review</w:t>
            </w:r>
            <w:r w:rsidR="000D664D">
              <w:rPr>
                <w:webHidden/>
              </w:rPr>
              <w:tab/>
            </w:r>
            <w:r w:rsidR="000D664D">
              <w:rPr>
                <w:webHidden/>
              </w:rPr>
              <w:fldChar w:fldCharType="begin"/>
            </w:r>
            <w:r w:rsidR="000D664D">
              <w:rPr>
                <w:webHidden/>
              </w:rPr>
              <w:instrText xml:space="preserve"> PAGEREF _Toc68072667 \h </w:instrText>
            </w:r>
            <w:r w:rsidR="000D664D">
              <w:rPr>
                <w:webHidden/>
              </w:rPr>
            </w:r>
            <w:r w:rsidR="000D664D">
              <w:rPr>
                <w:webHidden/>
              </w:rPr>
              <w:fldChar w:fldCharType="separate"/>
            </w:r>
            <w:r w:rsidR="000D664D">
              <w:rPr>
                <w:webHidden/>
              </w:rPr>
              <w:t>16</w:t>
            </w:r>
            <w:r w:rsidR="000D664D">
              <w:rPr>
                <w:webHidden/>
              </w:rPr>
              <w:fldChar w:fldCharType="end"/>
            </w:r>
          </w:hyperlink>
        </w:p>
        <w:p w14:paraId="295CAE48" w14:textId="44F767CA" w:rsidR="000D664D" w:rsidRDefault="00583587">
          <w:pPr>
            <w:pStyle w:val="TOC1"/>
            <w:rPr>
              <w:rFonts w:asciiTheme="minorHAnsi" w:eastAsiaTheme="minorEastAsia" w:hAnsiTheme="minorHAnsi"/>
              <w:sz w:val="22"/>
              <w:lang w:val="en-AU" w:eastAsia="en-AU"/>
            </w:rPr>
          </w:pPr>
          <w:hyperlink w:anchor="_Toc68072668" w:history="1">
            <w:r w:rsidR="000D664D" w:rsidRPr="00A9318F">
              <w:rPr>
                <w:rStyle w:val="Hyperlink"/>
              </w:rPr>
              <w:t>Appendix C</w:t>
            </w:r>
            <w:r w:rsidR="000D664D">
              <w:rPr>
                <w:rFonts w:asciiTheme="minorHAnsi" w:eastAsiaTheme="minorEastAsia" w:hAnsiTheme="minorHAnsi"/>
                <w:sz w:val="22"/>
                <w:lang w:val="en-AU" w:eastAsia="en-AU"/>
              </w:rPr>
              <w:tab/>
            </w:r>
            <w:r w:rsidR="000D664D" w:rsidRPr="00A9318F">
              <w:rPr>
                <w:rStyle w:val="Hyperlink"/>
              </w:rPr>
              <w:t>Stakeholders consulted</w:t>
            </w:r>
            <w:r w:rsidR="000D664D">
              <w:rPr>
                <w:webHidden/>
              </w:rPr>
              <w:tab/>
            </w:r>
            <w:r w:rsidR="000D664D">
              <w:rPr>
                <w:webHidden/>
              </w:rPr>
              <w:fldChar w:fldCharType="begin"/>
            </w:r>
            <w:r w:rsidR="000D664D">
              <w:rPr>
                <w:webHidden/>
              </w:rPr>
              <w:instrText xml:space="preserve"> PAGEREF _Toc68072668 \h </w:instrText>
            </w:r>
            <w:r w:rsidR="000D664D">
              <w:rPr>
                <w:webHidden/>
              </w:rPr>
            </w:r>
            <w:r w:rsidR="000D664D">
              <w:rPr>
                <w:webHidden/>
              </w:rPr>
              <w:fldChar w:fldCharType="separate"/>
            </w:r>
            <w:r w:rsidR="000D664D">
              <w:rPr>
                <w:webHidden/>
              </w:rPr>
              <w:t>17</w:t>
            </w:r>
            <w:r w:rsidR="000D664D">
              <w:rPr>
                <w:webHidden/>
              </w:rPr>
              <w:fldChar w:fldCharType="end"/>
            </w:r>
          </w:hyperlink>
        </w:p>
        <w:p w14:paraId="6396C8E9" w14:textId="1DB8C8F6" w:rsidR="000D664D" w:rsidRDefault="00583587">
          <w:pPr>
            <w:pStyle w:val="TOC1"/>
            <w:rPr>
              <w:rFonts w:asciiTheme="minorHAnsi" w:eastAsiaTheme="minorEastAsia" w:hAnsiTheme="minorHAnsi"/>
              <w:sz w:val="22"/>
              <w:lang w:val="en-AU" w:eastAsia="en-AU"/>
            </w:rPr>
          </w:pPr>
          <w:hyperlink w:anchor="_Toc68072669" w:history="1">
            <w:r w:rsidR="000D664D" w:rsidRPr="00A9318F">
              <w:rPr>
                <w:rStyle w:val="Hyperlink"/>
              </w:rPr>
              <w:t>Appendix D</w:t>
            </w:r>
            <w:r w:rsidR="000D664D">
              <w:rPr>
                <w:rFonts w:asciiTheme="minorHAnsi" w:eastAsiaTheme="minorEastAsia" w:hAnsiTheme="minorHAnsi"/>
                <w:sz w:val="22"/>
                <w:lang w:val="en-AU" w:eastAsia="en-AU"/>
              </w:rPr>
              <w:tab/>
            </w:r>
            <w:r w:rsidR="000D664D" w:rsidRPr="00A9318F">
              <w:rPr>
                <w:rStyle w:val="Hyperlink"/>
              </w:rPr>
              <w:t>Methodology</w:t>
            </w:r>
            <w:r w:rsidR="000D664D">
              <w:rPr>
                <w:webHidden/>
              </w:rPr>
              <w:tab/>
            </w:r>
            <w:r w:rsidR="000D664D">
              <w:rPr>
                <w:webHidden/>
              </w:rPr>
              <w:fldChar w:fldCharType="begin"/>
            </w:r>
            <w:r w:rsidR="000D664D">
              <w:rPr>
                <w:webHidden/>
              </w:rPr>
              <w:instrText xml:space="preserve"> PAGEREF _Toc68072669 \h </w:instrText>
            </w:r>
            <w:r w:rsidR="000D664D">
              <w:rPr>
                <w:webHidden/>
              </w:rPr>
            </w:r>
            <w:r w:rsidR="000D664D">
              <w:rPr>
                <w:webHidden/>
              </w:rPr>
              <w:fldChar w:fldCharType="separate"/>
            </w:r>
            <w:r w:rsidR="000D664D">
              <w:rPr>
                <w:webHidden/>
              </w:rPr>
              <w:t>18</w:t>
            </w:r>
            <w:r w:rsidR="000D664D">
              <w:rPr>
                <w:webHidden/>
              </w:rPr>
              <w:fldChar w:fldCharType="end"/>
            </w:r>
          </w:hyperlink>
        </w:p>
        <w:p w14:paraId="2AA67ACC" w14:textId="73D0C529" w:rsidR="000D664D" w:rsidRDefault="00583587">
          <w:pPr>
            <w:pStyle w:val="TOC1"/>
            <w:rPr>
              <w:rFonts w:asciiTheme="minorHAnsi" w:eastAsiaTheme="minorEastAsia" w:hAnsiTheme="minorHAnsi"/>
              <w:sz w:val="22"/>
              <w:lang w:val="en-AU" w:eastAsia="en-AU"/>
            </w:rPr>
          </w:pPr>
          <w:hyperlink w:anchor="_Toc68072670" w:history="1">
            <w:r w:rsidR="000D664D" w:rsidRPr="00A9318F">
              <w:rPr>
                <w:rStyle w:val="Hyperlink"/>
              </w:rPr>
              <w:t>Appendix E</w:t>
            </w:r>
            <w:r w:rsidR="000D664D">
              <w:rPr>
                <w:rFonts w:asciiTheme="minorHAnsi" w:eastAsiaTheme="minorEastAsia" w:hAnsiTheme="minorHAnsi"/>
                <w:sz w:val="22"/>
                <w:lang w:val="en-AU" w:eastAsia="en-AU"/>
              </w:rPr>
              <w:tab/>
            </w:r>
            <w:r w:rsidR="000D664D" w:rsidRPr="00A9318F">
              <w:rPr>
                <w:rStyle w:val="Hyperlink"/>
              </w:rPr>
              <w:t>Glossary</w:t>
            </w:r>
            <w:r w:rsidR="000D664D">
              <w:rPr>
                <w:webHidden/>
              </w:rPr>
              <w:tab/>
            </w:r>
            <w:r w:rsidR="000D664D">
              <w:rPr>
                <w:webHidden/>
              </w:rPr>
              <w:fldChar w:fldCharType="begin"/>
            </w:r>
            <w:r w:rsidR="000D664D">
              <w:rPr>
                <w:webHidden/>
              </w:rPr>
              <w:instrText xml:space="preserve"> PAGEREF _Toc68072670 \h </w:instrText>
            </w:r>
            <w:r w:rsidR="000D664D">
              <w:rPr>
                <w:webHidden/>
              </w:rPr>
            </w:r>
            <w:r w:rsidR="000D664D">
              <w:rPr>
                <w:webHidden/>
              </w:rPr>
              <w:fldChar w:fldCharType="separate"/>
            </w:r>
            <w:r w:rsidR="000D664D">
              <w:rPr>
                <w:webHidden/>
              </w:rPr>
              <w:t>19</w:t>
            </w:r>
            <w:r w:rsidR="000D664D">
              <w:rPr>
                <w:webHidden/>
              </w:rPr>
              <w:fldChar w:fldCharType="end"/>
            </w:r>
          </w:hyperlink>
        </w:p>
        <w:p w14:paraId="17117898" w14:textId="4FC1AA04" w:rsidR="00DD4D72" w:rsidRPr="0008132A" w:rsidRDefault="00DD4D72" w:rsidP="00DD4D72">
          <w:pPr>
            <w:rPr>
              <w:b/>
              <w:bCs/>
              <w:noProof/>
            </w:rPr>
          </w:pPr>
          <w:r w:rsidRPr="0008132A">
            <w:rPr>
              <w:b/>
              <w:bCs/>
              <w:noProof/>
            </w:rPr>
            <w:fldChar w:fldCharType="end"/>
          </w:r>
        </w:p>
      </w:sdtContent>
    </w:sdt>
    <w:p w14:paraId="144C22F5" w14:textId="77777777" w:rsidR="00DD4D72" w:rsidRPr="0008132A" w:rsidRDefault="00DD4D72" w:rsidP="00DD4D72">
      <w:pPr>
        <w:spacing w:after="165"/>
      </w:pPr>
      <w:r w:rsidRPr="0008132A">
        <w:br w:type="page"/>
      </w:r>
    </w:p>
    <w:p w14:paraId="38656376" w14:textId="4F9288F7" w:rsidR="00065F95" w:rsidRPr="0008132A" w:rsidRDefault="001678D4" w:rsidP="001678D4">
      <w:pPr>
        <w:pStyle w:val="Heading1"/>
      </w:pPr>
      <w:bookmarkStart w:id="1" w:name="_Toc68072663"/>
      <w:r w:rsidRPr="0008132A">
        <w:lastRenderedPageBreak/>
        <w:t>About the review</w:t>
      </w:r>
      <w:bookmarkEnd w:id="1"/>
      <w:bookmarkEnd w:id="0"/>
      <w:r w:rsidRPr="0008132A">
        <w:t xml:space="preserve"> </w:t>
      </w:r>
    </w:p>
    <w:p w14:paraId="30896341" w14:textId="3BBF0FFD" w:rsidR="00BD6B4F" w:rsidRPr="0008132A" w:rsidRDefault="008D53DD" w:rsidP="0040724F">
      <w:pPr>
        <w:rPr>
          <w:lang w:eastAsia="en-AU"/>
        </w:rPr>
      </w:pPr>
      <w:r w:rsidRPr="008D53DD">
        <w:rPr>
          <w:lang w:eastAsia="en-AU"/>
        </w:rPr>
        <w:t xml:space="preserve">The National Indigenous Australians Agency (NIAA) commissioned this review as part of a series of reviews </w:t>
      </w:r>
      <w:r w:rsidR="00BD6B4F" w:rsidRPr="0008132A">
        <w:rPr>
          <w:lang w:eastAsia="en-AU"/>
        </w:rPr>
        <w:t xml:space="preserve"> to assess the efficiency and effectiveness of </w:t>
      </w:r>
      <w:r w:rsidR="00C23D9E" w:rsidRPr="0008132A">
        <w:rPr>
          <w:lang w:eastAsia="en-AU"/>
        </w:rPr>
        <w:t>14</w:t>
      </w:r>
      <w:r w:rsidR="00BD6B4F" w:rsidRPr="0008132A">
        <w:rPr>
          <w:lang w:eastAsia="en-AU"/>
        </w:rPr>
        <w:t xml:space="preserve"> Native Title Representative Bodies and Service Providers (NTRB-SPs) </w:t>
      </w:r>
      <w:r w:rsidR="00436900">
        <w:rPr>
          <w:lang w:eastAsia="en-AU"/>
        </w:rPr>
        <w:t xml:space="preserve">in carrying out their functions under the </w:t>
      </w:r>
      <w:r w:rsidR="00436900" w:rsidRPr="00EA47FA">
        <w:rPr>
          <w:i/>
          <w:iCs/>
          <w:lang w:eastAsia="en-AU"/>
        </w:rPr>
        <w:t>Native Title Act 1993</w:t>
      </w:r>
      <w:r w:rsidR="00436900">
        <w:rPr>
          <w:i/>
          <w:iCs/>
          <w:lang w:eastAsia="en-AU"/>
        </w:rPr>
        <w:t xml:space="preserve"> (Cth) </w:t>
      </w:r>
      <w:r w:rsidR="00436900" w:rsidRPr="00BB7B00">
        <w:t>(</w:t>
      </w:r>
      <w:r w:rsidR="00436900" w:rsidRPr="005124CF">
        <w:t>her</w:t>
      </w:r>
      <w:r w:rsidR="00436900">
        <w:t>e</w:t>
      </w:r>
      <w:r w:rsidR="00436900" w:rsidRPr="005124CF">
        <w:t>in</w:t>
      </w:r>
      <w:r w:rsidR="00436900">
        <w:rPr>
          <w:i/>
        </w:rPr>
        <w:t xml:space="preserve"> </w:t>
      </w:r>
      <w:r w:rsidR="00436900" w:rsidRPr="009C72CA">
        <w:rPr>
          <w:iCs/>
        </w:rPr>
        <w:t>NTA</w:t>
      </w:r>
      <w:r w:rsidR="00436900" w:rsidRPr="00BB7B00">
        <w:t>)</w:t>
      </w:r>
      <w:r w:rsidR="00436900">
        <w:rPr>
          <w:lang w:eastAsia="en-AU"/>
        </w:rPr>
        <w:t>.</w:t>
      </w:r>
      <w:r w:rsidR="00BD6B4F" w:rsidRPr="0008132A">
        <w:rPr>
          <w:lang w:eastAsia="en-AU"/>
        </w:rPr>
        <w:t xml:space="preserve"> The complete Terms of Reference (TOR) provided for the Review are included in </w:t>
      </w:r>
      <w:r w:rsidR="004C2E07" w:rsidRPr="0008132A">
        <w:rPr>
          <w:lang w:eastAsia="en-AU"/>
        </w:rPr>
        <w:fldChar w:fldCharType="begin"/>
      </w:r>
      <w:r w:rsidR="004C2E07" w:rsidRPr="0008132A">
        <w:rPr>
          <w:lang w:eastAsia="en-AU"/>
        </w:rPr>
        <w:instrText xml:space="preserve"> REF _Ref64553000 \n \h </w:instrText>
      </w:r>
      <w:r w:rsidR="0040724F" w:rsidRPr="0008132A">
        <w:rPr>
          <w:lang w:eastAsia="en-AU"/>
        </w:rPr>
        <w:instrText xml:space="preserve"> \* MERGEFORMAT </w:instrText>
      </w:r>
      <w:r w:rsidR="004C2E07" w:rsidRPr="0008132A">
        <w:rPr>
          <w:lang w:eastAsia="en-AU"/>
        </w:rPr>
      </w:r>
      <w:r w:rsidR="004C2E07" w:rsidRPr="0008132A">
        <w:rPr>
          <w:lang w:eastAsia="en-AU"/>
        </w:rPr>
        <w:fldChar w:fldCharType="separate"/>
      </w:r>
      <w:r w:rsidR="000D664D">
        <w:rPr>
          <w:lang w:eastAsia="en-AU"/>
        </w:rPr>
        <w:t>Appendix A</w:t>
      </w:r>
      <w:r w:rsidR="004C2E07" w:rsidRPr="0008132A">
        <w:rPr>
          <w:lang w:eastAsia="en-AU"/>
        </w:rPr>
        <w:fldChar w:fldCharType="end"/>
      </w:r>
      <w:r w:rsidR="00BD6B4F" w:rsidRPr="0008132A">
        <w:rPr>
          <w:lang w:eastAsia="en-AU"/>
        </w:rPr>
        <w:t>.</w:t>
      </w:r>
      <w:r w:rsidR="00E54E01">
        <w:rPr>
          <w:lang w:eastAsia="en-AU"/>
        </w:rPr>
        <w:t xml:space="preserve"> The 14 organisations reviewed are listed in </w:t>
      </w:r>
      <w:r w:rsidR="00DB5E4E">
        <w:rPr>
          <w:lang w:eastAsia="en-AU"/>
        </w:rPr>
        <w:fldChar w:fldCharType="begin"/>
      </w:r>
      <w:r w:rsidR="00DB5E4E">
        <w:rPr>
          <w:lang w:eastAsia="en-AU"/>
        </w:rPr>
        <w:instrText xml:space="preserve"> REF _Ref64552989 \n \h </w:instrText>
      </w:r>
      <w:r w:rsidR="00DB5E4E">
        <w:rPr>
          <w:lang w:eastAsia="en-AU"/>
        </w:rPr>
      </w:r>
      <w:r w:rsidR="00DB5E4E">
        <w:rPr>
          <w:lang w:eastAsia="en-AU"/>
        </w:rPr>
        <w:fldChar w:fldCharType="separate"/>
      </w:r>
      <w:r w:rsidR="000D664D">
        <w:rPr>
          <w:lang w:eastAsia="en-AU"/>
        </w:rPr>
        <w:t>Appendix B</w:t>
      </w:r>
      <w:r w:rsidR="00DB5E4E">
        <w:rPr>
          <w:lang w:eastAsia="en-AU"/>
        </w:rPr>
        <w:fldChar w:fldCharType="end"/>
      </w:r>
      <w:r w:rsidR="00DB5E4E">
        <w:rPr>
          <w:lang w:eastAsia="en-AU"/>
        </w:rPr>
        <w:t>.</w:t>
      </w:r>
    </w:p>
    <w:p w14:paraId="21B190B4" w14:textId="7E0B7879" w:rsidR="00BD6B4F" w:rsidRPr="00EE3E76" w:rsidRDefault="0077375A" w:rsidP="0040724F">
      <w:pPr>
        <w:rPr>
          <w:rFonts w:ascii="Segoe UI Semibold" w:hAnsi="Segoe UI Semibold" w:cs="Segoe UI Semibold"/>
          <w:lang w:eastAsia="en-AU"/>
        </w:rPr>
      </w:pPr>
      <w:r w:rsidRPr="0008132A">
        <w:rPr>
          <w:rFonts w:asciiTheme="majorHAnsi" w:hAnsiTheme="majorHAnsi" w:cstheme="majorHAnsi"/>
          <w:bCs/>
          <w:lang w:eastAsia="en-AU"/>
        </w:rPr>
        <w:t>Central</w:t>
      </w:r>
      <w:r w:rsidR="00BD6B4F" w:rsidRPr="0008132A">
        <w:rPr>
          <w:rFonts w:asciiTheme="majorHAnsi" w:hAnsiTheme="majorHAnsi" w:cstheme="majorHAnsi"/>
          <w:bCs/>
          <w:lang w:eastAsia="en-AU"/>
        </w:rPr>
        <w:t xml:space="preserve"> Land Council </w:t>
      </w:r>
      <w:r w:rsidR="0040724F" w:rsidRPr="0008132A">
        <w:rPr>
          <w:rFonts w:asciiTheme="majorHAnsi" w:hAnsiTheme="majorHAnsi" w:cstheme="majorHAnsi"/>
          <w:bCs/>
          <w:lang w:eastAsia="en-AU"/>
        </w:rPr>
        <w:t xml:space="preserve">(CLC) </w:t>
      </w:r>
      <w:r w:rsidR="00BD6B4F" w:rsidRPr="0008132A">
        <w:rPr>
          <w:lang w:eastAsia="en-AU"/>
        </w:rPr>
        <w:t xml:space="preserve">was reviewed in the third </w:t>
      </w:r>
      <w:r w:rsidR="00260B90">
        <w:rPr>
          <w:lang w:eastAsia="en-AU"/>
        </w:rPr>
        <w:t xml:space="preserve">and final </w:t>
      </w:r>
      <w:r w:rsidR="00BD6B4F" w:rsidRPr="0008132A">
        <w:rPr>
          <w:lang w:eastAsia="en-AU"/>
        </w:rPr>
        <w:t>tranche of NTRB-SPs</w:t>
      </w:r>
      <w:r w:rsidR="00EE3E76">
        <w:rPr>
          <w:lang w:eastAsia="en-AU"/>
        </w:rPr>
        <w:t>,</w:t>
      </w:r>
      <w:r w:rsidR="00BD6B4F" w:rsidRPr="0008132A">
        <w:rPr>
          <w:lang w:eastAsia="en-AU"/>
        </w:rPr>
        <w:t xml:space="preserve"> </w:t>
      </w:r>
      <w:r w:rsidR="00EE3E76">
        <w:rPr>
          <w:lang w:eastAsia="en-AU"/>
        </w:rPr>
        <w:t>between</w:t>
      </w:r>
      <w:r w:rsidR="00BD6B4F">
        <w:rPr>
          <w:lang w:eastAsia="en-AU"/>
        </w:rPr>
        <w:t xml:space="preserve"> </w:t>
      </w:r>
      <w:r w:rsidR="00F20C40" w:rsidRPr="0008132A">
        <w:rPr>
          <w:rFonts w:asciiTheme="majorHAnsi" w:hAnsiTheme="majorHAnsi" w:cstheme="majorHAnsi"/>
          <w:bCs/>
          <w:lang w:eastAsia="en-AU"/>
        </w:rPr>
        <w:t>Jan</w:t>
      </w:r>
      <w:r w:rsidR="00F30621" w:rsidRPr="0008132A">
        <w:rPr>
          <w:rFonts w:asciiTheme="majorHAnsi" w:hAnsiTheme="majorHAnsi" w:cstheme="majorHAnsi"/>
          <w:bCs/>
          <w:lang w:eastAsia="en-AU"/>
        </w:rPr>
        <w:t>uary</w:t>
      </w:r>
      <w:r w:rsidR="00BD6B4F" w:rsidRPr="0008132A">
        <w:rPr>
          <w:rFonts w:asciiTheme="majorHAnsi" w:hAnsiTheme="majorHAnsi" w:cstheme="majorHAnsi"/>
          <w:bCs/>
          <w:lang w:eastAsia="en-AU"/>
        </w:rPr>
        <w:t xml:space="preserve"> 20</w:t>
      </w:r>
      <w:r w:rsidR="00F30621" w:rsidRPr="0008132A">
        <w:rPr>
          <w:rFonts w:asciiTheme="majorHAnsi" w:hAnsiTheme="majorHAnsi" w:cstheme="majorHAnsi"/>
          <w:bCs/>
          <w:lang w:eastAsia="en-AU"/>
        </w:rPr>
        <w:t>20</w:t>
      </w:r>
      <w:r w:rsidR="00BD6B4F" w:rsidRPr="0008132A">
        <w:rPr>
          <w:rFonts w:asciiTheme="majorHAnsi" w:hAnsiTheme="majorHAnsi" w:cstheme="majorHAnsi"/>
          <w:bCs/>
          <w:lang w:eastAsia="en-AU"/>
        </w:rPr>
        <w:t xml:space="preserve"> to </w:t>
      </w:r>
      <w:r w:rsidR="00D70A65">
        <w:rPr>
          <w:rFonts w:asciiTheme="majorHAnsi" w:hAnsiTheme="majorHAnsi" w:cstheme="majorHAnsi"/>
          <w:bCs/>
          <w:lang w:eastAsia="en-AU"/>
        </w:rPr>
        <w:t>October</w:t>
      </w:r>
      <w:r w:rsidR="00BD6B4F" w:rsidRPr="0008132A">
        <w:rPr>
          <w:rFonts w:asciiTheme="majorHAnsi" w:hAnsiTheme="majorHAnsi" w:cstheme="majorHAnsi"/>
          <w:bCs/>
          <w:lang w:eastAsia="en-AU"/>
        </w:rPr>
        <w:t xml:space="preserve"> 20</w:t>
      </w:r>
      <w:r w:rsidR="00F30621" w:rsidRPr="0008132A">
        <w:rPr>
          <w:rFonts w:asciiTheme="majorHAnsi" w:hAnsiTheme="majorHAnsi" w:cstheme="majorHAnsi"/>
          <w:bCs/>
          <w:lang w:eastAsia="en-AU"/>
        </w:rPr>
        <w:t>20</w:t>
      </w:r>
      <w:r w:rsidR="00BD6B4F" w:rsidRPr="0008132A">
        <w:rPr>
          <w:rFonts w:asciiTheme="majorHAnsi" w:hAnsiTheme="majorHAnsi" w:cstheme="majorHAnsi"/>
          <w:bCs/>
          <w:lang w:eastAsia="en-AU"/>
        </w:rPr>
        <w:t xml:space="preserve"> </w:t>
      </w:r>
      <w:r w:rsidR="00EE3E76">
        <w:rPr>
          <w:rFonts w:asciiTheme="majorHAnsi" w:hAnsiTheme="majorHAnsi" w:cstheme="majorHAnsi"/>
          <w:bCs/>
          <w:lang w:eastAsia="en-AU"/>
        </w:rPr>
        <w:t>in relation to</w:t>
      </w:r>
      <w:r w:rsidR="00BD6B4F" w:rsidRPr="0008132A">
        <w:rPr>
          <w:rFonts w:asciiTheme="majorHAnsi" w:hAnsiTheme="majorHAnsi" w:cstheme="majorHAnsi"/>
          <w:bCs/>
          <w:lang w:eastAsia="en-AU"/>
        </w:rPr>
        <w:t xml:space="preserve"> a three-year review period from July 201</w:t>
      </w:r>
      <w:r w:rsidR="00F30621" w:rsidRPr="0008132A">
        <w:rPr>
          <w:rFonts w:asciiTheme="majorHAnsi" w:hAnsiTheme="majorHAnsi" w:cstheme="majorHAnsi"/>
          <w:bCs/>
          <w:lang w:eastAsia="en-AU"/>
        </w:rPr>
        <w:t>6</w:t>
      </w:r>
      <w:r w:rsidR="00BD6B4F" w:rsidRPr="0008132A">
        <w:rPr>
          <w:rFonts w:asciiTheme="majorHAnsi" w:hAnsiTheme="majorHAnsi" w:cstheme="majorHAnsi"/>
          <w:bCs/>
          <w:lang w:eastAsia="en-AU"/>
        </w:rPr>
        <w:t xml:space="preserve"> to June 201</w:t>
      </w:r>
      <w:r w:rsidR="00F30621" w:rsidRPr="0008132A">
        <w:rPr>
          <w:rFonts w:asciiTheme="majorHAnsi" w:hAnsiTheme="majorHAnsi" w:cstheme="majorHAnsi"/>
          <w:bCs/>
          <w:lang w:eastAsia="en-AU"/>
        </w:rPr>
        <w:t>9</w:t>
      </w:r>
      <w:r w:rsidR="00A43426" w:rsidRPr="0008132A">
        <w:rPr>
          <w:bCs/>
          <w:lang w:eastAsia="en-AU"/>
        </w:rPr>
        <w:t>.</w:t>
      </w:r>
      <w:r w:rsidR="00EE3E76">
        <w:rPr>
          <w:bCs/>
          <w:lang w:eastAsia="en-AU"/>
        </w:rPr>
        <w:t xml:space="preserve"> </w:t>
      </w:r>
      <w:bookmarkStart w:id="2" w:name="_Hlk40690602"/>
      <w:r w:rsidR="00EE3E76" w:rsidRPr="00C570AC">
        <w:rPr>
          <w:rFonts w:ascii="Segoe UI Semibold" w:hAnsi="Segoe UI Semibold" w:cs="Segoe UI Semibold"/>
          <w:bCs/>
          <w:lang w:eastAsia="en-AU"/>
        </w:rPr>
        <w:t>Findings and recommendations represent an assessment of performance at the time of the Review and have not been subsequently amended or updated.</w:t>
      </w:r>
      <w:bookmarkEnd w:id="2"/>
    </w:p>
    <w:p w14:paraId="5617AB2F" w14:textId="77777777" w:rsidR="00BD6B4F" w:rsidRPr="0008132A" w:rsidRDefault="00BD6B4F" w:rsidP="0040724F">
      <w:pPr>
        <w:rPr>
          <w:lang w:eastAsia="en-AU"/>
        </w:rPr>
      </w:pPr>
      <w:r w:rsidRPr="0008132A">
        <w:rPr>
          <w:lang w:eastAsia="en-AU"/>
        </w:rPr>
        <w:t xml:space="preserve">In addition to the individual reports, Nous Group (Nous) has developed a de-identified comparative report which considers the performance of </w:t>
      </w:r>
      <w:r w:rsidR="00850C99">
        <w:rPr>
          <w:lang w:eastAsia="en-AU"/>
        </w:rPr>
        <w:t xml:space="preserve">all </w:t>
      </w:r>
      <w:r w:rsidRPr="0008132A">
        <w:rPr>
          <w:lang w:eastAsia="en-AU"/>
        </w:rPr>
        <w:t xml:space="preserve">the organisations across the TORs. The report presents </w:t>
      </w:r>
      <w:r w:rsidRPr="0008132A">
        <w:t>a discussion of systemic issues within each TOR that arose in all or most of the organisations across all tranches of the Review and that are pertinent to the broader native title system.</w:t>
      </w:r>
    </w:p>
    <w:p w14:paraId="4266703E" w14:textId="2F71009A" w:rsidR="00AA4A27" w:rsidRDefault="00BD6B4F" w:rsidP="0040724F">
      <w:pPr>
        <w:rPr>
          <w:lang w:eastAsia="en-AU"/>
        </w:rPr>
      </w:pPr>
      <w:r w:rsidRPr="0008132A">
        <w:rPr>
          <w:lang w:eastAsia="en-AU"/>
        </w:rPr>
        <w:t xml:space="preserve">Nous has used a consistent methodology to support a comparative and transparent assessment of </w:t>
      </w:r>
      <w:r w:rsidR="00C0264E" w:rsidRPr="0008132A">
        <w:rPr>
          <w:lang w:eastAsia="en-AU"/>
        </w:rPr>
        <w:t>CLC</w:t>
      </w:r>
      <w:r w:rsidRPr="0008132A">
        <w:rPr>
          <w:lang w:eastAsia="en-AU"/>
        </w:rPr>
        <w:t xml:space="preserve"> and the other NTRB-SPs</w:t>
      </w:r>
      <w:r w:rsidR="007A5C5D">
        <w:rPr>
          <w:lang w:eastAsia="en-AU"/>
        </w:rPr>
        <w:t>.</w:t>
      </w:r>
      <w:r w:rsidRPr="0008132A">
        <w:rPr>
          <w:lang w:eastAsia="en-AU"/>
        </w:rPr>
        <w:t xml:space="preserve"> </w:t>
      </w:r>
      <w:r w:rsidR="00AA4A27">
        <w:rPr>
          <w:lang w:eastAsia="en-AU"/>
        </w:rPr>
        <w:t>The methodology</w:t>
      </w:r>
      <w:r w:rsidRPr="0008132A">
        <w:rPr>
          <w:lang w:eastAsia="en-AU"/>
        </w:rPr>
        <w:t xml:space="preserve"> used a mixed method approach including quantitative data on the progress of claims, future acts and Indigenous Land Use Agreements (ILUAs), performance against milestones, budgetary performance, staffing, and broader social and geographical factors that impact performance. The quantitative analytics was complemented by interviews with </w:t>
      </w:r>
      <w:r w:rsidR="00AA4A27">
        <w:rPr>
          <w:lang w:eastAsia="en-AU"/>
        </w:rPr>
        <w:t xml:space="preserve">selected and available </w:t>
      </w:r>
      <w:r w:rsidRPr="0008132A">
        <w:rPr>
          <w:lang w:eastAsia="en-AU"/>
        </w:rPr>
        <w:t>clients, potential clients, staff, the Federal Court, the National Native Title Tribunal (NNTT</w:t>
      </w:r>
      <w:r w:rsidR="00AA4A27">
        <w:rPr>
          <w:lang w:eastAsia="en-AU"/>
        </w:rPr>
        <w:t xml:space="preserve">), CLC Full Council </w:t>
      </w:r>
      <w:r w:rsidR="00EB41B9">
        <w:rPr>
          <w:lang w:eastAsia="en-AU"/>
        </w:rPr>
        <w:t xml:space="preserve">members </w:t>
      </w:r>
      <w:r w:rsidR="00AA4A27">
        <w:rPr>
          <w:lang w:eastAsia="en-AU"/>
        </w:rPr>
        <w:t>and the Northern Territory</w:t>
      </w:r>
      <w:r w:rsidR="00E04D45">
        <w:rPr>
          <w:lang w:eastAsia="en-AU"/>
        </w:rPr>
        <w:t xml:space="preserve"> (NT)</w:t>
      </w:r>
      <w:r w:rsidR="00AA4A27">
        <w:rPr>
          <w:lang w:eastAsia="en-AU"/>
        </w:rPr>
        <w:t xml:space="preserve"> Government.</w:t>
      </w:r>
      <w:r w:rsidRPr="0008132A">
        <w:rPr>
          <w:lang w:eastAsia="en-AU"/>
        </w:rPr>
        <w:t xml:space="preserve"> A list of stakeholders consulted is included in </w:t>
      </w:r>
      <w:r w:rsidR="0040724F" w:rsidRPr="0008132A">
        <w:rPr>
          <w:lang w:eastAsia="en-AU"/>
        </w:rPr>
        <w:fldChar w:fldCharType="begin"/>
      </w:r>
      <w:r w:rsidR="0040724F" w:rsidRPr="0008132A">
        <w:rPr>
          <w:lang w:eastAsia="en-AU"/>
        </w:rPr>
        <w:instrText xml:space="preserve"> REF _Ref64553167 \n \h  \* MERGEFORMAT </w:instrText>
      </w:r>
      <w:r w:rsidR="0040724F" w:rsidRPr="0008132A">
        <w:rPr>
          <w:lang w:eastAsia="en-AU"/>
        </w:rPr>
      </w:r>
      <w:r w:rsidR="0040724F" w:rsidRPr="0008132A">
        <w:rPr>
          <w:lang w:eastAsia="en-AU"/>
        </w:rPr>
        <w:fldChar w:fldCharType="separate"/>
      </w:r>
      <w:r w:rsidR="000D664D">
        <w:rPr>
          <w:lang w:eastAsia="en-AU"/>
        </w:rPr>
        <w:t>Appendix C</w:t>
      </w:r>
      <w:r w:rsidR="0040724F" w:rsidRPr="0008132A">
        <w:rPr>
          <w:lang w:eastAsia="en-AU"/>
        </w:rPr>
        <w:fldChar w:fldCharType="end"/>
      </w:r>
      <w:r w:rsidR="0040724F" w:rsidRPr="0008132A">
        <w:rPr>
          <w:lang w:eastAsia="en-AU"/>
        </w:rPr>
        <w:t xml:space="preserve">. </w:t>
      </w:r>
    </w:p>
    <w:p w14:paraId="593572AC" w14:textId="775BBDFE" w:rsidR="00BD6B4F" w:rsidRPr="0008132A" w:rsidRDefault="00C0264E" w:rsidP="0040724F">
      <w:r w:rsidRPr="0008132A">
        <w:t>CLC</w:t>
      </w:r>
      <w:r w:rsidR="00BD6B4F" w:rsidRPr="0008132A">
        <w:t xml:space="preserve"> has been given the opportunity to review the report and provide responses on the recommendations made by the Review</w:t>
      </w:r>
      <w:r w:rsidR="00E506B1">
        <w:t xml:space="preserve"> and has also provided written responses on actions they are taking in response to recommendations made by the Review, which are included in this summary document</w:t>
      </w:r>
      <w:r w:rsidR="00BD6B4F" w:rsidRPr="0008132A">
        <w:t xml:space="preserve">. A description of the methodology is included in </w:t>
      </w:r>
      <w:r w:rsidR="0040724F" w:rsidRPr="0008132A">
        <w:fldChar w:fldCharType="begin"/>
      </w:r>
      <w:r w:rsidR="0040724F" w:rsidRPr="0008132A">
        <w:instrText xml:space="preserve"> REF _Ref64553189 \n \h  \* MERGEFORMAT </w:instrText>
      </w:r>
      <w:r w:rsidR="0040724F" w:rsidRPr="0008132A">
        <w:fldChar w:fldCharType="separate"/>
      </w:r>
      <w:r w:rsidR="000D664D">
        <w:t>Appendix D</w:t>
      </w:r>
      <w:r w:rsidR="0040724F" w:rsidRPr="0008132A">
        <w:fldChar w:fldCharType="end"/>
      </w:r>
      <w:r w:rsidR="00BD6B4F" w:rsidRPr="0008132A">
        <w:t>.</w:t>
      </w:r>
    </w:p>
    <w:p w14:paraId="2D911A38" w14:textId="1226A292" w:rsidR="009A4AC4" w:rsidRPr="0008132A" w:rsidRDefault="009A4AC4">
      <w:pPr>
        <w:spacing w:after="165" w:line="259" w:lineRule="auto"/>
        <w:rPr>
          <w:lang w:eastAsia="en-AU"/>
        </w:rPr>
      </w:pPr>
      <w:r w:rsidRPr="0008132A">
        <w:rPr>
          <w:lang w:eastAsia="en-AU"/>
        </w:rPr>
        <w:br w:type="page"/>
      </w:r>
    </w:p>
    <w:p w14:paraId="6F376B11" w14:textId="62DA3067" w:rsidR="001678D4" w:rsidRPr="0008132A" w:rsidRDefault="009A4AC4" w:rsidP="009A4AC4">
      <w:pPr>
        <w:pStyle w:val="Heading1"/>
      </w:pPr>
      <w:bookmarkStart w:id="3" w:name="_Toc62459430"/>
      <w:bookmarkStart w:id="4" w:name="_Toc68072664"/>
      <w:r w:rsidRPr="0008132A">
        <w:lastRenderedPageBreak/>
        <w:t>Profile of the CLC</w:t>
      </w:r>
      <w:bookmarkEnd w:id="3"/>
      <w:bookmarkEnd w:id="4"/>
    </w:p>
    <w:p w14:paraId="3EF9CC3E" w14:textId="77777777" w:rsidR="00D435A6" w:rsidRPr="00095B98" w:rsidRDefault="00D435A6" w:rsidP="00095B98">
      <w:pPr>
        <w:rPr>
          <w:b/>
          <w:bCs/>
          <w:i/>
          <w:iCs/>
          <w:color w:val="00264D" w:themeColor="background2"/>
        </w:rPr>
      </w:pPr>
      <w:r w:rsidRPr="00095B98">
        <w:rPr>
          <w:b/>
          <w:bCs/>
          <w:i/>
          <w:iCs/>
          <w:color w:val="00264D" w:themeColor="background2"/>
        </w:rPr>
        <w:t>The CLC, based in Alice Springs with seven regional offices, provides native title services to the southern part of the Northern Territory.</w:t>
      </w:r>
    </w:p>
    <w:p w14:paraId="101D2EFB" w14:textId="77777777" w:rsidR="00D435A6" w:rsidRPr="0008132A" w:rsidRDefault="00D435A6" w:rsidP="00D435A6">
      <w:pPr>
        <w:spacing w:after="160" w:line="259" w:lineRule="auto"/>
      </w:pPr>
      <w:r w:rsidRPr="0008132A">
        <w:rPr>
          <w:noProof/>
          <w:lang w:eastAsia="en-AU"/>
        </w:rPr>
        <mc:AlternateContent>
          <mc:Choice Requires="wps">
            <w:drawing>
              <wp:anchor distT="0" distB="0" distL="114300" distR="114300" simplePos="0" relativeHeight="251658240" behindDoc="1" locked="0" layoutInCell="1" allowOverlap="1" wp14:anchorId="2009B317" wp14:editId="7EF264E0">
                <wp:simplePos x="0" y="0"/>
                <wp:positionH relativeFrom="column">
                  <wp:posOffset>3515995</wp:posOffset>
                </wp:positionH>
                <wp:positionV relativeFrom="paragraph">
                  <wp:posOffset>13335</wp:posOffset>
                </wp:positionV>
                <wp:extent cx="2077085" cy="457200"/>
                <wp:effectExtent l="0" t="0" r="0" b="0"/>
                <wp:wrapTight wrapText="bothSides">
                  <wp:wrapPolygon edited="0">
                    <wp:start x="0" y="0"/>
                    <wp:lineTo x="0" y="20700"/>
                    <wp:lineTo x="21395" y="20700"/>
                    <wp:lineTo x="21395" y="0"/>
                    <wp:lineTo x="0" y="0"/>
                  </wp:wrapPolygon>
                </wp:wrapTight>
                <wp:docPr id="22" name="Text Box 22" descr="P165L3TB19#y1"/>
                <wp:cNvGraphicFramePr/>
                <a:graphic xmlns:a="http://schemas.openxmlformats.org/drawingml/2006/main">
                  <a:graphicData uri="http://schemas.microsoft.com/office/word/2010/wordprocessingShape">
                    <wps:wsp>
                      <wps:cNvSpPr txBox="1"/>
                      <wps:spPr>
                        <a:xfrm>
                          <a:off x="0" y="0"/>
                          <a:ext cx="2077085" cy="457200"/>
                        </a:xfrm>
                        <a:prstGeom prst="rect">
                          <a:avLst/>
                        </a:prstGeom>
                        <a:solidFill>
                          <a:prstClr val="white"/>
                        </a:solidFill>
                        <a:ln>
                          <a:noFill/>
                        </a:ln>
                      </wps:spPr>
                      <wps:txbx>
                        <w:txbxContent>
                          <w:p w14:paraId="34A00EDE" w14:textId="07B286AE" w:rsidR="00D435A6" w:rsidRPr="00255224" w:rsidRDefault="00D435A6" w:rsidP="00D435A6">
                            <w:pPr>
                              <w:pStyle w:val="Caption"/>
                            </w:pPr>
                            <w:bookmarkStart w:id="5" w:name="Figure1"/>
                            <w:r>
                              <w:t xml:space="preserve">Figure </w:t>
                            </w:r>
                            <w:r>
                              <w:fldChar w:fldCharType="begin"/>
                            </w:r>
                            <w:r>
                              <w:instrText xml:space="preserve"> SEQ Figure \* ARABIC </w:instrText>
                            </w:r>
                            <w:r>
                              <w:fldChar w:fldCharType="separate"/>
                            </w:r>
                            <w:r w:rsidR="00766C4E">
                              <w:rPr>
                                <w:noProof/>
                              </w:rPr>
                              <w:t>1</w:t>
                            </w:r>
                            <w:r>
                              <w:fldChar w:fldCharType="end"/>
                            </w:r>
                            <w:bookmarkEnd w:id="5"/>
                            <w:r>
                              <w:t xml:space="preserve"> | The CLC's nine regions </w:t>
                            </w:r>
                            <w:r>
                              <w:rPr>
                                <w:rStyle w:val="FootnoteReference"/>
                              </w:rPr>
                              <w:footnoteRef/>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009B317" id="_x0000_t202" coordsize="21600,21600" o:spt="202" path="m,l,21600r21600,l21600,xe">
                <v:stroke joinstyle="miter"/>
                <v:path gradientshapeok="t" o:connecttype="rect"/>
              </v:shapetype>
              <v:shape id="Text Box 22" o:spid="_x0000_s1026" type="#_x0000_t202" alt="P165L3TB19#y1" style="position:absolute;margin-left:276.85pt;margin-top:1.05pt;width:163.5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" stroked="f">
                <v:textbox inset="0,0,0,0">
                  <w:txbxContent>
                    <w:p w14:paraId="34A00EDE" w14:textId="07B286AE" w:rsidR="00D435A6" w:rsidRPr="00255224" w:rsidRDefault="00D435A6" w:rsidP="00D435A6">
                      <w:pPr>
                        <w:pStyle w:val="Caption"/>
                      </w:pPr>
                      <w:bookmarkStart w:id="6" w:name="Figure1"/>
                      <w:r>
                        <w:t xml:space="preserve">Figure </w:t>
                      </w:r>
                      <w:r>
                        <w:fldChar w:fldCharType="begin"/>
                      </w:r>
                      <w:r>
                        <w:instrText xml:space="preserve"> SEQ Figure \* ARABIC </w:instrText>
                      </w:r>
                      <w:r>
                        <w:fldChar w:fldCharType="separate"/>
                      </w:r>
                      <w:r w:rsidR="00766C4E">
                        <w:rPr>
                          <w:noProof/>
                        </w:rPr>
                        <w:t>1</w:t>
                      </w:r>
                      <w:r>
                        <w:fldChar w:fldCharType="end"/>
                      </w:r>
                      <w:bookmarkEnd w:id="6"/>
                      <w:r>
                        <w:t xml:space="preserve"> | The CLC's nine regions </w:t>
                      </w:r>
                      <w:r>
                        <w:rPr>
                          <w:rStyle w:val="FootnoteReference"/>
                        </w:rPr>
                        <w:footnoteRef/>
                      </w:r>
                    </w:p>
                  </w:txbxContent>
                </v:textbox>
                <w10:wrap type="tight"/>
              </v:shape>
            </w:pict>
          </mc:Fallback>
        </mc:AlternateContent>
      </w:r>
      <w:r w:rsidRPr="0008132A">
        <w:rPr>
          <w:noProof/>
          <w:lang w:eastAsia="en-AU"/>
        </w:rPr>
        <w:drawing>
          <wp:anchor distT="0" distB="0" distL="114300" distR="114300" simplePos="0" relativeHeight="251658242" behindDoc="1" locked="0" layoutInCell="1" allowOverlap="1" wp14:anchorId="370FADBA" wp14:editId="667878B7">
            <wp:simplePos x="0" y="0"/>
            <wp:positionH relativeFrom="column">
              <wp:posOffset>3515995</wp:posOffset>
            </wp:positionH>
            <wp:positionV relativeFrom="paragraph">
              <wp:posOffset>546735</wp:posOffset>
            </wp:positionV>
            <wp:extent cx="2033270" cy="3347085"/>
            <wp:effectExtent l="0" t="0" r="5080" b="5715"/>
            <wp:wrapSquare wrapText="bothSides"/>
            <wp:docPr id="9" name="Picture 9" descr="Map&#10;&#10;The CLC carries out its native title functions across the southern half of the Northern Territory, covering almost 777,000 square kilometres with nine regions based on roughly 15 different language groups. Aboriginal people collectively have rights under the NTA for over 111,000 square kilometres in the CLC reg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The CLC carries out its native title functions across the southern half of the Northern Territory, covering almost 777,000 square kilometres with nine regions based on roughly 15 different language groups. Aboriginal people collectively have rights under the NTA for over 111,000 square kilometres in the CLC region. "/>
                    <pic:cNvPicPr/>
                  </pic:nvPicPr>
                  <pic:blipFill>
                    <a:blip r:embed="rId16"/>
                    <a:stretch>
                      <a:fillRect/>
                    </a:stretch>
                  </pic:blipFill>
                  <pic:spPr>
                    <a:xfrm>
                      <a:off x="0" y="0"/>
                      <a:ext cx="2033270" cy="3347085"/>
                    </a:xfrm>
                    <a:prstGeom prst="rect">
                      <a:avLst/>
                    </a:prstGeom>
                  </pic:spPr>
                </pic:pic>
              </a:graphicData>
            </a:graphic>
            <wp14:sizeRelH relativeFrom="page">
              <wp14:pctWidth>0</wp14:pctWidth>
            </wp14:sizeRelH>
            <wp14:sizeRelV relativeFrom="page">
              <wp14:pctHeight>0</wp14:pctHeight>
            </wp14:sizeRelV>
          </wp:anchor>
        </w:drawing>
      </w:r>
      <w:r w:rsidRPr="0008132A">
        <w:t xml:space="preserve">The CLC was established in 1975 after a meeting of Central Australian Aboriginal communities. As a land council with a broad range of functions, the CLC represents Aboriginal people in Central Australia and supports them to manage their land, make the most of the opportunities it offers and promote their rights. </w:t>
      </w:r>
    </w:p>
    <w:p w14:paraId="4AA01F76" w14:textId="4FDF57A9" w:rsidR="00D435A6" w:rsidRPr="0008132A" w:rsidRDefault="00D435A6" w:rsidP="00D435A6">
      <w:pPr>
        <w:spacing w:after="160" w:line="259" w:lineRule="auto"/>
      </w:pPr>
      <w:r w:rsidRPr="0008132A">
        <w:t xml:space="preserve">The CLC is a statutory authority established under the </w:t>
      </w:r>
      <w:r w:rsidR="005E758C" w:rsidRPr="0008132A">
        <w:rPr>
          <w:i/>
          <w:iCs/>
        </w:rPr>
        <w:t>Aboriginal Land Rights (Northern Territory) Act 1976</w:t>
      </w:r>
      <w:r w:rsidR="005E758C" w:rsidRPr="0008132A">
        <w:t xml:space="preserve"> (</w:t>
      </w:r>
      <w:r w:rsidR="00612281" w:rsidRPr="0008132A">
        <w:t>ALRA</w:t>
      </w:r>
      <w:r w:rsidR="005E758C" w:rsidRPr="0008132A">
        <w:t>)</w:t>
      </w:r>
      <w:r w:rsidRPr="0008132A">
        <w:t xml:space="preserve">. It is a Commonwealth Corporate Entity operating under the </w:t>
      </w:r>
      <w:r w:rsidRPr="0008132A">
        <w:rPr>
          <w:i/>
        </w:rPr>
        <w:t>Public Governance, Performance and Accountability Act 2013 (Cth)</w:t>
      </w:r>
      <w:r w:rsidRPr="0008132A">
        <w:t xml:space="preserve"> (</w:t>
      </w:r>
      <w:r w:rsidR="000869C8" w:rsidRPr="0008132A">
        <w:t>PGPA</w:t>
      </w:r>
      <w:r w:rsidRPr="0008132A">
        <w:t xml:space="preserve">) and operates as a </w:t>
      </w:r>
      <w:r w:rsidR="0041499D" w:rsidRPr="0008132A">
        <w:t>Native Title Representative Body (</w:t>
      </w:r>
      <w:r w:rsidRPr="0008132A">
        <w:t>NTRB</w:t>
      </w:r>
      <w:r w:rsidR="0041499D" w:rsidRPr="0008132A">
        <w:t>)</w:t>
      </w:r>
      <w:r w:rsidRPr="0008132A">
        <w:t xml:space="preserve"> under the </w:t>
      </w:r>
      <w:r w:rsidR="00C85B77" w:rsidRPr="0008132A">
        <w:t>NTA</w:t>
      </w:r>
      <w:r w:rsidRPr="0008132A">
        <w:t>, providing services to the Southern Northern Territory region.</w:t>
      </w:r>
    </w:p>
    <w:p w14:paraId="7BE3C842" w14:textId="72A47640" w:rsidR="00D435A6" w:rsidRPr="0008132A" w:rsidRDefault="00D435A6" w:rsidP="00D435A6">
      <w:pPr>
        <w:spacing w:after="160" w:line="259" w:lineRule="auto"/>
      </w:pPr>
      <w:r w:rsidRPr="0008132A">
        <w:t xml:space="preserve">The CLC is the recognised NTRB for the Southern Northern Territory representative region under the </w:t>
      </w:r>
      <w:r w:rsidR="00C85B77" w:rsidRPr="0008132A">
        <w:t>NTA</w:t>
      </w:r>
      <w:r w:rsidRPr="0008132A">
        <w:t xml:space="preserve"> with recognition status until 30 June 2024. As an NTRB, the CLC has six primary functions that serve to support people with native title interests to achieve native title outcomes.</w:t>
      </w:r>
      <w:r w:rsidRPr="0008132A">
        <w:rPr>
          <w:rFonts w:ascii="ZWAdobeF" w:hAnsi="ZWAdobeF" w:cs="ZWAdobeF"/>
          <w:sz w:val="2"/>
          <w:szCs w:val="2"/>
        </w:rPr>
        <w:t>0F0F</w:t>
      </w:r>
      <w:r w:rsidRPr="0008132A">
        <w:rPr>
          <w:rStyle w:val="FootnoteReference"/>
        </w:rPr>
        <w:footnoteReference w:id="2"/>
      </w:r>
      <w:r w:rsidRPr="0008132A">
        <w:t xml:space="preserve"> Like many other NTRBs, the CLC also plays an advocacy role in the native title conversation at the national level. This includes contributions from the CLC to the NTRB-SP strategic and policy direction, as provided through the National Native Title Council (NNTC), and the preparation of submissions to policy reform and legislative amendments. </w:t>
      </w:r>
    </w:p>
    <w:p w14:paraId="6C86765F" w14:textId="44189F07" w:rsidR="00D435A6" w:rsidRPr="0008132A" w:rsidRDefault="00D435A6" w:rsidP="00D435A6">
      <w:pPr>
        <w:spacing w:after="160" w:line="259" w:lineRule="auto"/>
      </w:pPr>
      <w:r w:rsidRPr="0008132A">
        <w:t xml:space="preserve">The CLC carries out its native title functions across the southern half of the Northern Territory, covering almost 777,000 square kilometres with nine regions based on roughly 15 different language groups. Aboriginal people collectively have rights under the </w:t>
      </w:r>
      <w:r w:rsidR="00C85B77" w:rsidRPr="0008132A">
        <w:t>NTA</w:t>
      </w:r>
      <w:r w:rsidRPr="0008132A">
        <w:t xml:space="preserve"> for over 111,000 square kilometres in the CLC region. </w:t>
      </w:r>
    </w:p>
    <w:p w14:paraId="7E43E115" w14:textId="73973E34" w:rsidR="002614F5" w:rsidRPr="0008132A" w:rsidRDefault="00D435A6" w:rsidP="00D435A6">
      <w:pPr>
        <w:rPr>
          <w:lang w:eastAsia="en-AU"/>
        </w:rPr>
      </w:pPr>
      <w:r w:rsidRPr="0008132A">
        <w:t xml:space="preserve">There have been 32 determinations of native title within the CLC </w:t>
      </w:r>
      <w:r w:rsidR="006D7093" w:rsidRPr="0008132A">
        <w:t>Representative Aboriginal/Torres Strait Islander Body (</w:t>
      </w:r>
      <w:r w:rsidRPr="0008132A">
        <w:t>RATSIB</w:t>
      </w:r>
      <w:r w:rsidR="006D7093" w:rsidRPr="0008132A">
        <w:t>)</w:t>
      </w:r>
      <w:r w:rsidRPr="0008132A">
        <w:t xml:space="preserve"> area since the passage of the</w:t>
      </w:r>
      <w:r w:rsidRPr="0008132A">
        <w:rPr>
          <w:i/>
          <w:iCs/>
        </w:rPr>
        <w:t xml:space="preserve"> </w:t>
      </w:r>
      <w:r w:rsidR="00C85B77" w:rsidRPr="0008132A">
        <w:t>NTA</w:t>
      </w:r>
      <w:r w:rsidRPr="0008132A">
        <w:rPr>
          <w:iCs/>
        </w:rPr>
        <w:t>,</w:t>
      </w:r>
      <w:r w:rsidRPr="0008132A">
        <w:rPr>
          <w:i/>
          <w:iCs/>
        </w:rPr>
        <w:t xml:space="preserve"> </w:t>
      </w:r>
      <w:r w:rsidRPr="0008132A">
        <w:t xml:space="preserve">10 of which occurred during the formal Review period of 2016/17 </w:t>
      </w:r>
      <w:r w:rsidRPr="0008132A">
        <w:rPr>
          <w:rFonts w:cs="Segoe UI"/>
          <w:color w:val="000000"/>
          <w:shd w:val="clear" w:color="auto" w:fill="FFFFFF"/>
        </w:rPr>
        <w:t>–</w:t>
      </w:r>
      <w:r w:rsidRPr="0008132A">
        <w:t xml:space="preserve"> 2018/19. The CLC was the solicitor on record in all 10 of these determinations. </w:t>
      </w:r>
      <w:r w:rsidRPr="0008132A">
        <w:rPr>
          <w:lang w:eastAsia="en-AU"/>
        </w:rPr>
        <w:t xml:space="preserve">There were four active claims and five revised determinations awaiting a determination as at 30 June 2019. The CLC acts for </w:t>
      </w:r>
      <w:r w:rsidRPr="0008132A">
        <w:t xml:space="preserve">all </w:t>
      </w:r>
      <w:r w:rsidRPr="0008132A">
        <w:rPr>
          <w:lang w:eastAsia="en-AU"/>
        </w:rPr>
        <w:t xml:space="preserve">these claims. </w:t>
      </w:r>
    </w:p>
    <w:p w14:paraId="033E34E3" w14:textId="051AA51C" w:rsidR="00D435A6" w:rsidRPr="0008132A" w:rsidRDefault="00D435A6" w:rsidP="00D435A6">
      <w:r w:rsidRPr="0008132A">
        <w:t>There are currently 30</w:t>
      </w:r>
      <w:r w:rsidRPr="0008132A">
        <w:rPr>
          <w:lang w:eastAsia="en-AU"/>
        </w:rPr>
        <w:t xml:space="preserve"> </w:t>
      </w:r>
      <w:r w:rsidR="001D35BB" w:rsidRPr="0008132A">
        <w:rPr>
          <w:lang w:eastAsia="en-AU"/>
        </w:rPr>
        <w:t>Prescribed Body Corporates (</w:t>
      </w:r>
      <w:r w:rsidRPr="0008132A">
        <w:rPr>
          <w:lang w:eastAsia="en-AU"/>
        </w:rPr>
        <w:t>PBC</w:t>
      </w:r>
      <w:r w:rsidR="001D35BB" w:rsidRPr="0008132A">
        <w:rPr>
          <w:lang w:eastAsia="en-AU"/>
        </w:rPr>
        <w:t>)</w:t>
      </w:r>
      <w:r w:rsidRPr="0008132A">
        <w:rPr>
          <w:lang w:eastAsia="en-AU"/>
        </w:rPr>
        <w:t xml:space="preserve"> within the RATSIB area</w:t>
      </w:r>
      <w:r w:rsidRPr="0008132A">
        <w:t xml:space="preserve"> </w:t>
      </w:r>
      <w:r w:rsidRPr="0008132A">
        <w:rPr>
          <w:lang w:eastAsia="en-AU"/>
        </w:rPr>
        <w:t xml:space="preserve">with the CLC providing support to all these PBCs in 2018/19. This assistance was a mixture of native title services including legal services, capability development and administrative support. </w:t>
      </w:r>
    </w:p>
    <w:p w14:paraId="2EC7BBA4" w14:textId="571C6F0E" w:rsidR="00D435A6" w:rsidRPr="0008132A" w:rsidRDefault="00D435A6" w:rsidP="00D435A6">
      <w:pPr>
        <w:rPr>
          <w:lang w:eastAsia="en-AU"/>
        </w:rPr>
      </w:pPr>
      <w:r w:rsidRPr="0008132A">
        <w:rPr>
          <w:lang w:eastAsia="en-AU"/>
        </w:rPr>
        <w:t>The CLC has a 90-member Council representing the communities in the CLC RATSIB area</w:t>
      </w:r>
      <w:r w:rsidR="00E65448" w:rsidRPr="0008132A">
        <w:rPr>
          <w:lang w:eastAsia="en-AU"/>
        </w:rPr>
        <w:t xml:space="preserve">. </w:t>
      </w:r>
      <w:r w:rsidRPr="0008132A">
        <w:rPr>
          <w:lang w:eastAsia="en-AU"/>
        </w:rPr>
        <w:t xml:space="preserve">The 90 Council members elect the CLC's 11-member Executive Committee which carries out functions delegated by the </w:t>
      </w:r>
      <w:r w:rsidRPr="0008132A">
        <w:rPr>
          <w:lang w:eastAsia="en-AU"/>
        </w:rPr>
        <w:lastRenderedPageBreak/>
        <w:t>Council and manages business between Council Meetings. The Executive Committee is comprised of the Chair, the Deputy Chair and one member from each of the CLC's nine regions.</w:t>
      </w:r>
    </w:p>
    <w:p w14:paraId="3F7646E7" w14:textId="05138091" w:rsidR="00D435A6" w:rsidRPr="0008132A" w:rsidRDefault="00D435A6" w:rsidP="00D435A6">
      <w:pPr>
        <w:rPr>
          <w:lang w:eastAsia="en-AU"/>
        </w:rPr>
      </w:pPr>
      <w:r w:rsidRPr="0008132A">
        <w:rPr>
          <w:rFonts w:cs="Segoe UI"/>
        </w:rPr>
        <w:t xml:space="preserve">Of the approximately </w:t>
      </w:r>
      <w:r w:rsidR="003572AC">
        <w:rPr>
          <w:rFonts w:cs="Segoe UI"/>
        </w:rPr>
        <w:t xml:space="preserve">240 </w:t>
      </w:r>
      <w:r w:rsidRPr="0008132A">
        <w:rPr>
          <w:rFonts w:cs="Segoe UI"/>
        </w:rPr>
        <w:t xml:space="preserve">FTE in the CLC, </w:t>
      </w:r>
      <w:r w:rsidR="003572AC">
        <w:rPr>
          <w:rFonts w:cs="Segoe UI"/>
        </w:rPr>
        <w:t xml:space="preserve">including staff engaged in its Ranger Program, </w:t>
      </w:r>
      <w:r w:rsidRPr="0008132A">
        <w:rPr>
          <w:rFonts w:cs="Segoe UI"/>
        </w:rPr>
        <w:t xml:space="preserve">24 FTE are funded by the </w:t>
      </w:r>
      <w:r w:rsidR="00C85B77" w:rsidRPr="0008132A">
        <w:rPr>
          <w:rFonts w:cs="Segoe UI"/>
        </w:rPr>
        <w:t>NTA</w:t>
      </w:r>
      <w:r w:rsidRPr="0008132A">
        <w:rPr>
          <w:rFonts w:cs="Segoe UI"/>
        </w:rPr>
        <w:t xml:space="preserve">. In 2006, the Native Title Unit was integrated into the greater CLC. The structural reform enabled the integration of staff into identified professional disciplines (legal, anthropology and mining), which leveraged the experience and knowledge of staff across the </w:t>
      </w:r>
      <w:r w:rsidRPr="0008132A" w:rsidDel="00FF5DBE">
        <w:rPr>
          <w:rFonts w:cs="Segoe UI"/>
        </w:rPr>
        <w:t>organisation</w:t>
      </w:r>
      <w:r w:rsidRPr="0008132A">
        <w:rPr>
          <w:rFonts w:cs="Segoe UI"/>
        </w:rPr>
        <w:t xml:space="preserve"> and enabled a supportive environment within which to achieve enhanced native title outcomes.</w:t>
      </w:r>
    </w:p>
    <w:p w14:paraId="67A42AC5" w14:textId="77777777" w:rsidR="00D435A6" w:rsidRPr="0008132A" w:rsidRDefault="00D435A6" w:rsidP="00D435A6"/>
    <w:p w14:paraId="677FC59E" w14:textId="3A0BA731" w:rsidR="00F26E6E" w:rsidRPr="0008132A" w:rsidRDefault="00F26E6E" w:rsidP="00F26E6E">
      <w:pPr>
        <w:rPr>
          <w:lang w:eastAsia="en-AU"/>
        </w:rPr>
      </w:pPr>
    </w:p>
    <w:p w14:paraId="55254271" w14:textId="2B2BEF79" w:rsidR="009A4AC4" w:rsidRPr="0008132A" w:rsidRDefault="00EE0BCC" w:rsidP="009A4AC4">
      <w:pPr>
        <w:pStyle w:val="Heading1"/>
      </w:pPr>
      <w:bookmarkStart w:id="6" w:name="_Toc68072665"/>
      <w:r w:rsidRPr="0008132A">
        <w:lastRenderedPageBreak/>
        <w:t xml:space="preserve">Findings and recommendations by </w:t>
      </w:r>
      <w:r w:rsidR="00C23D9E" w:rsidRPr="0008132A">
        <w:t>TOR</w:t>
      </w:r>
      <w:bookmarkEnd w:id="6"/>
    </w:p>
    <w:p w14:paraId="2FEC048C" w14:textId="48674118" w:rsidR="00EE0BCC" w:rsidRPr="0008132A" w:rsidRDefault="0095239F" w:rsidP="00EE0BCC">
      <w:pPr>
        <w:rPr>
          <w:lang w:eastAsia="en-AU"/>
        </w:rPr>
      </w:pPr>
      <w:r w:rsidRPr="0008132A">
        <w:rPr>
          <w:lang w:eastAsia="en-AU"/>
        </w:rPr>
        <w:t>The following sections of the report provide an assessment of the CLC’s performance against the TORs for the Review.</w:t>
      </w:r>
    </w:p>
    <w:p w14:paraId="68D28EA8" w14:textId="3EEF2CB4" w:rsidR="004E5DBD" w:rsidRDefault="001B415A" w:rsidP="00095B98">
      <w:pPr>
        <w:pStyle w:val="Heading2"/>
      </w:pPr>
      <w:bookmarkStart w:id="7" w:name="_Ref501893080"/>
      <w:bookmarkStart w:id="8" w:name="_Toc502839777"/>
      <w:bookmarkStart w:id="9" w:name="_Toc502843253"/>
      <w:bookmarkStart w:id="10" w:name="_Toc502847616"/>
      <w:bookmarkStart w:id="11" w:name="_Toc502850760"/>
      <w:bookmarkStart w:id="12" w:name="_Toc502855192"/>
      <w:bookmarkStart w:id="13" w:name="_Toc503117091"/>
      <w:bookmarkStart w:id="14" w:name="_Toc505259168"/>
      <w:bookmarkStart w:id="15" w:name="_Toc505256235"/>
      <w:bookmarkStart w:id="16" w:name="_Toc505618278"/>
      <w:r w:rsidRPr="0008132A">
        <w:t xml:space="preserve">TOR 1.1 | Review and assess each organisation’s efficiency and effectiveness in performing the functions of a native title representative body over the past </w:t>
      </w:r>
      <w:r w:rsidR="00BA019D" w:rsidRPr="0008132A">
        <w:t>three</w:t>
      </w:r>
      <w:r w:rsidRPr="0008132A">
        <w:t xml:space="preserve"> years (with the main focus on recent performance) including: native title claim outcomes achieved for clients. </w:t>
      </w:r>
      <w:bookmarkEnd w:id="7"/>
      <w:bookmarkEnd w:id="8"/>
      <w:bookmarkEnd w:id="9"/>
      <w:bookmarkEnd w:id="10"/>
      <w:bookmarkEnd w:id="11"/>
      <w:bookmarkEnd w:id="12"/>
      <w:bookmarkEnd w:id="13"/>
      <w:bookmarkEnd w:id="14"/>
      <w:bookmarkEnd w:id="15"/>
      <w:bookmarkEnd w:id="16"/>
    </w:p>
    <w:p w14:paraId="70569B51" w14:textId="77777777" w:rsidR="00104678" w:rsidRPr="00104678" w:rsidRDefault="00104678" w:rsidP="00104678">
      <w:pPr>
        <w:rPr>
          <w:lang w:eastAsia="en-AU"/>
        </w:rPr>
      </w:pPr>
    </w:p>
    <w:p w14:paraId="4912036C" w14:textId="77777777" w:rsidR="00104678" w:rsidRPr="00104678" w:rsidRDefault="00104678" w:rsidP="0029223D">
      <w:pPr>
        <w:pStyle w:val="Longformcallout"/>
        <w:shd w:val="clear" w:color="auto" w:fill="E6E6E1" w:themeFill="accent5"/>
        <w:outlineLvl w:val="2"/>
        <w:rPr>
          <w:rFonts w:ascii="Segoe UI Semibold" w:hAnsi="Segoe UI Semibold" w:cs="Segoe UI Semibold"/>
        </w:rPr>
      </w:pPr>
      <w:r w:rsidRPr="00104678">
        <w:rPr>
          <w:rFonts w:ascii="Segoe UI Semibold" w:hAnsi="Segoe UI Semibold" w:cs="Segoe UI Semibold"/>
        </w:rPr>
        <w:t xml:space="preserve">Summary </w:t>
      </w:r>
    </w:p>
    <w:p w14:paraId="531A1D86" w14:textId="77777777" w:rsidR="00104678" w:rsidRPr="00104678" w:rsidRDefault="00104678" w:rsidP="00104678">
      <w:pPr>
        <w:pStyle w:val="Longformcallout"/>
        <w:shd w:val="clear" w:color="auto" w:fill="E6E6E1" w:themeFill="accent5"/>
      </w:pPr>
      <w:r w:rsidRPr="00104678">
        <w:t>The CLC has facilitated 10 native title consent determinations within the Review period (July 2016 – June 2019) and has filed 12 native title applications (none of which have been withdrawn or discontinued). The average length of time to settlement is significantly shorter than most NTRB-SPs.</w:t>
      </w:r>
    </w:p>
    <w:p w14:paraId="2BEB8EF9" w14:textId="77777777" w:rsidR="00104678" w:rsidRPr="00104678" w:rsidRDefault="00104678" w:rsidP="00104678">
      <w:pPr>
        <w:pStyle w:val="Longformcallout"/>
        <w:shd w:val="clear" w:color="auto" w:fill="E6E6E1" w:themeFill="accent5"/>
      </w:pPr>
      <w:r w:rsidRPr="00104678">
        <w:t>This outcome has been achieved by adopting a strategic approach to native title claims, which involves prioritising claim areas that CLC staff understand well and undertaking significant up-front research. The CLC invests</w:t>
      </w:r>
      <w:r w:rsidRPr="00104678">
        <w:rPr>
          <w:rStyle w:val="CommentReference"/>
        </w:rPr>
        <w:t xml:space="preserve"> </w:t>
      </w:r>
      <w:r w:rsidRPr="00104678">
        <w:t xml:space="preserve">strongly in its anthropological capability, with a rigorous peer review process and judicious use of consultant anthropologists. </w:t>
      </w:r>
    </w:p>
    <w:p w14:paraId="06D8B283" w14:textId="77777777" w:rsidR="00104678" w:rsidRPr="00104678" w:rsidRDefault="00104678" w:rsidP="00104678">
      <w:pPr>
        <w:pStyle w:val="Longformcallout"/>
        <w:shd w:val="clear" w:color="auto" w:fill="E6E6E1" w:themeFill="accent5"/>
        <w:rPr>
          <w:bCs/>
        </w:rPr>
      </w:pPr>
      <w:r w:rsidRPr="00104678">
        <w:t>The CLC progresses small, localised claims based on cadastral boundaries, resulting in claims that are generally smaller than in other RATSIB areas. This strategic and distinct approach has proven effective in achieving native title outcomes and is appropriate in the Northern Territory given native title is a limited set of rights compared to land rights under the ALRA. The CLC deals responsively with its o</w:t>
      </w:r>
      <w:r w:rsidRPr="00104678">
        <w:rPr>
          <w:bCs/>
        </w:rPr>
        <w:t>ther native title functions, including future acts and ILUAs.</w:t>
      </w:r>
    </w:p>
    <w:p w14:paraId="7C98A26C" w14:textId="42450D14" w:rsidR="00104678" w:rsidRPr="00104678" w:rsidRDefault="00104678" w:rsidP="00104678">
      <w:pPr>
        <w:shd w:val="clear" w:color="auto" w:fill="E6E6E1" w:themeFill="accent5"/>
        <w:rPr>
          <w:color w:val="00264D" w:themeColor="background2"/>
          <w:lang w:eastAsia="en-AU"/>
        </w:rPr>
      </w:pPr>
      <w:r w:rsidRPr="00104678">
        <w:rPr>
          <w:bCs/>
          <w:color w:val="00264D" w:themeColor="background2"/>
        </w:rPr>
        <w:t xml:space="preserve">Several external factors have influenced CLC’s ability to achieve native title outcomes, including the cooperative attitude of the NT Government and the relative cohesion of </w:t>
      </w:r>
      <w:r w:rsidRPr="00104678">
        <w:rPr>
          <w:color w:val="00264D" w:themeColor="background2"/>
        </w:rPr>
        <w:t xml:space="preserve">Aboriginal </w:t>
      </w:r>
      <w:r w:rsidRPr="00104678">
        <w:rPr>
          <w:bCs/>
          <w:color w:val="00264D" w:themeColor="background2"/>
        </w:rPr>
        <w:t>groups.</w:t>
      </w:r>
    </w:p>
    <w:p w14:paraId="18A55DCB" w14:textId="4FCFC1F4" w:rsidR="00A95521" w:rsidRPr="007C2DC2" w:rsidRDefault="00925760" w:rsidP="0029223D">
      <w:pPr>
        <w:spacing w:line="257" w:lineRule="auto"/>
        <w:outlineLvl w:val="2"/>
        <w:rPr>
          <w:b/>
          <w:bCs/>
          <w:i/>
          <w:iCs/>
        </w:rPr>
      </w:pPr>
      <w:r>
        <w:br/>
      </w:r>
      <w:r w:rsidR="00A95521" w:rsidRPr="007C2DC2">
        <w:rPr>
          <w:b/>
          <w:bCs/>
          <w:i/>
          <w:iCs/>
          <w:color w:val="00264D" w:themeColor="background2"/>
        </w:rPr>
        <w:t>The CLC has facilitated a high number of successful determinations during the Review period</w:t>
      </w:r>
    </w:p>
    <w:p w14:paraId="1B0BECB8" w14:textId="74CF1D0F" w:rsidR="00A95521" w:rsidRPr="0008132A" w:rsidRDefault="005E5155" w:rsidP="00622D8A">
      <w:pPr>
        <w:rPr>
          <w:rStyle w:val="CommentReference"/>
        </w:rPr>
      </w:pPr>
      <w:r w:rsidRPr="0008132A">
        <w:t xml:space="preserve">At </w:t>
      </w:r>
      <w:r w:rsidR="00CD50B3">
        <w:t xml:space="preserve">the </w:t>
      </w:r>
      <w:r w:rsidR="00E86493">
        <w:t xml:space="preserve">time </w:t>
      </w:r>
      <w:r w:rsidRPr="0008132A">
        <w:t xml:space="preserve">of </w:t>
      </w:r>
      <w:r w:rsidR="00E86493">
        <w:t>the R</w:t>
      </w:r>
      <w:r w:rsidRPr="0008132A">
        <w:t>eview, t</w:t>
      </w:r>
      <w:r w:rsidR="00A95521" w:rsidRPr="0008132A">
        <w:t>he CLC ha</w:t>
      </w:r>
      <w:r w:rsidRPr="0008132A">
        <w:t>d</w:t>
      </w:r>
      <w:r w:rsidR="00A95521" w:rsidRPr="0008132A">
        <w:t xml:space="preserve"> performed well in achieving native title outcomes for clients since it was recognised under the </w:t>
      </w:r>
      <w:r w:rsidR="00C85B77" w:rsidRPr="0008132A">
        <w:t>NTA</w:t>
      </w:r>
      <w:r w:rsidR="00A95521" w:rsidRPr="0008132A">
        <w:rPr>
          <w:iCs/>
        </w:rPr>
        <w:t>.</w:t>
      </w:r>
      <w:r w:rsidR="00A95521" w:rsidRPr="0008132A">
        <w:t xml:space="preserve"> Historically, the CLC has gained a strong reputation for its influential role in land rights and activism in the Central Australia area under the </w:t>
      </w:r>
      <w:r w:rsidR="00612281" w:rsidRPr="00CD50B3">
        <w:t>ALRA</w:t>
      </w:r>
      <w:r w:rsidR="00A95521" w:rsidRPr="0008132A">
        <w:t xml:space="preserve">. Given the significant role of the </w:t>
      </w:r>
      <w:r w:rsidR="00612281" w:rsidRPr="00CD50B3">
        <w:t>ALRA</w:t>
      </w:r>
      <w:r w:rsidR="00A95521" w:rsidRPr="0008132A">
        <w:t xml:space="preserve"> in granting inalienable freehold title (compared to other jurisdictions in Australia), the native title workload for the organisation was not as substantial until after the sunset clause for </w:t>
      </w:r>
      <w:r w:rsidR="00612281" w:rsidRPr="00CD50B3">
        <w:t>ALRA</w:t>
      </w:r>
      <w:r w:rsidR="00A95521" w:rsidRPr="0008132A">
        <w:t xml:space="preserve"> came into effect in 1997. </w:t>
      </w:r>
    </w:p>
    <w:p w14:paraId="33851C9F" w14:textId="77777777" w:rsidR="00A95521" w:rsidRPr="0008132A" w:rsidRDefault="00A95521" w:rsidP="00622D8A">
      <w:r w:rsidRPr="0008132A">
        <w:t>The first successful native title determination for the CLC was in May 2000. Since then, the CLC has achieved 32 successful native title determinations. Within the three-year period from 1 July 2016 to 30 June 2019, the CLC has:</w:t>
      </w:r>
    </w:p>
    <w:p w14:paraId="14A7C812" w14:textId="77777777" w:rsidR="00A95521" w:rsidRPr="0008132A" w:rsidRDefault="00A95521" w:rsidP="00A95521">
      <w:pPr>
        <w:pStyle w:val="Bullet"/>
        <w:numPr>
          <w:ilvl w:val="0"/>
          <w:numId w:val="35"/>
        </w:numPr>
        <w:spacing w:line="254" w:lineRule="auto"/>
      </w:pPr>
      <w:r w:rsidRPr="0008132A">
        <w:t>filed 12 native title applications, none of which have been withdrawn or discontinued</w:t>
      </w:r>
    </w:p>
    <w:p w14:paraId="03B318E2" w14:textId="77777777" w:rsidR="00A95521" w:rsidRPr="0008132A" w:rsidRDefault="00A95521" w:rsidP="00A95521">
      <w:pPr>
        <w:pStyle w:val="Bullet"/>
        <w:numPr>
          <w:ilvl w:val="0"/>
          <w:numId w:val="35"/>
        </w:numPr>
        <w:spacing w:line="254" w:lineRule="auto"/>
      </w:pPr>
      <w:r w:rsidRPr="0008132A">
        <w:t xml:space="preserve">achieved 10 successful native title consent determinations with a judgment that native title existed in parts of the determination area. </w:t>
      </w:r>
    </w:p>
    <w:p w14:paraId="457034C1" w14:textId="1620D1CA" w:rsidR="00B414BD" w:rsidRDefault="00A95521" w:rsidP="00622D8A">
      <w:pPr>
        <w:rPr>
          <w:lang w:eastAsia="en-AU"/>
        </w:rPr>
      </w:pPr>
      <w:r w:rsidRPr="0008132A">
        <w:lastRenderedPageBreak/>
        <w:t xml:space="preserve">The Review notes that </w:t>
      </w:r>
      <w:r w:rsidRPr="0008132A">
        <w:rPr>
          <w:lang w:eastAsia="en-AU"/>
        </w:rPr>
        <w:t>most native title determinations in the CLC region, especially those on land with a pastoral lease, will only recognise the claim group native title in parts of the area, with limited activity rights.</w:t>
      </w:r>
    </w:p>
    <w:p w14:paraId="72C9B3C6" w14:textId="77777777" w:rsidR="007C2DC2" w:rsidRPr="0008132A" w:rsidRDefault="007C2DC2" w:rsidP="00622D8A">
      <w:pPr>
        <w:rPr>
          <w:lang w:eastAsia="en-AU"/>
        </w:rPr>
      </w:pPr>
    </w:p>
    <w:p w14:paraId="2A69FD71" w14:textId="77777777" w:rsidR="0014316C" w:rsidRPr="007C2DC2" w:rsidRDefault="0014316C" w:rsidP="0029223D">
      <w:pPr>
        <w:spacing w:line="257" w:lineRule="auto"/>
        <w:outlineLvl w:val="2"/>
        <w:rPr>
          <w:b/>
          <w:bCs/>
          <w:i/>
          <w:iCs/>
          <w:color w:val="00264D" w:themeColor="background2"/>
        </w:rPr>
      </w:pPr>
      <w:r w:rsidRPr="007C2DC2">
        <w:rPr>
          <w:b/>
          <w:bCs/>
          <w:i/>
          <w:iCs/>
          <w:color w:val="00264D" w:themeColor="background2"/>
        </w:rPr>
        <w:t>The CLC has several active claims and revised determinations</w:t>
      </w:r>
    </w:p>
    <w:p w14:paraId="041CF500" w14:textId="383F9DA6" w:rsidR="00A95521" w:rsidRPr="0008132A" w:rsidRDefault="0014316C" w:rsidP="00622D8A">
      <w:pPr>
        <w:rPr>
          <w:lang w:eastAsia="en-AU"/>
        </w:rPr>
      </w:pPr>
      <w:r w:rsidRPr="0008132A">
        <w:rPr>
          <w:lang w:eastAsia="en-AU"/>
        </w:rPr>
        <w:t>At the end of the Review period in June 2019, the CLC had four active claims and five revised determinations.</w:t>
      </w:r>
      <w:r w:rsidR="004E5D31" w:rsidRPr="0008132A">
        <w:rPr>
          <w:lang w:eastAsia="en-AU"/>
        </w:rPr>
        <w:t xml:space="preserve"> As of September 2020, the CLC ha</w:t>
      </w:r>
      <w:r w:rsidR="005E5155" w:rsidRPr="0008132A">
        <w:rPr>
          <w:lang w:eastAsia="en-AU"/>
        </w:rPr>
        <w:t>d</w:t>
      </w:r>
      <w:r w:rsidR="004E5D31" w:rsidRPr="0008132A">
        <w:rPr>
          <w:lang w:eastAsia="en-AU"/>
        </w:rPr>
        <w:t xml:space="preserve"> four recently determined claims.</w:t>
      </w:r>
    </w:p>
    <w:p w14:paraId="37A6E45A" w14:textId="77777777" w:rsidR="00AC5C90" w:rsidRPr="00095B98" w:rsidRDefault="00AC5C90" w:rsidP="0029223D">
      <w:pPr>
        <w:spacing w:line="257" w:lineRule="auto"/>
        <w:outlineLvl w:val="2"/>
        <w:rPr>
          <w:b/>
          <w:bCs/>
          <w:i/>
          <w:iCs/>
          <w:color w:val="00264D" w:themeColor="background2"/>
        </w:rPr>
      </w:pPr>
      <w:r w:rsidRPr="00095B98">
        <w:rPr>
          <w:b/>
          <w:bCs/>
          <w:i/>
          <w:iCs/>
          <w:color w:val="00264D" w:themeColor="background2"/>
        </w:rPr>
        <w:t>Recommendations for TOR 1.1</w:t>
      </w:r>
    </w:p>
    <w:p w14:paraId="1893242B" w14:textId="7A22AFD3" w:rsidR="00AC5C90" w:rsidRDefault="00AC5C90" w:rsidP="00622D8A">
      <w:pPr>
        <w:rPr>
          <w:lang w:eastAsia="en-AU"/>
        </w:rPr>
      </w:pPr>
      <w:r w:rsidRPr="0008132A">
        <w:rPr>
          <w:lang w:eastAsia="en-AU"/>
        </w:rPr>
        <w:t xml:space="preserve">The Review made </w:t>
      </w:r>
      <w:r w:rsidR="004B2594" w:rsidRPr="0008132A">
        <w:rPr>
          <w:lang w:eastAsia="en-AU"/>
        </w:rPr>
        <w:t>two</w:t>
      </w:r>
      <w:r w:rsidR="008A16B3" w:rsidRPr="0008132A">
        <w:rPr>
          <w:lang w:eastAsia="en-AU"/>
        </w:rPr>
        <w:t xml:space="preserve"> </w:t>
      </w:r>
      <w:r w:rsidRPr="0008132A">
        <w:rPr>
          <w:lang w:eastAsia="en-AU"/>
        </w:rPr>
        <w:t xml:space="preserve">recommendations for TOR 1.1 </w:t>
      </w:r>
      <w:r w:rsidR="005358ED" w:rsidRPr="0008132A">
        <w:rPr>
          <w:lang w:eastAsia="en-AU"/>
        </w:rPr>
        <w:t>relating to</w:t>
      </w:r>
      <w:r w:rsidR="00B24390" w:rsidRPr="0008132A">
        <w:rPr>
          <w:lang w:eastAsia="en-AU"/>
        </w:rPr>
        <w:t xml:space="preserve"> </w:t>
      </w:r>
      <w:r w:rsidR="009457D8" w:rsidRPr="0008132A">
        <w:rPr>
          <w:lang w:eastAsia="en-AU"/>
        </w:rPr>
        <w:t xml:space="preserve">monitoring </w:t>
      </w:r>
      <w:r w:rsidR="000C6C4C" w:rsidRPr="0008132A">
        <w:rPr>
          <w:lang w:eastAsia="en-AU"/>
        </w:rPr>
        <w:t xml:space="preserve">client satisfaction </w:t>
      </w:r>
      <w:r w:rsidR="009457D8" w:rsidRPr="0008132A">
        <w:rPr>
          <w:lang w:eastAsia="en-AU"/>
        </w:rPr>
        <w:t xml:space="preserve">and </w:t>
      </w:r>
      <w:r w:rsidR="00673600" w:rsidRPr="0008132A">
        <w:rPr>
          <w:lang w:eastAsia="en-AU"/>
        </w:rPr>
        <w:t>CLC’s Internal R</w:t>
      </w:r>
      <w:r w:rsidR="009457D8" w:rsidRPr="0008132A">
        <w:rPr>
          <w:lang w:eastAsia="en-AU"/>
        </w:rPr>
        <w:t>eview</w:t>
      </w:r>
      <w:r w:rsidR="00B24390" w:rsidRPr="0008132A">
        <w:rPr>
          <w:lang w:eastAsia="en-AU"/>
        </w:rPr>
        <w:t xml:space="preserve"> process</w:t>
      </w:r>
      <w:r w:rsidRPr="0008132A">
        <w:rPr>
          <w:lang w:eastAsia="en-AU"/>
        </w:rPr>
        <w:t xml:space="preserve">. These are outlined below, as well as </w:t>
      </w:r>
      <w:r w:rsidR="00C85B77" w:rsidRPr="0008132A">
        <w:rPr>
          <w:lang w:eastAsia="en-AU"/>
        </w:rPr>
        <w:t>CLC</w:t>
      </w:r>
      <w:r w:rsidRPr="0008132A">
        <w:rPr>
          <w:lang w:eastAsia="en-AU"/>
        </w:rPr>
        <w:t xml:space="preserve">’s response to these recommendations. </w:t>
      </w:r>
    </w:p>
    <w:p w14:paraId="0AFBC74A" w14:textId="77777777" w:rsidR="00AF669D" w:rsidRPr="00E86493" w:rsidRDefault="00AF669D" w:rsidP="0029223D">
      <w:pPr>
        <w:pStyle w:val="TableNheader"/>
        <w:shd w:val="clear" w:color="auto" w:fill="E6E6E1" w:themeFill="accent5"/>
        <w:outlineLvl w:val="3"/>
        <w:rPr>
          <w:b/>
          <w:bCs/>
          <w:sz w:val="17"/>
        </w:rPr>
      </w:pPr>
      <w:r w:rsidRPr="00E86493">
        <w:rPr>
          <w:bCs/>
        </w:rPr>
        <w:t>Recommendation 1</w:t>
      </w:r>
    </w:p>
    <w:p w14:paraId="3E6C5360" w14:textId="7819155C" w:rsidR="00AF669D" w:rsidRDefault="00AF669D" w:rsidP="00AF669D">
      <w:pPr>
        <w:shd w:val="clear" w:color="auto" w:fill="E6E6E1" w:themeFill="accent5"/>
        <w:rPr>
          <w:lang w:eastAsia="en-AU"/>
        </w:rPr>
      </w:pPr>
      <w:r w:rsidRPr="00E86493">
        <w:rPr>
          <w:bCs/>
        </w:rPr>
        <w:t>The CLC should conduct more regular monitoring of client satisfaction to continue to inform how it delivers its native title functions.</w:t>
      </w:r>
    </w:p>
    <w:p w14:paraId="44824687" w14:textId="77777777" w:rsidR="00AF669D" w:rsidRPr="0008132A" w:rsidRDefault="00AF669D" w:rsidP="0029223D">
      <w:pPr>
        <w:pStyle w:val="TableNheader"/>
        <w:outlineLvl w:val="4"/>
        <w:rPr>
          <w:rFonts w:cs="Times New Roman"/>
          <w:sz w:val="17"/>
        </w:rPr>
      </w:pPr>
      <w:r w:rsidRPr="0008132A">
        <w:t xml:space="preserve">CLC response. </w:t>
      </w:r>
    </w:p>
    <w:p w14:paraId="687A12F4" w14:textId="7F6AC0D9" w:rsidR="00AF669D" w:rsidRDefault="00AF669D" w:rsidP="00AF669D">
      <w:pPr>
        <w:rPr>
          <w:lang w:eastAsia="en-AU"/>
        </w:rPr>
      </w:pPr>
      <w:r w:rsidRPr="00C36448">
        <w:t xml:space="preserve">The Central Land Council commits to conduct more regular monitoring of client satisfaction to inform the delivery of our native title functions.    </w:t>
      </w:r>
    </w:p>
    <w:p w14:paraId="365113EB" w14:textId="3950A2BD" w:rsidR="00AF669D" w:rsidRPr="00AF669D" w:rsidRDefault="00AF669D" w:rsidP="0029223D">
      <w:pPr>
        <w:pStyle w:val="TableNheader"/>
        <w:shd w:val="clear" w:color="auto" w:fill="E6E6E1" w:themeFill="accent5"/>
        <w:outlineLvl w:val="3"/>
        <w:rPr>
          <w:rFonts w:cs="Times New Roman"/>
          <w:sz w:val="17"/>
        </w:rPr>
      </w:pPr>
      <w:r>
        <w:t>Recommendation 2</w:t>
      </w:r>
    </w:p>
    <w:p w14:paraId="67DF799F" w14:textId="5F75E913" w:rsidR="00AF669D" w:rsidRDefault="00AF669D" w:rsidP="00AF669D">
      <w:pPr>
        <w:shd w:val="clear" w:color="auto" w:fill="E6E6E1" w:themeFill="accent5"/>
        <w:rPr>
          <w:lang w:eastAsia="en-AU"/>
        </w:rPr>
      </w:pPr>
      <w:r w:rsidRPr="00E86493">
        <w:rPr>
          <w:bCs/>
        </w:rPr>
        <w:t>The CLC should make the Internal Review process available online to align with best practice in other NTRB-SPs.</w:t>
      </w:r>
    </w:p>
    <w:p w14:paraId="105C74E5" w14:textId="77777777" w:rsidR="00AF669D" w:rsidRPr="00AF669D" w:rsidRDefault="00AF669D" w:rsidP="0029223D">
      <w:pPr>
        <w:spacing w:line="257" w:lineRule="auto"/>
        <w:outlineLvl w:val="4"/>
        <w:rPr>
          <w:rFonts w:asciiTheme="majorHAnsi" w:hAnsiTheme="majorHAnsi" w:cstheme="majorHAnsi"/>
          <w:color w:val="00264D" w:themeColor="background2"/>
          <w:sz w:val="16"/>
          <w:szCs w:val="16"/>
          <w:lang w:eastAsia="en-AU"/>
        </w:rPr>
      </w:pPr>
      <w:r w:rsidRPr="00AF669D">
        <w:rPr>
          <w:rFonts w:asciiTheme="majorHAnsi" w:hAnsiTheme="majorHAnsi" w:cstheme="majorHAnsi"/>
          <w:color w:val="00264D" w:themeColor="background2"/>
          <w:sz w:val="16"/>
          <w:szCs w:val="16"/>
          <w:lang w:eastAsia="en-AU"/>
        </w:rPr>
        <w:t xml:space="preserve">CLC response. </w:t>
      </w:r>
    </w:p>
    <w:p w14:paraId="45FD2645" w14:textId="77777777" w:rsidR="00AF669D" w:rsidRDefault="00AF669D" w:rsidP="00AF669D">
      <w:pPr>
        <w:rPr>
          <w:lang w:eastAsia="en-AU"/>
        </w:rPr>
      </w:pPr>
      <w:r>
        <w:rPr>
          <w:lang w:eastAsia="en-AU"/>
        </w:rPr>
        <w:t>The Central Land Council will commit to making the Internal Review process available on our website, ensuring it is accessible and aligned with best practice.</w:t>
      </w:r>
    </w:p>
    <w:p w14:paraId="7D3F77DA" w14:textId="1BB1FDEF" w:rsidR="00AF669D" w:rsidRDefault="00AF669D" w:rsidP="00AF669D">
      <w:pPr>
        <w:rPr>
          <w:lang w:eastAsia="en-AU"/>
        </w:rPr>
      </w:pPr>
      <w:r>
        <w:rPr>
          <w:lang w:eastAsia="en-AU"/>
        </w:rPr>
        <w:t xml:space="preserve">The CLC is currently re-developing its website. The Internal Review process will be included in the new design. In addition, other appropriate methods will be considered to inform constituents of the review process. This is to ensure accessibility across our constituents.  </w:t>
      </w:r>
    </w:p>
    <w:p w14:paraId="3B5A1AD5" w14:textId="77777777" w:rsidR="00AF669D" w:rsidRDefault="00AF669D" w:rsidP="00622D8A">
      <w:pPr>
        <w:rPr>
          <w:lang w:eastAsia="en-AU"/>
        </w:rPr>
      </w:pPr>
    </w:p>
    <w:p w14:paraId="249B671E" w14:textId="77777777" w:rsidR="00AF669D" w:rsidRDefault="00AF669D" w:rsidP="00622D8A">
      <w:pPr>
        <w:rPr>
          <w:lang w:eastAsia="en-AU"/>
        </w:rPr>
      </w:pPr>
    </w:p>
    <w:p w14:paraId="4FD53D8C" w14:textId="77777777" w:rsidR="00AF669D" w:rsidRPr="0008132A" w:rsidRDefault="00AF669D" w:rsidP="00622D8A">
      <w:pPr>
        <w:rPr>
          <w:lang w:eastAsia="en-AU"/>
        </w:rPr>
      </w:pPr>
    </w:p>
    <w:p w14:paraId="71277043" w14:textId="795CDDD0" w:rsidR="009A60D4" w:rsidRPr="0008132A" w:rsidRDefault="009A60D4" w:rsidP="009A60D4">
      <w:pPr>
        <w:spacing w:line="240" w:lineRule="auto"/>
        <w:rPr>
          <w:rFonts w:eastAsia="Calibri" w:cs="Arial"/>
          <w:sz w:val="25"/>
          <w:szCs w:val="25"/>
        </w:rPr>
      </w:pPr>
    </w:p>
    <w:p w14:paraId="5759306A" w14:textId="77777777" w:rsidR="00EE2A49" w:rsidRPr="0008132A" w:rsidRDefault="00EE2A49">
      <w:pPr>
        <w:spacing w:after="165" w:line="259" w:lineRule="auto"/>
        <w:rPr>
          <w:rFonts w:ascii="Segoe UI Semibold" w:eastAsia="Times New Roman" w:hAnsi="Segoe UI Semibold" w:cs="Times New Roman"/>
          <w:color w:val="00264D" w:themeColor="background2"/>
          <w:sz w:val="22"/>
          <w:szCs w:val="16"/>
          <w:lang w:eastAsia="en-AU"/>
        </w:rPr>
      </w:pPr>
      <w:bookmarkStart w:id="17" w:name="_Ref500337912"/>
      <w:bookmarkStart w:id="18" w:name="_Toc502839778"/>
      <w:bookmarkStart w:id="19" w:name="_Toc502843254"/>
      <w:bookmarkStart w:id="20" w:name="_Toc502847617"/>
      <w:bookmarkStart w:id="21" w:name="_Toc502850761"/>
      <w:bookmarkStart w:id="22" w:name="_Toc502855193"/>
      <w:bookmarkStart w:id="23" w:name="_Ref502867954"/>
      <w:bookmarkStart w:id="24" w:name="_Ref502868502"/>
      <w:bookmarkStart w:id="25" w:name="_Toc503117092"/>
      <w:bookmarkStart w:id="26" w:name="_Toc505259169"/>
      <w:bookmarkStart w:id="27" w:name="_Toc505256236"/>
      <w:bookmarkStart w:id="28" w:name="_Toc505618279"/>
      <w:r w:rsidRPr="0008132A">
        <w:rPr>
          <w:szCs w:val="16"/>
        </w:rPr>
        <w:br w:type="page"/>
      </w:r>
    </w:p>
    <w:p w14:paraId="02205D79" w14:textId="199B9FAA" w:rsidR="00BF164B" w:rsidRPr="0008132A" w:rsidRDefault="00BF164B" w:rsidP="00095B98">
      <w:pPr>
        <w:pStyle w:val="Heading2"/>
      </w:pPr>
      <w:r w:rsidRPr="0008132A">
        <w:lastRenderedPageBreak/>
        <w:t xml:space="preserve">TOR 1.2 | Review and assess each organisation’s efficiency and effectiveness in performing the functions of a native title representative body over the past </w:t>
      </w:r>
      <w:r w:rsidR="00E86493">
        <w:t>three</w:t>
      </w:r>
      <w:r w:rsidRPr="0008132A">
        <w:t xml:space="preserve"> years (with the main focus on recent performance) including: whether the organisation’s assessment and prioritisation of applications are equitable, transparent and robust.</w:t>
      </w:r>
      <w:bookmarkEnd w:id="17"/>
      <w:bookmarkEnd w:id="18"/>
      <w:bookmarkEnd w:id="19"/>
      <w:bookmarkEnd w:id="20"/>
      <w:bookmarkEnd w:id="21"/>
      <w:bookmarkEnd w:id="22"/>
      <w:bookmarkEnd w:id="23"/>
      <w:bookmarkEnd w:id="24"/>
      <w:bookmarkEnd w:id="25"/>
      <w:bookmarkEnd w:id="26"/>
      <w:bookmarkEnd w:id="27"/>
      <w:bookmarkEnd w:id="28"/>
    </w:p>
    <w:p w14:paraId="7AB675F6" w14:textId="4D3E3B22" w:rsidR="00BF164B" w:rsidRDefault="00BF164B" w:rsidP="009A60D4">
      <w:pPr>
        <w:spacing w:line="240" w:lineRule="auto"/>
        <w:rPr>
          <w:rFonts w:eastAsia="Calibri" w:cs="Arial"/>
          <w:sz w:val="25"/>
          <w:szCs w:val="25"/>
        </w:rPr>
      </w:pPr>
    </w:p>
    <w:p w14:paraId="2109E249" w14:textId="77777777" w:rsidR="00AF669D" w:rsidRPr="00A13EF7" w:rsidRDefault="00AF669D" w:rsidP="0029223D">
      <w:pPr>
        <w:pStyle w:val="Longformcallout"/>
        <w:shd w:val="clear" w:color="auto" w:fill="E6E6E1" w:themeFill="accent5"/>
        <w:outlineLvl w:val="2"/>
        <w:rPr>
          <w:rFonts w:asciiTheme="majorHAnsi" w:hAnsiTheme="majorHAnsi" w:cstheme="majorHAnsi"/>
        </w:rPr>
      </w:pPr>
      <w:r w:rsidRPr="00A13EF7">
        <w:rPr>
          <w:rFonts w:asciiTheme="majorHAnsi" w:hAnsiTheme="majorHAnsi" w:cstheme="majorHAnsi"/>
        </w:rPr>
        <w:t xml:space="preserve">Summary </w:t>
      </w:r>
    </w:p>
    <w:p w14:paraId="133ABCB9" w14:textId="77777777" w:rsidR="00AF669D" w:rsidRPr="00A13EF7" w:rsidRDefault="00AF669D" w:rsidP="00AF669D">
      <w:pPr>
        <w:pStyle w:val="Longformcallout"/>
        <w:shd w:val="clear" w:color="auto" w:fill="E6E6E1" w:themeFill="accent5"/>
      </w:pPr>
      <w:r w:rsidRPr="00A13EF7">
        <w:t xml:space="preserve">The CLC has a clear and documented policy in place for assessing and prioritising native title claims. Similar to other NTRB-SPs, the CLC prioritises claims in areas where they have a strong knowledge-base and consultant anthropologists who know the area. External factors such as the need to lodge a claim in response to industry activity has also influenced which claim is prioritised in some instances. </w:t>
      </w:r>
    </w:p>
    <w:p w14:paraId="5CD63707" w14:textId="4F66D382" w:rsidR="00AF669D" w:rsidRPr="0008132A" w:rsidRDefault="00AF669D" w:rsidP="00AF669D">
      <w:pPr>
        <w:shd w:val="clear" w:color="auto" w:fill="E6E6E1" w:themeFill="accent5"/>
        <w:spacing w:line="240" w:lineRule="auto"/>
        <w:rPr>
          <w:rFonts w:eastAsia="Calibri" w:cs="Arial"/>
          <w:sz w:val="25"/>
          <w:szCs w:val="25"/>
        </w:rPr>
      </w:pPr>
      <w:r w:rsidRPr="00A13EF7">
        <w:t>Staff understand the approach well and use the principles within the ‘Stages of Native Title Determination’ policy to inform decision making. Stakeholders consulted for the Review, however, demonstrated varying understanding of the rationale behind CLC’s prioritisation decisions with many clients having very limited, or no understanding of the CLC’s prioritisation process.</w:t>
      </w:r>
    </w:p>
    <w:p w14:paraId="0F9DD940" w14:textId="0BEC44E4" w:rsidR="00776170" w:rsidRPr="00095B98" w:rsidRDefault="00300DDF" w:rsidP="0029223D">
      <w:pPr>
        <w:spacing w:line="257" w:lineRule="auto"/>
        <w:outlineLvl w:val="2"/>
        <w:rPr>
          <w:b/>
          <w:bCs/>
          <w:i/>
          <w:iCs/>
        </w:rPr>
      </w:pPr>
      <w:r>
        <w:br/>
      </w:r>
      <w:r w:rsidR="00776170" w:rsidRPr="00095B98">
        <w:rPr>
          <w:b/>
          <w:bCs/>
          <w:i/>
          <w:iCs/>
          <w:color w:val="00264D" w:themeColor="background2"/>
        </w:rPr>
        <w:t>Recommendations for TOR 1.2</w:t>
      </w:r>
    </w:p>
    <w:p w14:paraId="35A42978" w14:textId="1C18701B" w:rsidR="00776170" w:rsidRDefault="00776170" w:rsidP="00776170">
      <w:pPr>
        <w:rPr>
          <w:rFonts w:eastAsia="Calibri" w:cs="Arial"/>
          <w:lang w:eastAsia="en-AU"/>
        </w:rPr>
      </w:pPr>
      <w:r w:rsidRPr="0008132A">
        <w:rPr>
          <w:rFonts w:eastAsia="Calibri" w:cs="Arial"/>
          <w:lang w:eastAsia="en-AU"/>
        </w:rPr>
        <w:t xml:space="preserve">The Review made one recommendation for TOR 1.2 on the organisation’s </w:t>
      </w:r>
      <w:r w:rsidR="00EC4391" w:rsidRPr="0008132A">
        <w:rPr>
          <w:rFonts w:eastAsia="Calibri" w:cs="Arial"/>
          <w:lang w:eastAsia="en-AU"/>
        </w:rPr>
        <w:t>prioritisation</w:t>
      </w:r>
      <w:r w:rsidRPr="0008132A">
        <w:rPr>
          <w:rFonts w:eastAsia="Calibri" w:cs="Arial"/>
          <w:lang w:eastAsia="en-AU"/>
        </w:rPr>
        <w:t xml:space="preserve"> process. This is outlined below, as well as </w:t>
      </w:r>
      <w:r w:rsidR="00C85B77" w:rsidRPr="0008132A">
        <w:rPr>
          <w:rFonts w:eastAsia="Calibri" w:cs="Arial"/>
          <w:lang w:eastAsia="en-AU"/>
        </w:rPr>
        <w:t>CLC</w:t>
      </w:r>
      <w:r w:rsidRPr="0008132A">
        <w:rPr>
          <w:rFonts w:eastAsia="Calibri" w:cs="Arial"/>
          <w:lang w:eastAsia="en-AU"/>
        </w:rPr>
        <w:t xml:space="preserve">’s response to this recommendation. </w:t>
      </w:r>
    </w:p>
    <w:p w14:paraId="2440F2AF" w14:textId="77777777" w:rsidR="00B6667E" w:rsidRPr="00D47773" w:rsidRDefault="00B6667E" w:rsidP="0029223D">
      <w:pPr>
        <w:pStyle w:val="TableNheader"/>
        <w:shd w:val="clear" w:color="auto" w:fill="E6E6E1" w:themeFill="accent5"/>
        <w:outlineLvl w:val="3"/>
        <w:rPr>
          <w:b/>
          <w:bCs/>
          <w:sz w:val="17"/>
        </w:rPr>
      </w:pPr>
      <w:r w:rsidRPr="00D47773">
        <w:rPr>
          <w:bCs/>
        </w:rPr>
        <w:t>Recommendation 3</w:t>
      </w:r>
    </w:p>
    <w:p w14:paraId="7FDDD9C8" w14:textId="6AAAEB6E" w:rsidR="00B6667E" w:rsidRDefault="00B6667E" w:rsidP="00B6667E">
      <w:pPr>
        <w:shd w:val="clear" w:color="auto" w:fill="E6E6E1" w:themeFill="accent5"/>
        <w:rPr>
          <w:rFonts w:eastAsia="Calibri" w:cs="Arial"/>
          <w:lang w:eastAsia="en-AU"/>
        </w:rPr>
      </w:pPr>
      <w:r w:rsidRPr="00D47773">
        <w:rPr>
          <w:bCs/>
        </w:rPr>
        <w:t>The CLC needs to communicate more clearly its prioritisation process externally to ensure stakeholders have a clear understanding of how claims are assessed and prioritised. This should outline, at a high-level, the key decision-making factors.</w:t>
      </w:r>
    </w:p>
    <w:p w14:paraId="377AD6EE" w14:textId="77777777" w:rsidR="00B6667E" w:rsidRPr="0008132A" w:rsidRDefault="00B6667E" w:rsidP="0029223D">
      <w:pPr>
        <w:pStyle w:val="TableNheader"/>
        <w:outlineLvl w:val="4"/>
        <w:rPr>
          <w:rFonts w:cs="Times New Roman"/>
          <w:sz w:val="17"/>
        </w:rPr>
      </w:pPr>
      <w:r w:rsidRPr="0008132A">
        <w:t xml:space="preserve">CLC response. </w:t>
      </w:r>
    </w:p>
    <w:p w14:paraId="7E944080" w14:textId="77777777" w:rsidR="00B6667E" w:rsidRPr="00B6667E" w:rsidRDefault="00B6667E" w:rsidP="00B6667E">
      <w:pPr>
        <w:pStyle w:val="TableNText"/>
        <w:rPr>
          <w:sz w:val="19"/>
          <w:szCs w:val="19"/>
        </w:rPr>
      </w:pPr>
      <w:r w:rsidRPr="00B6667E">
        <w:rPr>
          <w:sz w:val="19"/>
          <w:szCs w:val="19"/>
        </w:rPr>
        <w:t xml:space="preserve">The Central Land Council is committed to communicate our prioritisation process externally to ensure stakeholders have a clear understanding of how claims are assessed and prioritised.  </w:t>
      </w:r>
    </w:p>
    <w:p w14:paraId="6EC210E4" w14:textId="03A40D7E" w:rsidR="00B6667E" w:rsidRPr="00B6667E" w:rsidRDefault="00B6667E" w:rsidP="00B6667E">
      <w:pPr>
        <w:rPr>
          <w:rFonts w:eastAsia="Calibri" w:cs="Arial"/>
          <w:szCs w:val="19"/>
          <w:lang w:eastAsia="en-AU"/>
        </w:rPr>
      </w:pPr>
      <w:r w:rsidRPr="00B6667E">
        <w:rPr>
          <w:szCs w:val="19"/>
        </w:rPr>
        <w:t>As mentioned in our response to Recommendation 2, the CLC is currently re-developing its website. Communicating the prioritisation process will be included in the new design. In addition, we will prepare a Native Title Communications Plan that will outline other appropriate methods to further inform stakeholders of this process.</w:t>
      </w:r>
    </w:p>
    <w:p w14:paraId="27AFF46E" w14:textId="77777777" w:rsidR="00B6667E" w:rsidRPr="0008132A" w:rsidRDefault="00B6667E" w:rsidP="00776170">
      <w:pPr>
        <w:rPr>
          <w:rFonts w:eastAsia="Calibri" w:cs="Arial"/>
          <w:lang w:eastAsia="en-AU"/>
        </w:rPr>
      </w:pPr>
    </w:p>
    <w:p w14:paraId="363326BC" w14:textId="0A3D2FCD" w:rsidR="008A16B3" w:rsidRPr="0008132A" w:rsidRDefault="008A16B3" w:rsidP="0014316C">
      <w:pPr>
        <w:rPr>
          <w:lang w:eastAsia="en-AU"/>
        </w:rPr>
      </w:pPr>
    </w:p>
    <w:p w14:paraId="76D4D965" w14:textId="77777777" w:rsidR="00EE2A49" w:rsidRPr="0008132A" w:rsidRDefault="00EE2A49">
      <w:pPr>
        <w:spacing w:after="165" w:line="259" w:lineRule="auto"/>
        <w:rPr>
          <w:rFonts w:ascii="Segoe UI Semibold" w:eastAsia="Times New Roman" w:hAnsi="Segoe UI Semibold" w:cs="Times New Roman"/>
          <w:color w:val="00264D" w:themeColor="background2"/>
          <w:sz w:val="22"/>
          <w:szCs w:val="16"/>
          <w:lang w:eastAsia="en-AU"/>
        </w:rPr>
      </w:pPr>
      <w:bookmarkStart w:id="29" w:name="_Ref502726666"/>
      <w:bookmarkStart w:id="30" w:name="_Toc502839779"/>
      <w:bookmarkStart w:id="31" w:name="_Toc502843255"/>
      <w:bookmarkStart w:id="32" w:name="_Toc502847618"/>
      <w:bookmarkStart w:id="33" w:name="_Toc502850762"/>
      <w:bookmarkStart w:id="34" w:name="_Toc502855194"/>
      <w:bookmarkStart w:id="35" w:name="_Toc503117093"/>
      <w:bookmarkStart w:id="36" w:name="_Toc505259170"/>
      <w:bookmarkStart w:id="37" w:name="_Toc505256237"/>
      <w:bookmarkStart w:id="38" w:name="_Toc505618280"/>
      <w:r w:rsidRPr="0008132A">
        <w:rPr>
          <w:szCs w:val="16"/>
        </w:rPr>
        <w:br w:type="page"/>
      </w:r>
    </w:p>
    <w:p w14:paraId="5540EA5E" w14:textId="21906247" w:rsidR="00776170" w:rsidRPr="0008132A" w:rsidRDefault="00776170" w:rsidP="00095B98">
      <w:pPr>
        <w:pStyle w:val="Heading2"/>
      </w:pPr>
      <w:r w:rsidRPr="0008132A">
        <w:lastRenderedPageBreak/>
        <w:t xml:space="preserve">TOR 1.3 | Review and assess each organisations’ efficiency and effectiveness in performing the functions of a native title representative body over the past </w:t>
      </w:r>
      <w:r w:rsidR="00300DDF">
        <w:t>three</w:t>
      </w:r>
      <w:r w:rsidRPr="0008132A">
        <w:t xml:space="preserve"> years (with the main focus on recent performance) including: whether the organisation deals respectfully, equitably, transparently and in a culturally appropriate manner with clients, persons seeking assistance and persons refused assistance.</w:t>
      </w:r>
      <w:bookmarkEnd w:id="29"/>
      <w:bookmarkEnd w:id="30"/>
      <w:bookmarkEnd w:id="31"/>
      <w:bookmarkEnd w:id="32"/>
      <w:bookmarkEnd w:id="33"/>
      <w:bookmarkEnd w:id="34"/>
      <w:bookmarkEnd w:id="35"/>
      <w:bookmarkEnd w:id="36"/>
      <w:bookmarkEnd w:id="37"/>
      <w:bookmarkEnd w:id="38"/>
    </w:p>
    <w:p w14:paraId="685F8F95" w14:textId="1F3330FD" w:rsidR="00776170" w:rsidRDefault="00776170" w:rsidP="0014316C">
      <w:pPr>
        <w:rPr>
          <w:lang w:eastAsia="en-AU"/>
        </w:rPr>
      </w:pPr>
    </w:p>
    <w:p w14:paraId="2F6F2BE2" w14:textId="77777777" w:rsidR="00B6667E" w:rsidRPr="00B6667E" w:rsidRDefault="00B6667E" w:rsidP="0029223D">
      <w:pPr>
        <w:pStyle w:val="Longformcallout"/>
        <w:shd w:val="clear" w:color="auto" w:fill="E6E6E1" w:themeFill="accent5"/>
        <w:outlineLvl w:val="2"/>
        <w:rPr>
          <w:rFonts w:ascii="Segoe UI Semibold" w:hAnsi="Segoe UI Semibold" w:cs="Segoe UI Semibold"/>
        </w:rPr>
      </w:pPr>
      <w:r w:rsidRPr="00B6667E">
        <w:rPr>
          <w:rFonts w:ascii="Segoe UI Semibold" w:hAnsi="Segoe UI Semibold" w:cs="Segoe UI Semibold"/>
        </w:rPr>
        <w:t xml:space="preserve">Summary </w:t>
      </w:r>
    </w:p>
    <w:p w14:paraId="56F356F1" w14:textId="77777777" w:rsidR="00B6667E" w:rsidRPr="00B6667E" w:rsidRDefault="00B6667E" w:rsidP="00B6667E">
      <w:pPr>
        <w:pStyle w:val="Longformcallout"/>
        <w:shd w:val="clear" w:color="auto" w:fill="E6E6E1" w:themeFill="accent5"/>
      </w:pPr>
      <w:r w:rsidRPr="00B6667E">
        <w:t xml:space="preserve">The CLC has a strong focus on dealing respectfully, transparently and in a culturally appropriate manner with clients through its regional ‘on the ground’ model. The regional support staff have experience working or living in their relevant region and are often fluent in one or more Aboriginal languages. They also provide support to anthropologists to conduct field research in a safe and culturally appropriate manner. </w:t>
      </w:r>
    </w:p>
    <w:p w14:paraId="505B2D39" w14:textId="77777777" w:rsidR="00B6667E" w:rsidRPr="00B6667E" w:rsidRDefault="00B6667E" w:rsidP="00B6667E">
      <w:pPr>
        <w:pStyle w:val="Longformcallout"/>
        <w:shd w:val="clear" w:color="auto" w:fill="E6E6E1" w:themeFill="accent5"/>
      </w:pPr>
      <w:r w:rsidRPr="00B6667E">
        <w:t xml:space="preserve">The CLC has a consultation and engagement strategy that guides its approach. The strategy highlights important principles such as respect for Aboriginal ways of doing business and working inter-culturally. The CLC has a well-considered approach to cultural competency training, with employee development embedded through ‘on the job’ ways of working and support from experienced staff. </w:t>
      </w:r>
    </w:p>
    <w:p w14:paraId="6ED59A3C" w14:textId="54E2BD18" w:rsidR="00B6667E" w:rsidRPr="00B6667E" w:rsidRDefault="00B6667E" w:rsidP="00B6667E">
      <w:pPr>
        <w:shd w:val="clear" w:color="auto" w:fill="E6E6E1" w:themeFill="accent5"/>
        <w:rPr>
          <w:color w:val="00264D" w:themeColor="background2"/>
          <w:lang w:eastAsia="en-AU"/>
        </w:rPr>
      </w:pPr>
      <w:r w:rsidRPr="00B6667E">
        <w:rPr>
          <w:color w:val="00264D" w:themeColor="background2"/>
        </w:rPr>
        <w:t>Despite this strongly developed approach, the Review received mixed feedback from the CLC's clients with some clients noting there were areas where the CLC could do better. These included improving how it supports clients to make NTA decisions over matters in their area, giving clients more time to process and understand NTA information and simplifying its NTA messaging.</w:t>
      </w:r>
    </w:p>
    <w:p w14:paraId="371544D6" w14:textId="2B1DD994" w:rsidR="006338ED" w:rsidRPr="00095B98" w:rsidRDefault="00622D8A" w:rsidP="00095B98">
      <w:pPr>
        <w:rPr>
          <w:b/>
          <w:bCs/>
          <w:i/>
          <w:iCs/>
        </w:rPr>
      </w:pPr>
      <w:r>
        <w:br/>
      </w:r>
      <w:r w:rsidR="006338ED" w:rsidRPr="00095B98">
        <w:rPr>
          <w:b/>
          <w:bCs/>
          <w:i/>
          <w:iCs/>
          <w:color w:val="00264D" w:themeColor="background2"/>
        </w:rPr>
        <w:t>No recommendations were made for TOR 1.3.</w:t>
      </w:r>
    </w:p>
    <w:p w14:paraId="54DC068E" w14:textId="77777777" w:rsidR="006338ED" w:rsidRPr="0008132A" w:rsidRDefault="006338ED" w:rsidP="0014316C">
      <w:pPr>
        <w:rPr>
          <w:lang w:eastAsia="en-AU"/>
        </w:rPr>
      </w:pPr>
    </w:p>
    <w:p w14:paraId="7ACF5209" w14:textId="77777777" w:rsidR="00EE2A49" w:rsidRPr="0008132A" w:rsidRDefault="00EE2A49">
      <w:pPr>
        <w:spacing w:after="165" w:line="259" w:lineRule="auto"/>
        <w:rPr>
          <w:rFonts w:ascii="Segoe UI Semibold" w:eastAsia="Times New Roman" w:hAnsi="Segoe UI Semibold" w:cs="Times New Roman"/>
          <w:color w:val="00264D" w:themeColor="background2"/>
          <w:sz w:val="22"/>
          <w:szCs w:val="16"/>
          <w:lang w:eastAsia="en-AU"/>
        </w:rPr>
      </w:pPr>
      <w:bookmarkStart w:id="39" w:name="_Toc501895344"/>
      <w:bookmarkStart w:id="40" w:name="_Toc502839780"/>
      <w:bookmarkStart w:id="41" w:name="_Toc502843256"/>
      <w:bookmarkStart w:id="42" w:name="_Toc502847619"/>
      <w:bookmarkStart w:id="43" w:name="_Toc502850763"/>
      <w:bookmarkStart w:id="44" w:name="_Toc502855195"/>
      <w:bookmarkStart w:id="45" w:name="_Ref502870069"/>
      <w:bookmarkStart w:id="46" w:name="_Toc503117094"/>
      <w:bookmarkStart w:id="47" w:name="_Toc505259171"/>
      <w:bookmarkStart w:id="48" w:name="_Toc505256238"/>
      <w:bookmarkStart w:id="49" w:name="_Toc505618281"/>
      <w:r w:rsidRPr="0008132A">
        <w:rPr>
          <w:szCs w:val="16"/>
        </w:rPr>
        <w:br w:type="page"/>
      </w:r>
    </w:p>
    <w:p w14:paraId="0D70F856" w14:textId="1C8C8337" w:rsidR="00700AE3" w:rsidRPr="0008132A" w:rsidRDefault="00700AE3" w:rsidP="00095B98">
      <w:pPr>
        <w:pStyle w:val="Heading2"/>
      </w:pPr>
      <w:r w:rsidRPr="0008132A">
        <w:lastRenderedPageBreak/>
        <w:t>TOR 2 | Review and assess each organisation’s cost effectiveness in performing the functions of a native title representative body, including the key cost drivers for each organisation.</w:t>
      </w:r>
      <w:bookmarkEnd w:id="39"/>
      <w:bookmarkEnd w:id="40"/>
      <w:bookmarkEnd w:id="41"/>
      <w:bookmarkEnd w:id="42"/>
      <w:bookmarkEnd w:id="43"/>
      <w:bookmarkEnd w:id="44"/>
      <w:bookmarkEnd w:id="45"/>
      <w:bookmarkEnd w:id="46"/>
      <w:bookmarkEnd w:id="47"/>
      <w:bookmarkEnd w:id="48"/>
      <w:bookmarkEnd w:id="49"/>
    </w:p>
    <w:p w14:paraId="5592A6CD" w14:textId="77777777" w:rsidR="008B6818" w:rsidRDefault="008B6818" w:rsidP="008B6818">
      <w:pPr>
        <w:rPr>
          <w:lang w:eastAsia="en-AU"/>
        </w:rPr>
      </w:pPr>
    </w:p>
    <w:p w14:paraId="12E2D6A6" w14:textId="77777777" w:rsidR="00466D45" w:rsidRPr="00622D8A" w:rsidRDefault="00466D45" w:rsidP="0029223D">
      <w:pPr>
        <w:pStyle w:val="Longformcallout"/>
        <w:shd w:val="clear" w:color="auto" w:fill="E6E6E1" w:themeFill="accent5"/>
        <w:outlineLvl w:val="2"/>
        <w:rPr>
          <w:rFonts w:asciiTheme="majorHAnsi" w:hAnsiTheme="majorHAnsi" w:cstheme="majorHAnsi"/>
        </w:rPr>
      </w:pPr>
      <w:r w:rsidRPr="00622D8A">
        <w:rPr>
          <w:rFonts w:asciiTheme="majorHAnsi" w:hAnsiTheme="majorHAnsi" w:cstheme="majorHAnsi"/>
        </w:rPr>
        <w:t xml:space="preserve">Summary </w:t>
      </w:r>
    </w:p>
    <w:p w14:paraId="235165CA" w14:textId="77777777" w:rsidR="00466D45" w:rsidRPr="0008132A" w:rsidRDefault="00466D45" w:rsidP="00466D45">
      <w:pPr>
        <w:pStyle w:val="Longformcallout"/>
        <w:shd w:val="clear" w:color="auto" w:fill="E6E6E1" w:themeFill="accent5"/>
      </w:pPr>
      <w:r w:rsidRPr="0008132A">
        <w:t>The CLC has a focus on delivering native title services in a cost-efficient way. The main change during the Review period was the internal restructure in late 2017 during which the CLC enhanced its regional</w:t>
      </w:r>
      <w:r>
        <w:t>-</w:t>
      </w:r>
      <w:r w:rsidRPr="0008132A">
        <w:t>based model. Some stakeholders noted this provided staff greater capacity to plan and act in a regionally coordinated manner resulting in improved service delivery, client engagement and communication across the organisation.</w:t>
      </w:r>
    </w:p>
    <w:p w14:paraId="0BB0A627" w14:textId="04BAB4CD" w:rsidR="00466D45" w:rsidRPr="0008132A" w:rsidRDefault="00466D45" w:rsidP="00466D45">
      <w:pPr>
        <w:shd w:val="clear" w:color="auto" w:fill="E6E6E1" w:themeFill="accent5"/>
        <w:rPr>
          <w:lang w:eastAsia="en-AU"/>
        </w:rPr>
      </w:pPr>
      <w:r w:rsidRPr="0008132A">
        <w:t>The CLC is also strategic in its field trips and leverages work from across its portfolios (particularly land rights) to reduce cost duplication. The CLC’s approach to engaging consultant anthropologists is efficient, as their expertise is leveraged throughout the claims process to produce detailed reports that create efficiencies in post-determination. The main factors that drive costs for the CLC are its vast geography and the proportion of remote land in its RATSIB area.</w:t>
      </w:r>
    </w:p>
    <w:p w14:paraId="6E94BBF0" w14:textId="62EB7CC0" w:rsidR="00B51CA7" w:rsidRPr="00095B98" w:rsidRDefault="009F43FE" w:rsidP="00095B98">
      <w:pPr>
        <w:rPr>
          <w:b/>
          <w:bCs/>
          <w:i/>
          <w:iCs/>
        </w:rPr>
      </w:pPr>
      <w:r>
        <w:br/>
      </w:r>
      <w:r w:rsidR="00B51CA7" w:rsidRPr="00095B98">
        <w:rPr>
          <w:b/>
          <w:bCs/>
          <w:i/>
          <w:iCs/>
        </w:rPr>
        <w:t>No recommendations were made for TOR 2.</w:t>
      </w:r>
    </w:p>
    <w:p w14:paraId="472B98E1" w14:textId="29317ECA" w:rsidR="00B51CA7" w:rsidRPr="0008132A" w:rsidRDefault="00B51CA7" w:rsidP="00B51CA7">
      <w:pPr>
        <w:rPr>
          <w:rFonts w:eastAsia="Calibri" w:cs="Arial"/>
          <w:lang w:eastAsia="en-AU"/>
        </w:rPr>
      </w:pPr>
    </w:p>
    <w:p w14:paraId="3C8337C5" w14:textId="77777777" w:rsidR="00EE2A49" w:rsidRPr="0008132A" w:rsidRDefault="00EE2A49">
      <w:pPr>
        <w:spacing w:after="165" w:line="259" w:lineRule="auto"/>
        <w:rPr>
          <w:rFonts w:ascii="Segoe UI Semibold" w:eastAsia="Times New Roman" w:hAnsi="Segoe UI Semibold" w:cs="Times New Roman"/>
          <w:color w:val="00264D" w:themeColor="background2"/>
          <w:sz w:val="22"/>
          <w:szCs w:val="16"/>
          <w:lang w:eastAsia="en-AU"/>
        </w:rPr>
      </w:pPr>
      <w:bookmarkStart w:id="50" w:name="_Toc501895345"/>
      <w:bookmarkStart w:id="51" w:name="_Toc502839781"/>
      <w:bookmarkStart w:id="52" w:name="_Toc502843257"/>
      <w:bookmarkStart w:id="53" w:name="_Toc502847620"/>
      <w:bookmarkStart w:id="54" w:name="_Toc502850764"/>
      <w:bookmarkStart w:id="55" w:name="_Toc502855196"/>
      <w:bookmarkStart w:id="56" w:name="_Toc503117095"/>
      <w:bookmarkStart w:id="57" w:name="_Toc505259172"/>
      <w:bookmarkStart w:id="58" w:name="_Toc505256239"/>
      <w:bookmarkStart w:id="59" w:name="_Toc505618282"/>
      <w:r w:rsidRPr="0008132A">
        <w:rPr>
          <w:szCs w:val="16"/>
        </w:rPr>
        <w:br w:type="page"/>
      </w:r>
    </w:p>
    <w:p w14:paraId="633BE03B" w14:textId="2F774167" w:rsidR="00993B99" w:rsidRDefault="00993B99" w:rsidP="00095B98">
      <w:pPr>
        <w:pStyle w:val="Heading2"/>
      </w:pPr>
      <w:r w:rsidRPr="0008132A">
        <w:lastRenderedPageBreak/>
        <w:t xml:space="preserve">TOR 3 | Review and assess each organisation’s strategies for driving and tracking its achievement against key performance indicators in its funding agreement with </w:t>
      </w:r>
      <w:bookmarkEnd w:id="50"/>
      <w:bookmarkEnd w:id="51"/>
      <w:bookmarkEnd w:id="52"/>
      <w:bookmarkEnd w:id="53"/>
      <w:bookmarkEnd w:id="54"/>
      <w:bookmarkEnd w:id="55"/>
      <w:bookmarkEnd w:id="56"/>
      <w:bookmarkEnd w:id="57"/>
      <w:bookmarkEnd w:id="58"/>
      <w:bookmarkEnd w:id="59"/>
      <w:r w:rsidRPr="0008132A">
        <w:t>the NIAA.</w:t>
      </w:r>
    </w:p>
    <w:p w14:paraId="0208FB78" w14:textId="77777777" w:rsidR="00466D45" w:rsidRPr="00466D45" w:rsidRDefault="00466D45" w:rsidP="00466D45">
      <w:pPr>
        <w:rPr>
          <w:lang w:eastAsia="en-AU"/>
        </w:rPr>
      </w:pPr>
    </w:p>
    <w:p w14:paraId="59EF102C" w14:textId="77777777" w:rsidR="00466D45" w:rsidRPr="00FD49C0" w:rsidRDefault="00466D45" w:rsidP="0029223D">
      <w:pPr>
        <w:pStyle w:val="Longformcallout"/>
        <w:shd w:val="clear" w:color="auto" w:fill="E6E6E1" w:themeFill="accent5"/>
        <w:outlineLvl w:val="2"/>
        <w:rPr>
          <w:rFonts w:asciiTheme="majorHAnsi" w:hAnsiTheme="majorHAnsi" w:cstheme="majorHAnsi"/>
        </w:rPr>
      </w:pPr>
      <w:r w:rsidRPr="00FD49C0">
        <w:rPr>
          <w:rFonts w:asciiTheme="majorHAnsi" w:hAnsiTheme="majorHAnsi" w:cstheme="majorHAnsi"/>
        </w:rPr>
        <w:t xml:space="preserve">Summary </w:t>
      </w:r>
    </w:p>
    <w:p w14:paraId="0D14E237" w14:textId="434C50BC" w:rsidR="008B6818" w:rsidRPr="00095B98" w:rsidRDefault="00466D45" w:rsidP="00466D45">
      <w:pPr>
        <w:shd w:val="clear" w:color="auto" w:fill="E6E6E1" w:themeFill="accent5"/>
        <w:rPr>
          <w:b/>
          <w:bCs/>
          <w:i/>
          <w:iCs/>
          <w:color w:val="00264D" w:themeColor="background2"/>
          <w:lang w:eastAsia="en-AU"/>
        </w:rPr>
      </w:pPr>
      <w:r w:rsidRPr="0008132A">
        <w:t xml:space="preserve">The CLC has a sound approach to driving and tracking achievements of native title outcomes. The organisation integrates the tracking of native title achievements alongside broader CLC outcomes through </w:t>
      </w:r>
      <w:r w:rsidRPr="00095B98">
        <w:rPr>
          <w:b/>
          <w:bCs/>
          <w:i/>
          <w:iCs/>
          <w:color w:val="00264D" w:themeColor="background2"/>
        </w:rPr>
        <w:t>a comprehensive performance dashboard.</w:t>
      </w:r>
    </w:p>
    <w:p w14:paraId="149C71E6" w14:textId="15903FDF" w:rsidR="00993B99" w:rsidRPr="00095B98" w:rsidRDefault="00993B99" w:rsidP="00095B98">
      <w:pPr>
        <w:rPr>
          <w:b/>
          <w:bCs/>
          <w:i/>
          <w:iCs/>
          <w:color w:val="00264D" w:themeColor="background2"/>
        </w:rPr>
      </w:pPr>
      <w:r w:rsidRPr="00095B98">
        <w:rPr>
          <w:b/>
          <w:bCs/>
          <w:i/>
          <w:iCs/>
          <w:color w:val="00264D" w:themeColor="background2"/>
        </w:rPr>
        <w:t xml:space="preserve">No recommendations were made for TOR </w:t>
      </w:r>
      <w:r w:rsidR="00665E48" w:rsidRPr="00095B98">
        <w:rPr>
          <w:b/>
          <w:bCs/>
          <w:i/>
          <w:iCs/>
          <w:color w:val="00264D" w:themeColor="background2"/>
        </w:rPr>
        <w:t>3</w:t>
      </w:r>
      <w:r w:rsidRPr="00095B98">
        <w:rPr>
          <w:b/>
          <w:bCs/>
          <w:i/>
          <w:iCs/>
          <w:color w:val="00264D" w:themeColor="background2"/>
        </w:rPr>
        <w:t>.</w:t>
      </w:r>
    </w:p>
    <w:p w14:paraId="0B01B449" w14:textId="551C097B" w:rsidR="00993B99" w:rsidRPr="0008132A" w:rsidRDefault="00993B99" w:rsidP="00B51CA7">
      <w:pPr>
        <w:rPr>
          <w:rFonts w:eastAsia="Calibri" w:cs="Arial"/>
          <w:lang w:eastAsia="en-AU"/>
        </w:rPr>
      </w:pPr>
    </w:p>
    <w:p w14:paraId="2CB8366C" w14:textId="77777777" w:rsidR="00EE2A49" w:rsidRPr="0008132A" w:rsidRDefault="00EE2A49">
      <w:pPr>
        <w:spacing w:after="165" w:line="259" w:lineRule="auto"/>
        <w:rPr>
          <w:rFonts w:ascii="Segoe UI Semibold" w:eastAsia="Times New Roman" w:hAnsi="Segoe UI Semibold" w:cs="Times New Roman"/>
          <w:color w:val="00264D" w:themeColor="background2"/>
          <w:sz w:val="22"/>
          <w:lang w:eastAsia="en-AU"/>
        </w:rPr>
      </w:pPr>
      <w:bookmarkStart w:id="60" w:name="_Toc501895346"/>
      <w:bookmarkStart w:id="61" w:name="_Toc502839782"/>
      <w:bookmarkStart w:id="62" w:name="_Toc502843258"/>
      <w:bookmarkStart w:id="63" w:name="_Toc502847621"/>
      <w:bookmarkStart w:id="64" w:name="_Toc502850765"/>
      <w:bookmarkStart w:id="65" w:name="_Toc502855197"/>
      <w:bookmarkStart w:id="66" w:name="_Ref502870747"/>
      <w:bookmarkStart w:id="67" w:name="_Ref502909938"/>
      <w:bookmarkStart w:id="68" w:name="_Toc503117096"/>
      <w:bookmarkStart w:id="69" w:name="_Toc505259173"/>
      <w:bookmarkStart w:id="70" w:name="_Toc505256240"/>
      <w:bookmarkStart w:id="71" w:name="_Ref505607381"/>
      <w:bookmarkStart w:id="72" w:name="_Toc505618283"/>
      <w:r w:rsidRPr="0008132A">
        <w:br w:type="page"/>
      </w:r>
    </w:p>
    <w:p w14:paraId="60EE69B4" w14:textId="6A5E4A86" w:rsidR="00665E48" w:rsidRDefault="00665E48" w:rsidP="00095B98">
      <w:pPr>
        <w:pStyle w:val="Heading2"/>
      </w:pPr>
      <w:r w:rsidRPr="0008132A">
        <w:lastRenderedPageBreak/>
        <w:t>TOR 4 | Review and assess the extent to which each organisation’s governance structures and organisational policies and practices support efficient and effective project delivery including: the breakdown of responsibilities between the organisation’s Board, Chairperson, Chief Executive Officer and senior staff; its financial management; the standard to which it manages and resolves any conflicts of interest; the standard to which it manages and resolves any complaints.</w:t>
      </w:r>
      <w:bookmarkEnd w:id="60"/>
      <w:bookmarkEnd w:id="61"/>
      <w:bookmarkEnd w:id="62"/>
      <w:bookmarkEnd w:id="63"/>
      <w:bookmarkEnd w:id="64"/>
      <w:bookmarkEnd w:id="65"/>
      <w:bookmarkEnd w:id="66"/>
      <w:bookmarkEnd w:id="67"/>
      <w:bookmarkEnd w:id="68"/>
      <w:bookmarkEnd w:id="69"/>
      <w:bookmarkEnd w:id="70"/>
      <w:bookmarkEnd w:id="71"/>
      <w:bookmarkEnd w:id="72"/>
    </w:p>
    <w:p w14:paraId="3B41EF55" w14:textId="77777777" w:rsidR="00466D45" w:rsidRPr="00466D45" w:rsidRDefault="00466D45" w:rsidP="00466D45">
      <w:pPr>
        <w:rPr>
          <w:lang w:eastAsia="en-AU"/>
        </w:rPr>
      </w:pPr>
    </w:p>
    <w:p w14:paraId="5C5B2A7E" w14:textId="77777777" w:rsidR="00466D45" w:rsidRPr="00466D45" w:rsidRDefault="00466D45" w:rsidP="0029223D">
      <w:pPr>
        <w:pStyle w:val="Longformcallout"/>
        <w:shd w:val="clear" w:color="auto" w:fill="E6E6E1" w:themeFill="accent5"/>
        <w:outlineLvl w:val="2"/>
        <w:rPr>
          <w:rFonts w:asciiTheme="majorHAnsi" w:hAnsiTheme="majorHAnsi" w:cstheme="majorHAnsi"/>
        </w:rPr>
      </w:pPr>
      <w:r w:rsidRPr="00466D45">
        <w:rPr>
          <w:rFonts w:asciiTheme="majorHAnsi" w:hAnsiTheme="majorHAnsi" w:cstheme="majorHAnsi"/>
        </w:rPr>
        <w:t>Summary</w:t>
      </w:r>
    </w:p>
    <w:p w14:paraId="307A1C7C" w14:textId="77777777" w:rsidR="00466D45" w:rsidRPr="00466D45" w:rsidRDefault="00466D45" w:rsidP="00466D45">
      <w:pPr>
        <w:pStyle w:val="Longformcallout"/>
        <w:shd w:val="clear" w:color="auto" w:fill="E6E6E1" w:themeFill="accent5"/>
      </w:pPr>
      <w:r w:rsidRPr="00466D45">
        <w:t xml:space="preserve">The CLC is a corporate Commonwealth entity under the PGPA Act, and as a result the CLC’s Chair and the CEO are the accountable authority who must work together to manage the CLC’s obligations and duties, including performance of its native title functions. </w:t>
      </w:r>
    </w:p>
    <w:p w14:paraId="57A38C6C" w14:textId="77777777" w:rsidR="00466D45" w:rsidRPr="00466D45" w:rsidRDefault="00466D45" w:rsidP="00466D45">
      <w:pPr>
        <w:pStyle w:val="Longformcallout"/>
        <w:shd w:val="clear" w:color="auto" w:fill="E6E6E1" w:themeFill="accent5"/>
      </w:pPr>
      <w:r w:rsidRPr="00466D45">
        <w:t xml:space="preserve">The CLC’s native title responsibilities are managed effectively across the organisation. Its policies and procedures provide the Council, Executive Committee and staff with structure and clarity over their roles, responsibilities and decision-making authority. The management of native title finances is undertaken within a sound overall financial management approach. </w:t>
      </w:r>
    </w:p>
    <w:p w14:paraId="384F0119" w14:textId="77777777" w:rsidR="00466D45" w:rsidRPr="00466D45" w:rsidRDefault="00466D45" w:rsidP="00466D45">
      <w:pPr>
        <w:pStyle w:val="Longformcallout"/>
        <w:shd w:val="clear" w:color="auto" w:fill="E6E6E1" w:themeFill="accent5"/>
      </w:pPr>
      <w:r w:rsidRPr="00466D45">
        <w:t xml:space="preserve">The Review assesses that the CLC’s organisational structure is effective and efficient for its native title functions, supported by an enhancement of the regional based team model in 2017. </w:t>
      </w:r>
    </w:p>
    <w:p w14:paraId="49E9EB35" w14:textId="77777777" w:rsidR="00466D45" w:rsidRPr="00466D45" w:rsidRDefault="00466D45" w:rsidP="00466D45">
      <w:pPr>
        <w:pStyle w:val="Longformcallout"/>
        <w:shd w:val="clear" w:color="auto" w:fill="E6E6E1" w:themeFill="accent5"/>
      </w:pPr>
      <w:r w:rsidRPr="00466D45">
        <w:t xml:space="preserve">There is a strong culture of support within CLC, including for professional development and training. The CLC is a large organisation, making clear hierarchies and consistent implementation of procedures necessary to maintain effective oversight and coordination of its native title activities. This may contribute to some stakeholder feedback about silos and bureaucratic barriers. </w:t>
      </w:r>
    </w:p>
    <w:p w14:paraId="3E5DE50D" w14:textId="2DF122E7" w:rsidR="008B6818" w:rsidRPr="00466D45" w:rsidRDefault="00466D45" w:rsidP="00466D45">
      <w:pPr>
        <w:shd w:val="clear" w:color="auto" w:fill="E6E6E1" w:themeFill="accent5"/>
        <w:rPr>
          <w:color w:val="00264D" w:themeColor="background2"/>
          <w:lang w:eastAsia="en-AU"/>
        </w:rPr>
      </w:pPr>
      <w:r w:rsidRPr="00466D45">
        <w:rPr>
          <w:color w:val="00264D" w:themeColor="background2"/>
        </w:rPr>
        <w:t>The CLC has not received any formal complaints from its constituents in relation to native title. Informal feedback is tracked and used to improve performance on an office-by-office basis. The CLC should, however, create a consistent approach to tracking feedback and implement an easy to access online complaints mechanism.</w:t>
      </w:r>
    </w:p>
    <w:p w14:paraId="31FC30ED" w14:textId="5018752C" w:rsidR="000B1B98" w:rsidRPr="00095B98" w:rsidRDefault="007C2A64" w:rsidP="0029223D">
      <w:pPr>
        <w:spacing w:line="257" w:lineRule="auto"/>
        <w:outlineLvl w:val="2"/>
        <w:rPr>
          <w:b/>
          <w:bCs/>
          <w:i/>
          <w:iCs/>
        </w:rPr>
      </w:pPr>
      <w:r>
        <w:br/>
      </w:r>
      <w:r w:rsidR="000B1B98" w:rsidRPr="00095B98">
        <w:rPr>
          <w:b/>
          <w:bCs/>
          <w:i/>
          <w:iCs/>
        </w:rPr>
        <w:t>Recommendations for TOR 4</w:t>
      </w:r>
    </w:p>
    <w:p w14:paraId="32EDC46C" w14:textId="13F9C1CB" w:rsidR="000B1B98" w:rsidRDefault="000B1B98" w:rsidP="007C2A64">
      <w:pPr>
        <w:rPr>
          <w:lang w:eastAsia="en-AU"/>
        </w:rPr>
      </w:pPr>
      <w:r w:rsidRPr="0008132A">
        <w:rPr>
          <w:lang w:eastAsia="en-AU"/>
        </w:rPr>
        <w:t>The Review made one recommendation for TOR 4 on</w:t>
      </w:r>
      <w:r w:rsidR="00E70631" w:rsidRPr="0008132A">
        <w:rPr>
          <w:lang w:eastAsia="en-AU"/>
        </w:rPr>
        <w:t xml:space="preserve"> feedback </w:t>
      </w:r>
      <w:r w:rsidR="005E4404" w:rsidRPr="0008132A">
        <w:rPr>
          <w:lang w:eastAsia="en-AU"/>
        </w:rPr>
        <w:t xml:space="preserve">and complaint </w:t>
      </w:r>
      <w:r w:rsidR="00E70631" w:rsidRPr="0008132A">
        <w:rPr>
          <w:lang w:eastAsia="en-AU"/>
        </w:rPr>
        <w:t>opportunities</w:t>
      </w:r>
      <w:r w:rsidRPr="0008132A">
        <w:rPr>
          <w:lang w:eastAsia="en-AU"/>
        </w:rPr>
        <w:t xml:space="preserve">. This is outlined below, as well as </w:t>
      </w:r>
      <w:r w:rsidR="00C85B77" w:rsidRPr="0008132A">
        <w:rPr>
          <w:lang w:eastAsia="en-AU"/>
        </w:rPr>
        <w:t>CLC</w:t>
      </w:r>
      <w:r w:rsidRPr="0008132A">
        <w:rPr>
          <w:lang w:eastAsia="en-AU"/>
        </w:rPr>
        <w:t xml:space="preserve">’s response to this recommendation. </w:t>
      </w:r>
    </w:p>
    <w:p w14:paraId="2418242C" w14:textId="77777777" w:rsidR="00037449" w:rsidRPr="00FD49C0" w:rsidRDefault="00037449" w:rsidP="0029223D">
      <w:pPr>
        <w:pStyle w:val="TableNheader"/>
        <w:shd w:val="clear" w:color="auto" w:fill="E6E6E1" w:themeFill="accent5"/>
        <w:outlineLvl w:val="3"/>
        <w:rPr>
          <w:b/>
          <w:bCs/>
          <w:sz w:val="17"/>
        </w:rPr>
      </w:pPr>
      <w:r w:rsidRPr="00FD49C0">
        <w:rPr>
          <w:bCs/>
        </w:rPr>
        <w:t>Recommendation 4</w:t>
      </w:r>
    </w:p>
    <w:p w14:paraId="2F1D9C7C" w14:textId="4D306155" w:rsidR="00037449" w:rsidRPr="0008132A" w:rsidRDefault="00037449" w:rsidP="00037449">
      <w:pPr>
        <w:shd w:val="clear" w:color="auto" w:fill="E6E6E1" w:themeFill="accent5"/>
        <w:rPr>
          <w:lang w:eastAsia="en-AU"/>
        </w:rPr>
      </w:pPr>
      <w:r w:rsidRPr="00FD49C0">
        <w:rPr>
          <w:bCs/>
        </w:rPr>
        <w:t>The CLC could make providing feedback and complaints more accessible online. It should also consistently record informal complaints or feedback made to regional offices to support continuous improvement.</w:t>
      </w:r>
    </w:p>
    <w:p w14:paraId="72AA8487" w14:textId="77777777" w:rsidR="00037449" w:rsidRPr="0008132A" w:rsidRDefault="00037449" w:rsidP="0029223D">
      <w:pPr>
        <w:pStyle w:val="TableNheader"/>
        <w:outlineLvl w:val="4"/>
        <w:rPr>
          <w:rFonts w:cs="Times New Roman"/>
          <w:sz w:val="17"/>
        </w:rPr>
      </w:pPr>
      <w:r w:rsidRPr="0008132A">
        <w:t xml:space="preserve">CLC response. </w:t>
      </w:r>
    </w:p>
    <w:p w14:paraId="12AB17A5" w14:textId="77777777" w:rsidR="00037449" w:rsidRDefault="00037449" w:rsidP="00037449">
      <w:pPr>
        <w:pStyle w:val="TableNText"/>
      </w:pPr>
      <w:r>
        <w:t>While the Central Land Council has an existing feedback and complaints process on our website, it is committed to ensure that this is made more accessible. We will also ensure the provision of clear guidance to regional staff when informal feedback or complaints are received.</w:t>
      </w:r>
    </w:p>
    <w:p w14:paraId="16795191" w14:textId="058F38E7" w:rsidR="008A16B3" w:rsidRPr="0008132A" w:rsidRDefault="00037449" w:rsidP="00037449">
      <w:pPr>
        <w:rPr>
          <w:lang w:eastAsia="en-AU"/>
        </w:rPr>
      </w:pPr>
      <w:r>
        <w:t>As outlined in our responses to Recommendations 2 &amp; 3, the CLC is currently re-developing its website. A revised complaints and feedback process is being incorporated. This will include reference to seeking assistance from NIAA should the complainant be dissatisfied with the CLC’s response.</w:t>
      </w:r>
    </w:p>
    <w:p w14:paraId="4DAC46CE" w14:textId="77777777" w:rsidR="00D95F6B" w:rsidRPr="0008132A" w:rsidRDefault="00D95F6B">
      <w:pPr>
        <w:spacing w:after="165" w:line="259" w:lineRule="auto"/>
        <w:rPr>
          <w:rFonts w:ascii="Segoe UI Semibold" w:eastAsia="Times New Roman" w:hAnsi="Segoe UI Semibold" w:cs="Times New Roman"/>
          <w:color w:val="00264D" w:themeColor="background2"/>
          <w:sz w:val="22"/>
          <w:szCs w:val="16"/>
          <w:lang w:eastAsia="en-AU"/>
        </w:rPr>
      </w:pPr>
      <w:bookmarkStart w:id="73" w:name="_Toc501895347"/>
      <w:bookmarkStart w:id="74" w:name="_Ref502695754"/>
      <w:bookmarkStart w:id="75" w:name="_Toc502839783"/>
      <w:bookmarkStart w:id="76" w:name="_Toc502843259"/>
      <w:bookmarkStart w:id="77" w:name="_Toc502847622"/>
      <w:bookmarkStart w:id="78" w:name="_Toc502850766"/>
      <w:bookmarkStart w:id="79" w:name="_Toc502855198"/>
      <w:bookmarkStart w:id="80" w:name="_Ref502900609"/>
      <w:bookmarkStart w:id="81" w:name="_Toc503117097"/>
      <w:bookmarkStart w:id="82" w:name="_Toc505259174"/>
      <w:bookmarkStart w:id="83" w:name="_Toc505256241"/>
      <w:bookmarkStart w:id="84" w:name="_Toc505618284"/>
      <w:r w:rsidRPr="0008132A">
        <w:rPr>
          <w:szCs w:val="16"/>
        </w:rPr>
        <w:br w:type="page"/>
      </w:r>
    </w:p>
    <w:p w14:paraId="500691AA" w14:textId="44DF82DE" w:rsidR="00100158" w:rsidRPr="0008132A" w:rsidRDefault="00100158" w:rsidP="00095B98">
      <w:pPr>
        <w:pStyle w:val="Heading2"/>
      </w:pPr>
      <w:r w:rsidRPr="0008132A">
        <w:lastRenderedPageBreak/>
        <w:t>TOR 5 | Review and assess each organisation’s strategies for and progress in developing self-sufficient PBCs, so PBCs have appropriate capacity and capability to manage their own responsibilities and aspirations.</w:t>
      </w:r>
      <w:bookmarkEnd w:id="73"/>
      <w:bookmarkEnd w:id="74"/>
      <w:bookmarkEnd w:id="75"/>
      <w:bookmarkEnd w:id="76"/>
      <w:bookmarkEnd w:id="77"/>
      <w:bookmarkEnd w:id="78"/>
      <w:bookmarkEnd w:id="79"/>
      <w:bookmarkEnd w:id="80"/>
      <w:bookmarkEnd w:id="81"/>
      <w:bookmarkEnd w:id="82"/>
      <w:bookmarkEnd w:id="83"/>
      <w:bookmarkEnd w:id="84"/>
    </w:p>
    <w:p w14:paraId="58BEB0BE" w14:textId="77777777" w:rsidR="004B166E" w:rsidRDefault="004B166E" w:rsidP="00D95F6B">
      <w:pPr>
        <w:rPr>
          <w:lang w:eastAsia="en-AU"/>
        </w:rPr>
      </w:pPr>
    </w:p>
    <w:p w14:paraId="7155EC71" w14:textId="77777777" w:rsidR="004B166E" w:rsidRPr="004B166E" w:rsidRDefault="004B166E" w:rsidP="00583587">
      <w:pPr>
        <w:pStyle w:val="Longformcallout"/>
        <w:shd w:val="clear" w:color="auto" w:fill="E6E6E1" w:themeFill="accent5"/>
        <w:outlineLvl w:val="2"/>
        <w:rPr>
          <w:rFonts w:asciiTheme="majorHAnsi" w:hAnsiTheme="majorHAnsi" w:cstheme="majorHAnsi"/>
        </w:rPr>
      </w:pPr>
      <w:r w:rsidRPr="004B166E">
        <w:rPr>
          <w:rFonts w:asciiTheme="majorHAnsi" w:hAnsiTheme="majorHAnsi" w:cstheme="majorHAnsi"/>
        </w:rPr>
        <w:t>Summary</w:t>
      </w:r>
    </w:p>
    <w:p w14:paraId="085C9BE6" w14:textId="77777777" w:rsidR="004B166E" w:rsidRPr="004B166E" w:rsidRDefault="004B166E" w:rsidP="004B166E">
      <w:pPr>
        <w:pStyle w:val="Longformcallout"/>
        <w:shd w:val="clear" w:color="auto" w:fill="E6E6E1" w:themeFill="accent5"/>
      </w:pPr>
      <w:r w:rsidRPr="004B166E">
        <w:t>The CLC currently provides varying levels of support to all 30 PBCs in its RATSIB area through its PBC Support and Legal units. The CLC’s support includes a mixture of native title services, capability development such as the PBC Camp, legal and administrative support. The CLC has developed a capability assessment tool that it has used to assess each PBCs’ current state and identify services they need to support them to further develop.</w:t>
      </w:r>
    </w:p>
    <w:p w14:paraId="63D568F2" w14:textId="77777777" w:rsidR="004B166E" w:rsidRPr="004B166E" w:rsidRDefault="004B166E" w:rsidP="004B166E">
      <w:pPr>
        <w:pStyle w:val="Longformcallout"/>
        <w:shd w:val="clear" w:color="auto" w:fill="E6E6E1" w:themeFill="accent5"/>
      </w:pPr>
      <w:r w:rsidRPr="004B166E">
        <w:t xml:space="preserve">Only two of the 30 PBCs are considered to be self-sufficient, with the goal of self-sufficiency impeded by limited opportunities for industry across much of the region, the absence of resources within PBCs (both financial and staffing) and the low socio-economic profile of the majority of PBC environments. These two PBCs still access occasional legal advice from the CLC. </w:t>
      </w:r>
    </w:p>
    <w:p w14:paraId="147F43BA" w14:textId="0D27F411" w:rsidR="004B166E" w:rsidRPr="004B166E" w:rsidRDefault="004B166E" w:rsidP="004B166E">
      <w:pPr>
        <w:shd w:val="clear" w:color="auto" w:fill="E6E6E1" w:themeFill="accent5"/>
        <w:rPr>
          <w:color w:val="00264D" w:themeColor="background2"/>
          <w:lang w:eastAsia="en-AU"/>
        </w:rPr>
      </w:pPr>
      <w:r w:rsidRPr="004B166E">
        <w:rPr>
          <w:color w:val="00264D" w:themeColor="background2"/>
        </w:rPr>
        <w:t>The CLC’s PBC Unit is well established and could now prioritise some of its effort away from procedural tasks to more impactful activities. It should continue to leverage opportunities from the services and support the CLC provides to Aboriginal Land Trusts established under the ALRA and further invest time in tailoring this to suit the context and needs of PBCs.</w:t>
      </w:r>
    </w:p>
    <w:p w14:paraId="2D513A15" w14:textId="3D14FF2A" w:rsidR="008A6A73" w:rsidRPr="00095B98" w:rsidRDefault="001D37BB" w:rsidP="00583587">
      <w:pPr>
        <w:spacing w:line="257" w:lineRule="auto"/>
        <w:outlineLvl w:val="2"/>
        <w:rPr>
          <w:b/>
          <w:bCs/>
          <w:i/>
          <w:iCs/>
        </w:rPr>
      </w:pPr>
      <w:r>
        <w:br/>
      </w:r>
      <w:r w:rsidR="008A6A73" w:rsidRPr="00095B98">
        <w:rPr>
          <w:b/>
          <w:bCs/>
          <w:i/>
          <w:iCs/>
        </w:rPr>
        <w:t>Recommendations for TOR 5</w:t>
      </w:r>
    </w:p>
    <w:p w14:paraId="3A2DB8E6" w14:textId="3139B850" w:rsidR="00100158" w:rsidRDefault="00100158" w:rsidP="000E172A">
      <w:pPr>
        <w:rPr>
          <w:lang w:eastAsia="en-AU"/>
        </w:rPr>
      </w:pPr>
      <w:r w:rsidRPr="0008132A">
        <w:rPr>
          <w:lang w:eastAsia="en-AU"/>
        </w:rPr>
        <w:t>The Review made one recommendation for TOR 5 on</w:t>
      </w:r>
      <w:r w:rsidR="00BC6073" w:rsidRPr="0008132A">
        <w:rPr>
          <w:lang w:eastAsia="en-AU"/>
        </w:rPr>
        <w:t xml:space="preserve"> the</w:t>
      </w:r>
      <w:r w:rsidRPr="0008132A">
        <w:rPr>
          <w:lang w:eastAsia="en-AU"/>
        </w:rPr>
        <w:t xml:space="preserve"> PBC</w:t>
      </w:r>
      <w:r w:rsidR="00BC6073" w:rsidRPr="0008132A">
        <w:rPr>
          <w:lang w:eastAsia="en-AU"/>
        </w:rPr>
        <w:t xml:space="preserve"> Support Unit</w:t>
      </w:r>
      <w:r w:rsidR="006D22EB" w:rsidRPr="0008132A">
        <w:rPr>
          <w:lang w:eastAsia="en-AU"/>
        </w:rPr>
        <w:t>’s</w:t>
      </w:r>
      <w:r w:rsidRPr="0008132A">
        <w:rPr>
          <w:lang w:eastAsia="en-AU"/>
        </w:rPr>
        <w:t xml:space="preserve"> </w:t>
      </w:r>
      <w:r w:rsidR="006D22EB" w:rsidRPr="0008132A">
        <w:rPr>
          <w:lang w:eastAsia="en-AU"/>
        </w:rPr>
        <w:t>strategic role</w:t>
      </w:r>
      <w:r w:rsidRPr="0008132A">
        <w:rPr>
          <w:lang w:eastAsia="en-AU"/>
        </w:rPr>
        <w:t xml:space="preserve">. This is outlined below, as well as </w:t>
      </w:r>
      <w:r w:rsidR="00C85B77" w:rsidRPr="0008132A">
        <w:rPr>
          <w:lang w:eastAsia="en-AU"/>
        </w:rPr>
        <w:t>CLC</w:t>
      </w:r>
      <w:r w:rsidRPr="0008132A">
        <w:rPr>
          <w:lang w:eastAsia="en-AU"/>
        </w:rPr>
        <w:t xml:space="preserve">’s response to this recommendation. </w:t>
      </w:r>
    </w:p>
    <w:p w14:paraId="70AC0B75" w14:textId="77777777" w:rsidR="00DD085A" w:rsidRPr="000E172A" w:rsidRDefault="00DD085A" w:rsidP="00583587">
      <w:pPr>
        <w:pStyle w:val="TableNheader"/>
        <w:shd w:val="clear" w:color="auto" w:fill="E6E6E1" w:themeFill="accent5"/>
        <w:outlineLvl w:val="3"/>
        <w:rPr>
          <w:b/>
          <w:bCs/>
          <w:sz w:val="17"/>
        </w:rPr>
      </w:pPr>
      <w:r w:rsidRPr="000E172A">
        <w:rPr>
          <w:bCs/>
        </w:rPr>
        <w:t>Recommendation 5</w:t>
      </w:r>
    </w:p>
    <w:p w14:paraId="37D3567C" w14:textId="08965913" w:rsidR="00DD085A" w:rsidRDefault="00DD085A" w:rsidP="00DD085A">
      <w:pPr>
        <w:shd w:val="clear" w:color="auto" w:fill="E6E6E1" w:themeFill="accent5"/>
        <w:rPr>
          <w:lang w:eastAsia="en-AU"/>
        </w:rPr>
      </w:pPr>
      <w:r w:rsidRPr="000E172A">
        <w:rPr>
          <w:bCs/>
        </w:rPr>
        <w:t>The CLC should consider the most appropriate role of the PBC Support Unit to ensure that it adds clear value beyond operational and procedural functions, based on the profile of PBCs in its area. It should continue to engage PBCs directly to inform the development of its PBC support approach</w:t>
      </w:r>
      <w:r>
        <w:rPr>
          <w:bCs/>
        </w:rPr>
        <w:t>.</w:t>
      </w:r>
    </w:p>
    <w:p w14:paraId="2D237B5D" w14:textId="77777777" w:rsidR="00DD085A" w:rsidRPr="0008132A" w:rsidRDefault="00DD085A" w:rsidP="00583587">
      <w:pPr>
        <w:pStyle w:val="TableNheader"/>
        <w:outlineLvl w:val="4"/>
        <w:rPr>
          <w:rFonts w:cs="Times New Roman"/>
          <w:sz w:val="17"/>
        </w:rPr>
      </w:pPr>
      <w:r w:rsidRPr="0008132A">
        <w:t xml:space="preserve">CLC response. </w:t>
      </w:r>
    </w:p>
    <w:p w14:paraId="454079F9" w14:textId="77777777" w:rsidR="00DD085A" w:rsidRDefault="00DD085A" w:rsidP="00DD085A">
      <w:pPr>
        <w:pStyle w:val="TableNText"/>
      </w:pPr>
      <w:r>
        <w:t>The Central Land Council is committed to continue considering the most appropriate role of the PBC Support Unit. Through decades of work with a variety of land holding and land use income entities, we place high value on providing accountable and transparent administrative support to Aboriginal controlled organisations in a manner that supports their informed decision-making. We will continue to provide appropriate services in line with our service agreements, and accessible resources, to PBCs in our area. This includes the PBC Regional Forum Central Australia and educational materials. A capacity building approach is critical, and we will continue to seek adequate resourcing to provide services that add value beyond operational and procedural functions. The CLC will continue to engage PBCs directly to inform the development of our PBC support approach.</w:t>
      </w:r>
    </w:p>
    <w:p w14:paraId="55942178" w14:textId="77777777" w:rsidR="00DD085A" w:rsidRDefault="00DD085A" w:rsidP="00DD085A">
      <w:pPr>
        <w:pStyle w:val="TableNText"/>
      </w:pPr>
    </w:p>
    <w:p w14:paraId="21F91911" w14:textId="2ED4D488" w:rsidR="00DD085A" w:rsidRDefault="00DD085A" w:rsidP="00DD085A">
      <w:pPr>
        <w:rPr>
          <w:lang w:eastAsia="en-AU"/>
        </w:rPr>
      </w:pPr>
      <w:r>
        <w:t>The CLC is currently reviewing its Corporate Plan, where PBC support is being incorporated.</w:t>
      </w:r>
    </w:p>
    <w:p w14:paraId="6FEDA700" w14:textId="77777777" w:rsidR="00DD085A" w:rsidRDefault="00DD085A" w:rsidP="000E172A">
      <w:pPr>
        <w:rPr>
          <w:lang w:eastAsia="en-AU"/>
        </w:rPr>
      </w:pPr>
    </w:p>
    <w:p w14:paraId="4777EC44" w14:textId="77777777" w:rsidR="00DD085A" w:rsidRPr="0008132A" w:rsidRDefault="00DD085A" w:rsidP="000E172A">
      <w:pPr>
        <w:rPr>
          <w:lang w:eastAsia="en-AU"/>
        </w:rPr>
      </w:pPr>
    </w:p>
    <w:p w14:paraId="7E4E6A75" w14:textId="04A258FF" w:rsidR="008A16B3" w:rsidRPr="0008132A" w:rsidRDefault="008A16B3" w:rsidP="0014316C">
      <w:pPr>
        <w:rPr>
          <w:lang w:eastAsia="en-AU"/>
        </w:rPr>
      </w:pPr>
    </w:p>
    <w:p w14:paraId="2ABD1237" w14:textId="77777777" w:rsidR="00EE2A49" w:rsidRPr="0008132A" w:rsidRDefault="00EE2A49">
      <w:pPr>
        <w:spacing w:after="165" w:line="259" w:lineRule="auto"/>
        <w:rPr>
          <w:rFonts w:ascii="Segoe UI Semibold" w:eastAsia="Times New Roman" w:hAnsi="Segoe UI Semibold" w:cs="Times New Roman"/>
          <w:color w:val="00264D" w:themeColor="background2"/>
          <w:sz w:val="22"/>
          <w:lang w:eastAsia="en-AU"/>
        </w:rPr>
      </w:pPr>
      <w:bookmarkStart w:id="85" w:name="_Toc501895348"/>
      <w:bookmarkStart w:id="86" w:name="_Toc502839784"/>
      <w:bookmarkStart w:id="87" w:name="_Toc502843260"/>
      <w:bookmarkStart w:id="88" w:name="_Toc502847623"/>
      <w:bookmarkStart w:id="89" w:name="_Toc502850767"/>
      <w:bookmarkStart w:id="90" w:name="_Toc502855199"/>
      <w:bookmarkStart w:id="91" w:name="_Toc503117098"/>
      <w:bookmarkStart w:id="92" w:name="_Toc505259175"/>
      <w:bookmarkStart w:id="93" w:name="_Toc505256242"/>
      <w:bookmarkStart w:id="94" w:name="_Toc505618285"/>
      <w:r w:rsidRPr="0008132A">
        <w:br w:type="page"/>
      </w:r>
    </w:p>
    <w:p w14:paraId="4D103D74" w14:textId="320CA906" w:rsidR="00C43107" w:rsidRPr="0008132A" w:rsidRDefault="00C43107" w:rsidP="00095B98">
      <w:pPr>
        <w:pStyle w:val="Heading2"/>
      </w:pPr>
      <w:r w:rsidRPr="0008132A">
        <w:lastRenderedPageBreak/>
        <w:t>TOR 6 | Review and assess the adequacy of each organisation’s strategic planning for a post determination environment.</w:t>
      </w:r>
      <w:bookmarkEnd w:id="85"/>
      <w:bookmarkEnd w:id="86"/>
      <w:bookmarkEnd w:id="87"/>
      <w:bookmarkEnd w:id="88"/>
      <w:bookmarkEnd w:id="89"/>
      <w:bookmarkEnd w:id="90"/>
      <w:bookmarkEnd w:id="91"/>
      <w:bookmarkEnd w:id="92"/>
      <w:bookmarkEnd w:id="93"/>
      <w:bookmarkEnd w:id="94"/>
    </w:p>
    <w:p w14:paraId="633CD380" w14:textId="098C6CE0" w:rsidR="00C43107" w:rsidRDefault="00C43107" w:rsidP="0014316C">
      <w:pPr>
        <w:rPr>
          <w:lang w:eastAsia="en-AU"/>
        </w:rPr>
      </w:pPr>
    </w:p>
    <w:p w14:paraId="599B7910" w14:textId="77777777" w:rsidR="00DD39A9" w:rsidRPr="00DD39A9" w:rsidRDefault="00DD39A9" w:rsidP="00583587">
      <w:pPr>
        <w:pStyle w:val="Longformcallout"/>
        <w:shd w:val="clear" w:color="auto" w:fill="E6E6E1" w:themeFill="accent5"/>
        <w:outlineLvl w:val="2"/>
        <w:rPr>
          <w:rFonts w:ascii="Segoe UI Semibold" w:hAnsi="Segoe UI Semibold" w:cs="Segoe UI Semibold"/>
        </w:rPr>
      </w:pPr>
      <w:r w:rsidRPr="00DD39A9">
        <w:rPr>
          <w:rFonts w:ascii="Segoe UI Semibold" w:hAnsi="Segoe UI Semibold" w:cs="Segoe UI Semibold"/>
        </w:rPr>
        <w:t>Summary</w:t>
      </w:r>
    </w:p>
    <w:p w14:paraId="3C8031E1" w14:textId="77777777" w:rsidR="00DD39A9" w:rsidRPr="00DD39A9" w:rsidRDefault="00DD39A9" w:rsidP="00DD39A9">
      <w:pPr>
        <w:pStyle w:val="Longformcallout"/>
        <w:shd w:val="clear" w:color="auto" w:fill="E6E6E1" w:themeFill="accent5"/>
      </w:pPr>
      <w:r w:rsidRPr="00DD39A9">
        <w:t xml:space="preserve">It is expected that there are many years ahead for native title claims in the region with approximately 65 per cent of the land claimable through native title yet to be determined at the end of the Review period. As a result, the CLC’s strategic planning for post-determination is relatively under-developed at this stage and the organisation does not have a formal post-determination strategy for its native title functions. </w:t>
      </w:r>
    </w:p>
    <w:p w14:paraId="4DD759C3" w14:textId="1D066121" w:rsidR="00DD39A9" w:rsidRPr="00DD39A9" w:rsidRDefault="00DD39A9" w:rsidP="00DD39A9">
      <w:pPr>
        <w:shd w:val="clear" w:color="auto" w:fill="E6E6E1" w:themeFill="accent5"/>
        <w:rPr>
          <w:color w:val="00264D" w:themeColor="background2"/>
          <w:lang w:eastAsia="en-AU"/>
        </w:rPr>
      </w:pPr>
      <w:r w:rsidRPr="00DD39A9">
        <w:rPr>
          <w:color w:val="00264D" w:themeColor="background2"/>
        </w:rPr>
        <w:t>Senior staff note it is an emerging priority on the CLC’s agenda. The CLC could better articulate the priority it places on post-determination activities, including claim revisions and the potential to grow its PBC Support Unit (see previous section).</w:t>
      </w:r>
    </w:p>
    <w:p w14:paraId="59286B78" w14:textId="58C894AB" w:rsidR="00CD45EA" w:rsidRPr="00095B98" w:rsidRDefault="00BF4807" w:rsidP="00583587">
      <w:pPr>
        <w:spacing w:line="257" w:lineRule="auto"/>
        <w:outlineLvl w:val="2"/>
        <w:rPr>
          <w:b/>
          <w:bCs/>
          <w:i/>
          <w:iCs/>
          <w:color w:val="00264D" w:themeColor="background2"/>
        </w:rPr>
      </w:pPr>
      <w:r>
        <w:br/>
      </w:r>
      <w:r w:rsidR="00CD45EA" w:rsidRPr="00095B98">
        <w:rPr>
          <w:b/>
          <w:bCs/>
          <w:i/>
          <w:iCs/>
          <w:color w:val="00264D" w:themeColor="background2"/>
        </w:rPr>
        <w:t>Recommendations for TOR 6</w:t>
      </w:r>
    </w:p>
    <w:p w14:paraId="7EAFC19E" w14:textId="01C5C99D" w:rsidR="00CD45EA" w:rsidRDefault="00CD45EA" w:rsidP="00BF4807">
      <w:pPr>
        <w:rPr>
          <w:lang w:eastAsia="en-AU"/>
        </w:rPr>
      </w:pPr>
      <w:r w:rsidRPr="0008132A">
        <w:rPr>
          <w:lang w:eastAsia="en-AU"/>
        </w:rPr>
        <w:t>The Review made one recommendation for TOR 6 on the organisation’s strategic planning</w:t>
      </w:r>
      <w:r w:rsidR="00146ABB" w:rsidRPr="0008132A">
        <w:rPr>
          <w:lang w:eastAsia="en-AU"/>
        </w:rPr>
        <w:t xml:space="preserve"> capacity</w:t>
      </w:r>
      <w:r w:rsidRPr="0008132A">
        <w:rPr>
          <w:lang w:eastAsia="en-AU"/>
        </w:rPr>
        <w:t xml:space="preserve">. This is outlined below, as well as </w:t>
      </w:r>
      <w:r w:rsidR="00C85B77" w:rsidRPr="0008132A">
        <w:rPr>
          <w:lang w:eastAsia="en-AU"/>
        </w:rPr>
        <w:t>CLC</w:t>
      </w:r>
      <w:r w:rsidRPr="0008132A">
        <w:rPr>
          <w:lang w:eastAsia="en-AU"/>
        </w:rPr>
        <w:t xml:space="preserve">’s response to this recommendation. </w:t>
      </w:r>
    </w:p>
    <w:p w14:paraId="6CF3CE78" w14:textId="77777777" w:rsidR="00482DBC" w:rsidRPr="00BF4807" w:rsidRDefault="00482DBC" w:rsidP="00583587">
      <w:pPr>
        <w:pStyle w:val="TableNheader"/>
        <w:shd w:val="clear" w:color="auto" w:fill="E6E6E1" w:themeFill="accent5"/>
        <w:outlineLvl w:val="3"/>
        <w:rPr>
          <w:b/>
          <w:bCs/>
          <w:sz w:val="17"/>
        </w:rPr>
      </w:pPr>
      <w:r w:rsidRPr="00BF4807">
        <w:rPr>
          <w:bCs/>
        </w:rPr>
        <w:t>Recommendation 6</w:t>
      </w:r>
    </w:p>
    <w:p w14:paraId="17CBC47C" w14:textId="6044D05F" w:rsidR="00482DBC" w:rsidRDefault="00482DBC" w:rsidP="00482DBC">
      <w:pPr>
        <w:shd w:val="clear" w:color="auto" w:fill="E6E6E1" w:themeFill="accent5"/>
        <w:rPr>
          <w:lang w:eastAsia="en-AU"/>
        </w:rPr>
      </w:pPr>
      <w:r w:rsidRPr="00BF4807">
        <w:rPr>
          <w:bCs/>
        </w:rPr>
        <w:t>The CLC should ensure that future strategic planning activities actively consider the role (or a set of potential roles) that the CLC will play in a post-determination native title environment.</w:t>
      </w:r>
    </w:p>
    <w:p w14:paraId="628BE34D" w14:textId="77777777" w:rsidR="00482DBC" w:rsidRPr="0008132A" w:rsidRDefault="00482DBC" w:rsidP="00583587">
      <w:pPr>
        <w:pStyle w:val="TableNheader"/>
        <w:outlineLvl w:val="4"/>
        <w:rPr>
          <w:rFonts w:cs="Times New Roman"/>
          <w:sz w:val="17"/>
        </w:rPr>
      </w:pPr>
      <w:r w:rsidRPr="0008132A">
        <w:t xml:space="preserve">CLC response. </w:t>
      </w:r>
    </w:p>
    <w:p w14:paraId="76128483" w14:textId="26FD8349" w:rsidR="00482DBC" w:rsidRDefault="00482DBC" w:rsidP="00482DBC">
      <w:pPr>
        <w:rPr>
          <w:lang w:eastAsia="en-AU"/>
        </w:rPr>
      </w:pPr>
      <w:r w:rsidRPr="006D24FF">
        <w:rPr>
          <w:sz w:val="18"/>
        </w:rPr>
        <w:t>The Central Land Council is committed to future strategic planning to determine its role and activities in the post-determination native title environment.</w:t>
      </w:r>
      <w:r>
        <w:rPr>
          <w:sz w:val="18"/>
        </w:rPr>
        <w:t xml:space="preserve"> </w:t>
      </w:r>
      <w:r w:rsidRPr="006D24FF">
        <w:rPr>
          <w:sz w:val="18"/>
        </w:rPr>
        <w:t>The CLC is currently reviewing its Corporate Plan where this recommendation will be addressed.</w:t>
      </w:r>
    </w:p>
    <w:p w14:paraId="2703BFDC" w14:textId="77777777" w:rsidR="00482DBC" w:rsidRPr="0008132A" w:rsidRDefault="00482DBC" w:rsidP="00BF4807">
      <w:pPr>
        <w:rPr>
          <w:lang w:eastAsia="en-AU"/>
        </w:rPr>
      </w:pPr>
    </w:p>
    <w:p w14:paraId="59A63861" w14:textId="211BA3CB" w:rsidR="008A16B3" w:rsidRPr="0008132A" w:rsidRDefault="008A16B3" w:rsidP="0014316C">
      <w:pPr>
        <w:rPr>
          <w:lang w:eastAsia="en-AU"/>
        </w:rPr>
      </w:pPr>
    </w:p>
    <w:p w14:paraId="3C6762F6" w14:textId="327082F3" w:rsidR="00EE2A49" w:rsidRPr="0008132A" w:rsidRDefault="00EE2A49">
      <w:pPr>
        <w:spacing w:after="165" w:line="259" w:lineRule="auto"/>
        <w:rPr>
          <w:lang w:eastAsia="en-AU"/>
        </w:rPr>
      </w:pPr>
      <w:r w:rsidRPr="0008132A">
        <w:rPr>
          <w:lang w:eastAsia="en-AU"/>
        </w:rPr>
        <w:br w:type="page"/>
      </w:r>
    </w:p>
    <w:p w14:paraId="215C7C3F" w14:textId="4FBD1822" w:rsidR="00CD45EA" w:rsidRPr="007F3876" w:rsidRDefault="00D03C30" w:rsidP="007F3876">
      <w:pPr>
        <w:pStyle w:val="xAppendixLevel1"/>
      </w:pPr>
      <w:bookmarkStart w:id="95" w:name="_Ref64553000"/>
      <w:bookmarkStart w:id="96" w:name="_Ref64555843"/>
      <w:bookmarkStart w:id="97" w:name="_Toc68072666"/>
      <w:r w:rsidRPr="007F3876">
        <w:lastRenderedPageBreak/>
        <w:t>Terms of Reference</w:t>
      </w:r>
      <w:bookmarkEnd w:id="95"/>
      <w:bookmarkEnd w:id="96"/>
      <w:bookmarkEnd w:id="97"/>
    </w:p>
    <w:p w14:paraId="278E7D4F" w14:textId="040F910D" w:rsidR="00D03C30" w:rsidRPr="0008132A" w:rsidRDefault="00D03C30" w:rsidP="00CC797F">
      <w:pPr>
        <w:pStyle w:val="Listnumbered"/>
        <w:shd w:val="clear" w:color="auto" w:fill="FDEAD1" w:themeFill="accent3" w:themeFillTint="33"/>
        <w:rPr>
          <w:lang w:eastAsia="en-AU"/>
        </w:rPr>
      </w:pPr>
      <w:r w:rsidRPr="0008132A">
        <w:rPr>
          <w:lang w:eastAsia="en-AU"/>
        </w:rPr>
        <w:t xml:space="preserve">Review and assess each organisations’ efficiency and effectiveness in performing the functions of a native title representative body over the past </w:t>
      </w:r>
      <w:r w:rsidR="00B0582E">
        <w:rPr>
          <w:lang w:eastAsia="en-AU"/>
        </w:rPr>
        <w:t>three</w:t>
      </w:r>
      <w:r w:rsidRPr="0008132A">
        <w:rPr>
          <w:lang w:eastAsia="en-AU"/>
        </w:rPr>
        <w:t xml:space="preserve"> years (with the main focus on recent performance) including: </w:t>
      </w:r>
    </w:p>
    <w:p w14:paraId="206A19D7" w14:textId="5CC3C7A7" w:rsidR="00D03C30" w:rsidRPr="0008132A" w:rsidRDefault="00C14F2E" w:rsidP="00CC797F">
      <w:pPr>
        <w:pStyle w:val="Bullet"/>
        <w:shd w:val="clear" w:color="auto" w:fill="FDEAD1" w:themeFill="accent3" w:themeFillTint="33"/>
      </w:pPr>
      <w:r>
        <w:t>n</w:t>
      </w:r>
      <w:r w:rsidR="00D03C30" w:rsidRPr="0008132A">
        <w:t>ative title claim outcomes achieved for clients</w:t>
      </w:r>
    </w:p>
    <w:p w14:paraId="216E144A" w14:textId="70B66108" w:rsidR="00D03C30" w:rsidRPr="0008132A" w:rsidRDefault="00C14F2E" w:rsidP="00CC797F">
      <w:pPr>
        <w:pStyle w:val="Bullet"/>
        <w:shd w:val="clear" w:color="auto" w:fill="FDEAD1" w:themeFill="accent3" w:themeFillTint="33"/>
      </w:pPr>
      <w:r>
        <w:t>w</w:t>
      </w:r>
      <w:r w:rsidR="00D03C30" w:rsidRPr="0008132A">
        <w:t>hether the organisation’s assessment and prioritisation of applications are equitable, transparent and robust</w:t>
      </w:r>
    </w:p>
    <w:p w14:paraId="170D23CA" w14:textId="0EA23286" w:rsidR="00D03C30" w:rsidRPr="0008132A" w:rsidRDefault="00C14F2E" w:rsidP="00CC797F">
      <w:pPr>
        <w:pStyle w:val="Bullet"/>
        <w:shd w:val="clear" w:color="auto" w:fill="FDEAD1" w:themeFill="accent3" w:themeFillTint="33"/>
      </w:pPr>
      <w:r>
        <w:t>w</w:t>
      </w:r>
      <w:r w:rsidR="00D03C30" w:rsidRPr="0008132A">
        <w:t>hether the organisation deals respectfully, equitably, transparently and in a culturally appropriate manner with clients, persons seeking assistance and persons refused assistance.</w:t>
      </w:r>
    </w:p>
    <w:p w14:paraId="6E22CC1B" w14:textId="77777777" w:rsidR="00D03C30" w:rsidRPr="0008132A" w:rsidRDefault="00D03C30" w:rsidP="00CC797F">
      <w:pPr>
        <w:pStyle w:val="Listnumbered"/>
        <w:shd w:val="clear" w:color="auto" w:fill="FDEAD1" w:themeFill="accent3" w:themeFillTint="33"/>
        <w:rPr>
          <w:lang w:eastAsia="en-AU"/>
        </w:rPr>
      </w:pPr>
      <w:r w:rsidRPr="0008132A">
        <w:rPr>
          <w:lang w:eastAsia="en-AU"/>
        </w:rPr>
        <w:t xml:space="preserve">Review and assess each organisation’s cost effectiveness in performing the functions of a native title representative body, including the key cost drivers for each organisation. </w:t>
      </w:r>
    </w:p>
    <w:p w14:paraId="47FD0BD6" w14:textId="77777777" w:rsidR="00D03C30" w:rsidRPr="0008132A" w:rsidRDefault="00D03C30" w:rsidP="00CC797F">
      <w:pPr>
        <w:pStyle w:val="Listnumbered"/>
        <w:shd w:val="clear" w:color="auto" w:fill="FDEAD1" w:themeFill="accent3" w:themeFillTint="33"/>
        <w:rPr>
          <w:lang w:eastAsia="en-AU"/>
        </w:rPr>
      </w:pPr>
      <w:r w:rsidRPr="0008132A">
        <w:rPr>
          <w:lang w:eastAsia="en-AU"/>
        </w:rPr>
        <w:t xml:space="preserve">Review and assess each organisation’s strategies for driving and tracking its achievement against key performance indicators in its funding agreement with the NIAA. </w:t>
      </w:r>
    </w:p>
    <w:p w14:paraId="51BBFD76" w14:textId="77777777" w:rsidR="00D03C30" w:rsidRPr="0008132A" w:rsidRDefault="00D03C30" w:rsidP="00CC797F">
      <w:pPr>
        <w:pStyle w:val="Listnumbered"/>
        <w:shd w:val="clear" w:color="auto" w:fill="FDEAD1" w:themeFill="accent3" w:themeFillTint="33"/>
        <w:rPr>
          <w:lang w:eastAsia="en-AU"/>
        </w:rPr>
      </w:pPr>
      <w:r w:rsidRPr="0008132A">
        <w:rPr>
          <w:lang w:eastAsia="en-AU"/>
        </w:rPr>
        <w:t>Review and assess the extent to which each organisation’s governance structures and organisational policies and practices support efficient and effective project delivery including:</w:t>
      </w:r>
    </w:p>
    <w:p w14:paraId="33F78736" w14:textId="352171FB" w:rsidR="00D03C30" w:rsidRPr="0008132A" w:rsidRDefault="00C14F2E" w:rsidP="00CC797F">
      <w:pPr>
        <w:pStyle w:val="Bullet"/>
        <w:shd w:val="clear" w:color="auto" w:fill="FDEAD1" w:themeFill="accent3" w:themeFillTint="33"/>
      </w:pPr>
      <w:r>
        <w:t>t</w:t>
      </w:r>
      <w:r w:rsidR="00D03C30" w:rsidRPr="0008132A">
        <w:t>he breakdown of responsibilities between the organisation’s Board, Chairperson, Chief Executive Officer and senior staff</w:t>
      </w:r>
    </w:p>
    <w:p w14:paraId="3A0AF94F" w14:textId="68016A98" w:rsidR="00D03C30" w:rsidRPr="0008132A" w:rsidRDefault="00C14F2E" w:rsidP="00CC797F">
      <w:pPr>
        <w:pStyle w:val="Bullet"/>
        <w:shd w:val="clear" w:color="auto" w:fill="FDEAD1" w:themeFill="accent3" w:themeFillTint="33"/>
      </w:pPr>
      <w:r>
        <w:t>i</w:t>
      </w:r>
      <w:r w:rsidR="00D03C30" w:rsidRPr="0008132A">
        <w:t>ts financial management</w:t>
      </w:r>
    </w:p>
    <w:p w14:paraId="520B2B9B" w14:textId="698B7A73" w:rsidR="00D03C30" w:rsidRPr="0008132A" w:rsidRDefault="00C14F2E" w:rsidP="00CC797F">
      <w:pPr>
        <w:pStyle w:val="Bullet"/>
        <w:shd w:val="clear" w:color="auto" w:fill="FDEAD1" w:themeFill="accent3" w:themeFillTint="33"/>
      </w:pPr>
      <w:r>
        <w:t>t</w:t>
      </w:r>
      <w:r w:rsidR="00D03C30" w:rsidRPr="0008132A">
        <w:t>he standard to which it manages and resolves any conflicts of interest</w:t>
      </w:r>
    </w:p>
    <w:p w14:paraId="1194C655" w14:textId="4C8DC9FF" w:rsidR="00D03C30" w:rsidRPr="0008132A" w:rsidRDefault="00C14F2E" w:rsidP="00CC797F">
      <w:pPr>
        <w:pStyle w:val="Bullet"/>
        <w:shd w:val="clear" w:color="auto" w:fill="FDEAD1" w:themeFill="accent3" w:themeFillTint="33"/>
      </w:pPr>
      <w:r>
        <w:t>t</w:t>
      </w:r>
      <w:r w:rsidR="00D03C30" w:rsidRPr="0008132A">
        <w:t xml:space="preserve">he standard to which it manages and resolves any complaints. </w:t>
      </w:r>
    </w:p>
    <w:p w14:paraId="1389695F" w14:textId="317E3EA0" w:rsidR="00D03C30" w:rsidRPr="0008132A" w:rsidRDefault="00D03C30" w:rsidP="00D84B12">
      <w:pPr>
        <w:pStyle w:val="Listnumbered"/>
        <w:shd w:val="clear" w:color="auto" w:fill="FDEAD1" w:themeFill="accent3" w:themeFillTint="33"/>
        <w:rPr>
          <w:lang w:eastAsia="en-AU"/>
        </w:rPr>
      </w:pPr>
      <w:r w:rsidRPr="0008132A">
        <w:rPr>
          <w:lang w:eastAsia="en-AU"/>
        </w:rPr>
        <w:t>Review and assess each organisation’s strategies for and progress in developing self-sufficient PBCs, so PBCs have appropriate capacity and capability to manage their own responsibilities and aspirations.</w:t>
      </w:r>
    </w:p>
    <w:p w14:paraId="199C27B9" w14:textId="77777777" w:rsidR="00D03C30" w:rsidRPr="0008132A" w:rsidRDefault="00D03C30" w:rsidP="00D84B12">
      <w:pPr>
        <w:pStyle w:val="Listnumbered"/>
        <w:shd w:val="clear" w:color="auto" w:fill="FDEAD1" w:themeFill="accent3" w:themeFillTint="33"/>
        <w:rPr>
          <w:lang w:eastAsia="en-AU"/>
        </w:rPr>
      </w:pPr>
      <w:r w:rsidRPr="0008132A">
        <w:rPr>
          <w:lang w:eastAsia="en-AU"/>
        </w:rPr>
        <w:t xml:space="preserve">Review and assess the adequacy of each organisation’s strategic planning for a post determination environment. </w:t>
      </w:r>
    </w:p>
    <w:p w14:paraId="16AC9F41" w14:textId="77777777" w:rsidR="00D03C30" w:rsidRPr="0008132A" w:rsidRDefault="00D03C30" w:rsidP="00D84B12">
      <w:pPr>
        <w:pStyle w:val="Listnumbered"/>
        <w:shd w:val="clear" w:color="auto" w:fill="F2F2F2" w:themeFill="background1" w:themeFillShade="F2"/>
        <w:rPr>
          <w:lang w:eastAsia="en-AU"/>
        </w:rPr>
      </w:pPr>
      <w:r w:rsidRPr="0008132A">
        <w:rPr>
          <w:lang w:eastAsia="en-AU"/>
        </w:rPr>
        <w:t>Examine and report on other relevant issues as identified by the NIAA or in the course of the review, which may be specific to particular organisations.</w:t>
      </w:r>
    </w:p>
    <w:p w14:paraId="7766392E" w14:textId="77777777" w:rsidR="00D03C30" w:rsidRPr="0008132A" w:rsidRDefault="00D03C30" w:rsidP="00D84B12">
      <w:pPr>
        <w:pStyle w:val="Listnumbered"/>
        <w:shd w:val="clear" w:color="auto" w:fill="F2F2F2" w:themeFill="background1" w:themeFillShade="F2"/>
        <w:rPr>
          <w:lang w:eastAsia="en-AU"/>
        </w:rPr>
      </w:pPr>
      <w:r w:rsidRPr="0008132A">
        <w:rPr>
          <w:lang w:eastAsia="en-AU"/>
        </w:rPr>
        <w:t xml:space="preserve">Develop a meaningful set of benchmarks to assess individual and comparative efficiency and effectiveness of organisations. </w:t>
      </w:r>
    </w:p>
    <w:p w14:paraId="27AC9F3C" w14:textId="77777777" w:rsidR="00D03C30" w:rsidRPr="0008132A" w:rsidRDefault="00D03C30" w:rsidP="00D84B12">
      <w:pPr>
        <w:pStyle w:val="Listnumbered"/>
        <w:shd w:val="clear" w:color="auto" w:fill="F2F2F2" w:themeFill="background1" w:themeFillShade="F2"/>
        <w:rPr>
          <w:lang w:eastAsia="en-AU"/>
        </w:rPr>
      </w:pPr>
      <w:r w:rsidRPr="0008132A">
        <w:rPr>
          <w:lang w:eastAsia="en-AU"/>
        </w:rPr>
        <w:t>Provide written draft and final reports to the NIAA on the work undertaken for each review and the review findings, making recommendations on what changes, if any, each organisation could make to improve its efficiency and effectiveness. There will be an overarching comparative report and five individual reports.</w:t>
      </w:r>
    </w:p>
    <w:p w14:paraId="2E3BAEF5" w14:textId="2453A985" w:rsidR="00D03C30" w:rsidRPr="0008132A" w:rsidRDefault="00D03C30" w:rsidP="0014316C">
      <w:pPr>
        <w:rPr>
          <w:lang w:eastAsia="en-AU"/>
        </w:rPr>
      </w:pPr>
    </w:p>
    <w:p w14:paraId="389B0CA3" w14:textId="2F40A155" w:rsidR="00D03C30" w:rsidRPr="0008132A" w:rsidRDefault="00D03C30">
      <w:pPr>
        <w:spacing w:after="165" w:line="259" w:lineRule="auto"/>
        <w:rPr>
          <w:lang w:eastAsia="en-AU"/>
        </w:rPr>
      </w:pPr>
      <w:r w:rsidRPr="0008132A">
        <w:rPr>
          <w:lang w:eastAsia="en-AU"/>
        </w:rPr>
        <w:br w:type="page"/>
      </w:r>
    </w:p>
    <w:p w14:paraId="5D7A04BB" w14:textId="57229BF4" w:rsidR="00D03C30" w:rsidRPr="0008132A" w:rsidRDefault="00E31A09" w:rsidP="007F3876">
      <w:pPr>
        <w:pStyle w:val="xAppendixLevel1"/>
      </w:pPr>
      <w:bookmarkStart w:id="98" w:name="_Ref64552989"/>
      <w:bookmarkStart w:id="99" w:name="_Toc68072667"/>
      <w:r w:rsidRPr="0008132A">
        <w:lastRenderedPageBreak/>
        <w:t>NTRB-SPs under review</w:t>
      </w:r>
      <w:bookmarkEnd w:id="98"/>
      <w:bookmarkEnd w:id="99"/>
    </w:p>
    <w:p w14:paraId="01B35B85" w14:textId="1CFCD388" w:rsidR="0006598E" w:rsidRPr="0008132A" w:rsidRDefault="00C23D9E" w:rsidP="0006598E">
      <w:pPr>
        <w:spacing w:after="0"/>
        <w:rPr>
          <w:lang w:eastAsia="en-AU"/>
        </w:rPr>
      </w:pPr>
      <w:r w:rsidRPr="0008132A">
        <w:rPr>
          <w:lang w:eastAsia="en-AU"/>
        </w:rPr>
        <w:t>A total of 14</w:t>
      </w:r>
      <w:r w:rsidR="0006598E" w:rsidRPr="0008132A">
        <w:rPr>
          <w:lang w:eastAsia="en-AU"/>
        </w:rPr>
        <w:t xml:space="preserve"> NTRB-SPs were reviewed in </w:t>
      </w:r>
      <w:r w:rsidR="007706E9">
        <w:rPr>
          <w:lang w:eastAsia="en-AU"/>
        </w:rPr>
        <w:t>three</w:t>
      </w:r>
      <w:r w:rsidR="0006598E" w:rsidRPr="0008132A">
        <w:rPr>
          <w:lang w:eastAsia="en-AU"/>
        </w:rPr>
        <w:t xml:space="preserve"> tranches using the same methodology and approach. For each Review tranche, a three-year period was in scope for the review – as presented in </w:t>
      </w:r>
      <w:r w:rsidR="0006598E" w:rsidRPr="0008132A">
        <w:rPr>
          <w:lang w:eastAsia="en-AU"/>
        </w:rPr>
        <w:fldChar w:fldCharType="begin"/>
      </w:r>
      <w:r w:rsidR="0006598E" w:rsidRPr="0008132A">
        <w:rPr>
          <w:lang w:eastAsia="en-AU"/>
        </w:rPr>
        <w:instrText xml:space="preserve"> REF _Ref37790230 \h </w:instrText>
      </w:r>
      <w:r w:rsidR="0006598E" w:rsidRPr="0008132A">
        <w:rPr>
          <w:lang w:eastAsia="en-AU"/>
        </w:rPr>
      </w:r>
      <w:r w:rsidR="0006598E" w:rsidRPr="0008132A">
        <w:rPr>
          <w:lang w:eastAsia="en-AU"/>
        </w:rPr>
        <w:fldChar w:fldCharType="separate"/>
      </w:r>
      <w:r w:rsidR="000D664D" w:rsidRPr="0008132A">
        <w:t xml:space="preserve">Table </w:t>
      </w:r>
      <w:r w:rsidR="000D664D">
        <w:rPr>
          <w:noProof/>
        </w:rPr>
        <w:t>1</w:t>
      </w:r>
      <w:r w:rsidR="0006598E" w:rsidRPr="0008132A">
        <w:rPr>
          <w:lang w:eastAsia="en-AU"/>
        </w:rPr>
        <w:fldChar w:fldCharType="end"/>
      </w:r>
      <w:r w:rsidR="0006598E" w:rsidRPr="0008132A">
        <w:rPr>
          <w:lang w:eastAsia="en-AU"/>
        </w:rPr>
        <w:t xml:space="preserve">. The efficiency and effectiveness of each NTRB-SP was assessed and a performance report was prepared for each. </w:t>
      </w:r>
    </w:p>
    <w:p w14:paraId="58CAB5BC" w14:textId="132EABC7" w:rsidR="0006598E" w:rsidRPr="0008132A" w:rsidRDefault="0006598E" w:rsidP="0006598E">
      <w:pPr>
        <w:pStyle w:val="Caption"/>
      </w:pPr>
      <w:bookmarkStart w:id="100" w:name="_Ref37790230"/>
      <w:r w:rsidRPr="0008132A">
        <w:t xml:space="preserve">Table </w:t>
      </w:r>
      <w:r w:rsidRPr="0008132A">
        <w:fldChar w:fldCharType="begin"/>
      </w:r>
      <w:r w:rsidRPr="0008132A">
        <w:instrText xml:space="preserve"> SEQ Table \* ARABIC </w:instrText>
      </w:r>
      <w:r w:rsidRPr="0008132A">
        <w:fldChar w:fldCharType="separate"/>
      </w:r>
      <w:r w:rsidR="000D664D">
        <w:rPr>
          <w:noProof/>
        </w:rPr>
        <w:t>1</w:t>
      </w:r>
      <w:r w:rsidRPr="0008132A">
        <w:fldChar w:fldCharType="end"/>
      </w:r>
      <w:bookmarkEnd w:id="100"/>
      <w:r w:rsidRPr="0008132A">
        <w:t xml:space="preserve"> | NTRB-SPs review tranches</w:t>
      </w:r>
    </w:p>
    <w:tbl>
      <w:tblPr>
        <w:tblStyle w:val="TableGrid"/>
        <w:tblW w:w="8931" w:type="dxa"/>
        <w:tblLook w:val="04A0" w:firstRow="1" w:lastRow="0" w:firstColumn="1" w:lastColumn="0" w:noHBand="0" w:noVBand="1"/>
      </w:tblPr>
      <w:tblGrid>
        <w:gridCol w:w="993"/>
        <w:gridCol w:w="3685"/>
        <w:gridCol w:w="1843"/>
        <w:gridCol w:w="2410"/>
      </w:tblGrid>
      <w:tr w:rsidR="0006598E" w:rsidRPr="0008132A" w14:paraId="1B41D6AB" w14:textId="77777777" w:rsidTr="00D42342">
        <w:trPr>
          <w:cnfStyle w:val="100000000000" w:firstRow="1" w:lastRow="0" w:firstColumn="0" w:lastColumn="0" w:oddVBand="0" w:evenVBand="0" w:oddHBand="0" w:evenHBand="0" w:firstRowFirstColumn="0" w:firstRowLastColumn="0" w:lastRowFirstColumn="0" w:lastRowLastColumn="0"/>
        </w:trPr>
        <w:tc>
          <w:tcPr>
            <w:tcW w:w="993" w:type="dxa"/>
            <w:hideMark/>
          </w:tcPr>
          <w:p w14:paraId="73AAE4E2" w14:textId="77777777" w:rsidR="0006598E" w:rsidRPr="0008132A" w:rsidRDefault="0006598E" w:rsidP="00D42342">
            <w:pPr>
              <w:pStyle w:val="TableNheader"/>
            </w:pPr>
            <w:r w:rsidRPr="0008132A">
              <w:t>Tranche</w:t>
            </w:r>
          </w:p>
        </w:tc>
        <w:tc>
          <w:tcPr>
            <w:tcW w:w="3685" w:type="dxa"/>
            <w:hideMark/>
          </w:tcPr>
          <w:p w14:paraId="7E1B9F0B" w14:textId="77777777" w:rsidR="0006598E" w:rsidRPr="0008132A" w:rsidRDefault="0006598E" w:rsidP="00D42342">
            <w:pPr>
              <w:pStyle w:val="TableNheader"/>
            </w:pPr>
            <w:r w:rsidRPr="0008132A">
              <w:t>NTRB-SP under review</w:t>
            </w:r>
          </w:p>
        </w:tc>
        <w:tc>
          <w:tcPr>
            <w:tcW w:w="1843" w:type="dxa"/>
            <w:hideMark/>
          </w:tcPr>
          <w:p w14:paraId="04B16D66" w14:textId="77777777" w:rsidR="0006598E" w:rsidRPr="0008132A" w:rsidRDefault="0006598E" w:rsidP="00D42342">
            <w:pPr>
              <w:pStyle w:val="TableNheader"/>
            </w:pPr>
            <w:r w:rsidRPr="0008132A">
              <w:t>Scope of review</w:t>
            </w:r>
          </w:p>
        </w:tc>
        <w:tc>
          <w:tcPr>
            <w:tcW w:w="2410" w:type="dxa"/>
            <w:hideMark/>
          </w:tcPr>
          <w:p w14:paraId="25BE9409" w14:textId="77777777" w:rsidR="0006598E" w:rsidRPr="0008132A" w:rsidRDefault="0006598E" w:rsidP="00D42342">
            <w:pPr>
              <w:pStyle w:val="TableNheader"/>
            </w:pPr>
            <w:r w:rsidRPr="0008132A">
              <w:t>Timing review conducted</w:t>
            </w:r>
          </w:p>
        </w:tc>
      </w:tr>
      <w:tr w:rsidR="0006598E" w:rsidRPr="0008132A" w14:paraId="26F71F71" w14:textId="77777777" w:rsidTr="00D42342">
        <w:trPr>
          <w:cnfStyle w:val="000000100000" w:firstRow="0" w:lastRow="0" w:firstColumn="0" w:lastColumn="0" w:oddVBand="0" w:evenVBand="0" w:oddHBand="1" w:evenHBand="0" w:firstRowFirstColumn="0" w:firstRowLastColumn="0" w:lastRowFirstColumn="0" w:lastRowLastColumn="0"/>
        </w:trPr>
        <w:tc>
          <w:tcPr>
            <w:tcW w:w="993" w:type="dxa"/>
            <w:vMerge w:val="restart"/>
            <w:hideMark/>
          </w:tcPr>
          <w:p w14:paraId="47D516D7" w14:textId="77777777" w:rsidR="0006598E" w:rsidRPr="0008132A" w:rsidRDefault="0006598E" w:rsidP="00D42342">
            <w:pPr>
              <w:pStyle w:val="TableNText"/>
            </w:pPr>
            <w:r w:rsidRPr="0008132A">
              <w:t>Tranche 1 (2017)</w:t>
            </w:r>
          </w:p>
        </w:tc>
        <w:tc>
          <w:tcPr>
            <w:tcW w:w="3685" w:type="dxa"/>
            <w:hideMark/>
          </w:tcPr>
          <w:p w14:paraId="54DA2333" w14:textId="77777777" w:rsidR="0006598E" w:rsidRPr="0008132A" w:rsidRDefault="0006598E" w:rsidP="00D42342">
            <w:pPr>
              <w:pStyle w:val="TableNText"/>
            </w:pPr>
            <w:r w:rsidRPr="0008132A">
              <w:t>Central Desert Native Title Services</w:t>
            </w:r>
          </w:p>
        </w:tc>
        <w:tc>
          <w:tcPr>
            <w:tcW w:w="1843" w:type="dxa"/>
            <w:vMerge w:val="restart"/>
            <w:hideMark/>
          </w:tcPr>
          <w:p w14:paraId="4F854759" w14:textId="77777777" w:rsidR="0006598E" w:rsidRPr="0008132A" w:rsidRDefault="0006598E" w:rsidP="00D42342">
            <w:pPr>
              <w:pStyle w:val="TableNText"/>
            </w:pPr>
            <w:r w:rsidRPr="0008132A">
              <w:t>July 2014 – June 2017</w:t>
            </w:r>
          </w:p>
        </w:tc>
        <w:tc>
          <w:tcPr>
            <w:tcW w:w="2410" w:type="dxa"/>
            <w:vMerge w:val="restart"/>
            <w:hideMark/>
          </w:tcPr>
          <w:p w14:paraId="470F09C8" w14:textId="77777777" w:rsidR="0006598E" w:rsidRPr="0008132A" w:rsidRDefault="0006598E" w:rsidP="00D42342">
            <w:pPr>
              <w:pStyle w:val="TableNText"/>
            </w:pPr>
            <w:r w:rsidRPr="0008132A">
              <w:t>June 2017 – March 2018</w:t>
            </w:r>
          </w:p>
        </w:tc>
      </w:tr>
      <w:tr w:rsidR="0006598E" w:rsidRPr="0008132A" w14:paraId="054E178E" w14:textId="77777777" w:rsidTr="00D42342">
        <w:trPr>
          <w:cnfStyle w:val="000000010000" w:firstRow="0" w:lastRow="0" w:firstColumn="0" w:lastColumn="0" w:oddVBand="0" w:evenVBand="0" w:oddHBand="0" w:evenHBand="1" w:firstRowFirstColumn="0" w:firstRowLastColumn="0" w:lastRowFirstColumn="0" w:lastRowLastColumn="0"/>
        </w:trPr>
        <w:tc>
          <w:tcPr>
            <w:tcW w:w="0" w:type="auto"/>
            <w:vMerge/>
            <w:hideMark/>
          </w:tcPr>
          <w:p w14:paraId="717DE719" w14:textId="77777777" w:rsidR="0006598E" w:rsidRPr="0008132A" w:rsidRDefault="0006598E" w:rsidP="00D42342">
            <w:pPr>
              <w:pStyle w:val="TableNText"/>
            </w:pPr>
          </w:p>
        </w:tc>
        <w:tc>
          <w:tcPr>
            <w:tcW w:w="3685" w:type="dxa"/>
            <w:hideMark/>
          </w:tcPr>
          <w:p w14:paraId="06179B01" w14:textId="77777777" w:rsidR="0006598E" w:rsidRPr="0008132A" w:rsidRDefault="0006598E" w:rsidP="00D42342">
            <w:pPr>
              <w:pStyle w:val="TableNText"/>
            </w:pPr>
            <w:r w:rsidRPr="0008132A">
              <w:t>First Nations Legal and Research Services</w:t>
            </w:r>
          </w:p>
        </w:tc>
        <w:tc>
          <w:tcPr>
            <w:tcW w:w="0" w:type="auto"/>
            <w:vMerge/>
            <w:hideMark/>
          </w:tcPr>
          <w:p w14:paraId="52A21EA6" w14:textId="77777777" w:rsidR="0006598E" w:rsidRPr="0008132A" w:rsidRDefault="0006598E" w:rsidP="00D42342">
            <w:pPr>
              <w:pStyle w:val="TableNText"/>
            </w:pPr>
          </w:p>
        </w:tc>
        <w:tc>
          <w:tcPr>
            <w:tcW w:w="0" w:type="auto"/>
            <w:vMerge/>
            <w:hideMark/>
          </w:tcPr>
          <w:p w14:paraId="307EA35E" w14:textId="77777777" w:rsidR="0006598E" w:rsidRPr="0008132A" w:rsidRDefault="0006598E" w:rsidP="00D42342">
            <w:pPr>
              <w:pStyle w:val="TableNText"/>
            </w:pPr>
          </w:p>
        </w:tc>
      </w:tr>
      <w:tr w:rsidR="0006598E" w:rsidRPr="0008132A" w14:paraId="2609C23E" w14:textId="77777777" w:rsidTr="00D42342">
        <w:trPr>
          <w:cnfStyle w:val="000000100000" w:firstRow="0" w:lastRow="0" w:firstColumn="0" w:lastColumn="0" w:oddVBand="0" w:evenVBand="0" w:oddHBand="1" w:evenHBand="0" w:firstRowFirstColumn="0" w:firstRowLastColumn="0" w:lastRowFirstColumn="0" w:lastRowLastColumn="0"/>
        </w:trPr>
        <w:tc>
          <w:tcPr>
            <w:tcW w:w="0" w:type="auto"/>
            <w:vMerge/>
            <w:hideMark/>
          </w:tcPr>
          <w:p w14:paraId="1FEA643A" w14:textId="77777777" w:rsidR="0006598E" w:rsidRPr="0008132A" w:rsidRDefault="0006598E" w:rsidP="00D42342">
            <w:pPr>
              <w:pStyle w:val="TableNText"/>
            </w:pPr>
          </w:p>
        </w:tc>
        <w:tc>
          <w:tcPr>
            <w:tcW w:w="3685" w:type="dxa"/>
            <w:hideMark/>
          </w:tcPr>
          <w:p w14:paraId="7E13BD0A" w14:textId="77777777" w:rsidR="0006598E" w:rsidRPr="0008132A" w:rsidRDefault="0006598E" w:rsidP="00D42342">
            <w:pPr>
              <w:pStyle w:val="TableNText"/>
            </w:pPr>
            <w:r w:rsidRPr="0008132A">
              <w:t>Goldfields Land and Sea Council</w:t>
            </w:r>
          </w:p>
        </w:tc>
        <w:tc>
          <w:tcPr>
            <w:tcW w:w="0" w:type="auto"/>
            <w:vMerge/>
            <w:hideMark/>
          </w:tcPr>
          <w:p w14:paraId="56481CC5" w14:textId="77777777" w:rsidR="0006598E" w:rsidRPr="0008132A" w:rsidRDefault="0006598E" w:rsidP="00D42342">
            <w:pPr>
              <w:pStyle w:val="TableNText"/>
            </w:pPr>
          </w:p>
        </w:tc>
        <w:tc>
          <w:tcPr>
            <w:tcW w:w="0" w:type="auto"/>
            <w:vMerge/>
            <w:hideMark/>
          </w:tcPr>
          <w:p w14:paraId="2784A063" w14:textId="77777777" w:rsidR="0006598E" w:rsidRPr="0008132A" w:rsidRDefault="0006598E" w:rsidP="00D42342">
            <w:pPr>
              <w:pStyle w:val="TableNText"/>
            </w:pPr>
          </w:p>
        </w:tc>
      </w:tr>
      <w:tr w:rsidR="0006598E" w:rsidRPr="0008132A" w14:paraId="24C350A7" w14:textId="77777777" w:rsidTr="00D42342">
        <w:trPr>
          <w:cnfStyle w:val="000000010000" w:firstRow="0" w:lastRow="0" w:firstColumn="0" w:lastColumn="0" w:oddVBand="0" w:evenVBand="0" w:oddHBand="0" w:evenHBand="1" w:firstRowFirstColumn="0" w:firstRowLastColumn="0" w:lastRowFirstColumn="0" w:lastRowLastColumn="0"/>
        </w:trPr>
        <w:tc>
          <w:tcPr>
            <w:tcW w:w="0" w:type="auto"/>
            <w:vMerge/>
            <w:hideMark/>
          </w:tcPr>
          <w:p w14:paraId="5F6D9AEA" w14:textId="77777777" w:rsidR="0006598E" w:rsidRPr="0008132A" w:rsidRDefault="0006598E" w:rsidP="00D42342">
            <w:pPr>
              <w:pStyle w:val="TableNText"/>
            </w:pPr>
          </w:p>
        </w:tc>
        <w:tc>
          <w:tcPr>
            <w:tcW w:w="3685" w:type="dxa"/>
            <w:hideMark/>
          </w:tcPr>
          <w:p w14:paraId="0ADCED69" w14:textId="77777777" w:rsidR="0006598E" w:rsidRPr="0008132A" w:rsidRDefault="0006598E" w:rsidP="00D42342">
            <w:pPr>
              <w:pStyle w:val="TableNText"/>
              <w:rPr>
                <w:bCs/>
              </w:rPr>
            </w:pPr>
            <w:r w:rsidRPr="0008132A">
              <w:rPr>
                <w:bCs/>
              </w:rPr>
              <w:t>Native Title Services Corporation</w:t>
            </w:r>
          </w:p>
        </w:tc>
        <w:tc>
          <w:tcPr>
            <w:tcW w:w="0" w:type="auto"/>
            <w:vMerge/>
            <w:hideMark/>
          </w:tcPr>
          <w:p w14:paraId="588C85EC" w14:textId="77777777" w:rsidR="0006598E" w:rsidRPr="0008132A" w:rsidRDefault="0006598E" w:rsidP="00D42342">
            <w:pPr>
              <w:pStyle w:val="TableNText"/>
            </w:pPr>
          </w:p>
        </w:tc>
        <w:tc>
          <w:tcPr>
            <w:tcW w:w="0" w:type="auto"/>
            <w:vMerge/>
            <w:hideMark/>
          </w:tcPr>
          <w:p w14:paraId="21FA9217" w14:textId="77777777" w:rsidR="0006598E" w:rsidRPr="0008132A" w:rsidRDefault="0006598E" w:rsidP="00D42342">
            <w:pPr>
              <w:pStyle w:val="TableNText"/>
            </w:pPr>
          </w:p>
        </w:tc>
      </w:tr>
      <w:tr w:rsidR="0006598E" w:rsidRPr="0008132A" w14:paraId="22328C1C" w14:textId="77777777" w:rsidTr="00D42342">
        <w:trPr>
          <w:cnfStyle w:val="000000100000" w:firstRow="0" w:lastRow="0" w:firstColumn="0" w:lastColumn="0" w:oddVBand="0" w:evenVBand="0" w:oddHBand="1" w:evenHBand="0" w:firstRowFirstColumn="0" w:firstRowLastColumn="0" w:lastRowFirstColumn="0" w:lastRowLastColumn="0"/>
        </w:trPr>
        <w:tc>
          <w:tcPr>
            <w:tcW w:w="0" w:type="auto"/>
            <w:vMerge/>
            <w:hideMark/>
          </w:tcPr>
          <w:p w14:paraId="73F9D767" w14:textId="77777777" w:rsidR="0006598E" w:rsidRPr="0008132A" w:rsidRDefault="0006598E" w:rsidP="00D42342">
            <w:pPr>
              <w:pStyle w:val="TableNText"/>
            </w:pPr>
          </w:p>
        </w:tc>
        <w:tc>
          <w:tcPr>
            <w:tcW w:w="3685" w:type="dxa"/>
            <w:hideMark/>
          </w:tcPr>
          <w:p w14:paraId="52C98839" w14:textId="77777777" w:rsidR="0006598E" w:rsidRPr="0008132A" w:rsidRDefault="0006598E" w:rsidP="00D42342">
            <w:pPr>
              <w:pStyle w:val="TableNText"/>
            </w:pPr>
            <w:r w:rsidRPr="0008132A">
              <w:t>Queensland South Native Title Services</w:t>
            </w:r>
          </w:p>
        </w:tc>
        <w:tc>
          <w:tcPr>
            <w:tcW w:w="0" w:type="auto"/>
            <w:vMerge/>
            <w:hideMark/>
          </w:tcPr>
          <w:p w14:paraId="187BCBA6" w14:textId="77777777" w:rsidR="0006598E" w:rsidRPr="0008132A" w:rsidRDefault="0006598E" w:rsidP="00D42342">
            <w:pPr>
              <w:pStyle w:val="TableNText"/>
            </w:pPr>
          </w:p>
        </w:tc>
        <w:tc>
          <w:tcPr>
            <w:tcW w:w="0" w:type="auto"/>
            <w:vMerge/>
            <w:hideMark/>
          </w:tcPr>
          <w:p w14:paraId="60406A15" w14:textId="77777777" w:rsidR="0006598E" w:rsidRPr="0008132A" w:rsidRDefault="0006598E" w:rsidP="00D42342">
            <w:pPr>
              <w:pStyle w:val="TableNText"/>
            </w:pPr>
          </w:p>
        </w:tc>
      </w:tr>
      <w:tr w:rsidR="0006598E" w:rsidRPr="0008132A" w14:paraId="3D7B0DD0" w14:textId="77777777" w:rsidTr="00D42342">
        <w:trPr>
          <w:cnfStyle w:val="000000010000" w:firstRow="0" w:lastRow="0" w:firstColumn="0" w:lastColumn="0" w:oddVBand="0" w:evenVBand="0" w:oddHBand="0" w:evenHBand="1" w:firstRowFirstColumn="0" w:firstRowLastColumn="0" w:lastRowFirstColumn="0" w:lastRowLastColumn="0"/>
        </w:trPr>
        <w:tc>
          <w:tcPr>
            <w:tcW w:w="993" w:type="dxa"/>
            <w:vMerge w:val="restart"/>
            <w:hideMark/>
          </w:tcPr>
          <w:p w14:paraId="0835D7E8" w14:textId="77777777" w:rsidR="0006598E" w:rsidRPr="0008132A" w:rsidRDefault="0006598E" w:rsidP="00D42342">
            <w:pPr>
              <w:pStyle w:val="TableNText"/>
            </w:pPr>
            <w:r w:rsidRPr="0008132A">
              <w:t>Tranche 2 (2018)</w:t>
            </w:r>
          </w:p>
        </w:tc>
        <w:tc>
          <w:tcPr>
            <w:tcW w:w="3685" w:type="dxa"/>
            <w:hideMark/>
          </w:tcPr>
          <w:p w14:paraId="14A88892" w14:textId="77777777" w:rsidR="0006598E" w:rsidRPr="0008132A" w:rsidRDefault="0006598E" w:rsidP="00D42342">
            <w:pPr>
              <w:pStyle w:val="TableNText"/>
            </w:pPr>
            <w:r w:rsidRPr="0008132A">
              <w:t>Cape York Land Council</w:t>
            </w:r>
          </w:p>
        </w:tc>
        <w:tc>
          <w:tcPr>
            <w:tcW w:w="1843" w:type="dxa"/>
            <w:vMerge w:val="restart"/>
            <w:hideMark/>
          </w:tcPr>
          <w:p w14:paraId="208BFFBD" w14:textId="77777777" w:rsidR="0006598E" w:rsidRPr="0008132A" w:rsidRDefault="0006598E" w:rsidP="00D42342">
            <w:pPr>
              <w:pStyle w:val="TableNText"/>
            </w:pPr>
            <w:r w:rsidRPr="0008132A">
              <w:t>July 2015 – June 2018</w:t>
            </w:r>
          </w:p>
        </w:tc>
        <w:tc>
          <w:tcPr>
            <w:tcW w:w="2410" w:type="dxa"/>
            <w:vMerge w:val="restart"/>
            <w:hideMark/>
          </w:tcPr>
          <w:p w14:paraId="35DEC011" w14:textId="77777777" w:rsidR="0006598E" w:rsidRPr="0008132A" w:rsidRDefault="0006598E" w:rsidP="00D42342">
            <w:pPr>
              <w:pStyle w:val="TableNText"/>
            </w:pPr>
            <w:r w:rsidRPr="0008132A">
              <w:t>September 2018 – April 2019</w:t>
            </w:r>
          </w:p>
        </w:tc>
      </w:tr>
      <w:tr w:rsidR="0006598E" w:rsidRPr="0008132A" w14:paraId="39FAABEE" w14:textId="77777777" w:rsidTr="00D42342">
        <w:trPr>
          <w:cnfStyle w:val="000000100000" w:firstRow="0" w:lastRow="0" w:firstColumn="0" w:lastColumn="0" w:oddVBand="0" w:evenVBand="0" w:oddHBand="1" w:evenHBand="0" w:firstRowFirstColumn="0" w:firstRowLastColumn="0" w:lastRowFirstColumn="0" w:lastRowLastColumn="0"/>
        </w:trPr>
        <w:tc>
          <w:tcPr>
            <w:tcW w:w="0" w:type="auto"/>
            <w:vMerge/>
            <w:hideMark/>
          </w:tcPr>
          <w:p w14:paraId="34CDC2E6" w14:textId="77777777" w:rsidR="0006598E" w:rsidRPr="0008132A" w:rsidRDefault="0006598E">
            <w:pPr>
              <w:spacing w:after="0"/>
              <w:rPr>
                <w:rFonts w:cs="Segoe UI"/>
                <w:color w:val="000000" w:themeColor="text1"/>
                <w:szCs w:val="19"/>
              </w:rPr>
            </w:pPr>
          </w:p>
        </w:tc>
        <w:tc>
          <w:tcPr>
            <w:tcW w:w="3685" w:type="dxa"/>
            <w:hideMark/>
          </w:tcPr>
          <w:p w14:paraId="54BABF54" w14:textId="77777777" w:rsidR="0006598E" w:rsidRPr="0008132A" w:rsidRDefault="0006598E" w:rsidP="00D42342">
            <w:pPr>
              <w:pStyle w:val="TableNText"/>
              <w:rPr>
                <w:rFonts w:cs="Segoe UI"/>
                <w:color w:val="000000" w:themeColor="text1"/>
                <w:szCs w:val="19"/>
              </w:rPr>
            </w:pPr>
            <w:r w:rsidRPr="0008132A">
              <w:t>Carpentaria Land Council Aboriginal Corporation</w:t>
            </w:r>
          </w:p>
        </w:tc>
        <w:tc>
          <w:tcPr>
            <w:tcW w:w="0" w:type="auto"/>
            <w:vMerge/>
            <w:hideMark/>
          </w:tcPr>
          <w:p w14:paraId="1B4AE830" w14:textId="77777777" w:rsidR="0006598E" w:rsidRPr="0008132A" w:rsidRDefault="0006598E">
            <w:pPr>
              <w:spacing w:after="0"/>
              <w:rPr>
                <w:rFonts w:cs="Segoe UI"/>
                <w:color w:val="000000" w:themeColor="text1"/>
                <w:szCs w:val="19"/>
              </w:rPr>
            </w:pPr>
          </w:p>
        </w:tc>
        <w:tc>
          <w:tcPr>
            <w:tcW w:w="0" w:type="auto"/>
            <w:vMerge/>
            <w:hideMark/>
          </w:tcPr>
          <w:p w14:paraId="23BA37C8" w14:textId="77777777" w:rsidR="0006598E" w:rsidRPr="0008132A" w:rsidRDefault="0006598E">
            <w:pPr>
              <w:spacing w:after="0"/>
              <w:rPr>
                <w:rFonts w:cs="Segoe UI"/>
                <w:color w:val="000000" w:themeColor="text1"/>
                <w:szCs w:val="19"/>
              </w:rPr>
            </w:pPr>
          </w:p>
        </w:tc>
      </w:tr>
      <w:tr w:rsidR="0006598E" w:rsidRPr="0008132A" w14:paraId="71D26191" w14:textId="77777777" w:rsidTr="00D42342">
        <w:trPr>
          <w:cnfStyle w:val="000000010000" w:firstRow="0" w:lastRow="0" w:firstColumn="0" w:lastColumn="0" w:oddVBand="0" w:evenVBand="0" w:oddHBand="0" w:evenHBand="1" w:firstRowFirstColumn="0" w:firstRowLastColumn="0" w:lastRowFirstColumn="0" w:lastRowLastColumn="0"/>
        </w:trPr>
        <w:tc>
          <w:tcPr>
            <w:tcW w:w="0" w:type="auto"/>
            <w:vMerge/>
            <w:hideMark/>
          </w:tcPr>
          <w:p w14:paraId="60A28CBF" w14:textId="77777777" w:rsidR="0006598E" w:rsidRPr="0008132A" w:rsidRDefault="0006598E">
            <w:pPr>
              <w:spacing w:after="0"/>
              <w:rPr>
                <w:rFonts w:cs="Segoe UI"/>
                <w:color w:val="000000" w:themeColor="text1"/>
                <w:szCs w:val="19"/>
              </w:rPr>
            </w:pPr>
          </w:p>
        </w:tc>
        <w:tc>
          <w:tcPr>
            <w:tcW w:w="3685" w:type="dxa"/>
            <w:hideMark/>
          </w:tcPr>
          <w:p w14:paraId="56FE5992" w14:textId="77777777" w:rsidR="0006598E" w:rsidRPr="0008132A" w:rsidRDefault="0006598E" w:rsidP="00D42342">
            <w:pPr>
              <w:pStyle w:val="TableNText"/>
              <w:rPr>
                <w:rFonts w:cs="Segoe UI"/>
                <w:color w:val="000000" w:themeColor="text1"/>
                <w:szCs w:val="19"/>
              </w:rPr>
            </w:pPr>
            <w:r w:rsidRPr="0008132A">
              <w:t>Kimberly Land Council</w:t>
            </w:r>
          </w:p>
        </w:tc>
        <w:tc>
          <w:tcPr>
            <w:tcW w:w="0" w:type="auto"/>
            <w:vMerge/>
            <w:hideMark/>
          </w:tcPr>
          <w:p w14:paraId="76BF1C3D" w14:textId="77777777" w:rsidR="0006598E" w:rsidRPr="0008132A" w:rsidRDefault="0006598E">
            <w:pPr>
              <w:spacing w:after="0"/>
              <w:rPr>
                <w:rFonts w:cs="Segoe UI"/>
                <w:color w:val="000000" w:themeColor="text1"/>
                <w:szCs w:val="19"/>
              </w:rPr>
            </w:pPr>
          </w:p>
        </w:tc>
        <w:tc>
          <w:tcPr>
            <w:tcW w:w="0" w:type="auto"/>
            <w:vMerge/>
            <w:hideMark/>
          </w:tcPr>
          <w:p w14:paraId="1CAB4713" w14:textId="77777777" w:rsidR="0006598E" w:rsidRPr="0008132A" w:rsidRDefault="0006598E">
            <w:pPr>
              <w:spacing w:after="0"/>
              <w:rPr>
                <w:rFonts w:cs="Segoe UI"/>
                <w:color w:val="000000" w:themeColor="text1"/>
                <w:szCs w:val="19"/>
              </w:rPr>
            </w:pPr>
          </w:p>
        </w:tc>
      </w:tr>
      <w:tr w:rsidR="0006598E" w:rsidRPr="0008132A" w14:paraId="371C417D" w14:textId="77777777" w:rsidTr="00D42342">
        <w:trPr>
          <w:cnfStyle w:val="000000100000" w:firstRow="0" w:lastRow="0" w:firstColumn="0" w:lastColumn="0" w:oddVBand="0" w:evenVBand="0" w:oddHBand="1" w:evenHBand="0" w:firstRowFirstColumn="0" w:firstRowLastColumn="0" w:lastRowFirstColumn="0" w:lastRowLastColumn="0"/>
        </w:trPr>
        <w:tc>
          <w:tcPr>
            <w:tcW w:w="0" w:type="auto"/>
            <w:vMerge/>
            <w:hideMark/>
          </w:tcPr>
          <w:p w14:paraId="2EF5E453" w14:textId="77777777" w:rsidR="0006598E" w:rsidRPr="0008132A" w:rsidRDefault="0006598E">
            <w:pPr>
              <w:spacing w:after="0"/>
              <w:rPr>
                <w:rFonts w:cs="Segoe UI"/>
                <w:color w:val="000000" w:themeColor="text1"/>
                <w:szCs w:val="19"/>
              </w:rPr>
            </w:pPr>
          </w:p>
        </w:tc>
        <w:tc>
          <w:tcPr>
            <w:tcW w:w="3685" w:type="dxa"/>
            <w:hideMark/>
          </w:tcPr>
          <w:p w14:paraId="2A450651" w14:textId="77777777" w:rsidR="0006598E" w:rsidRPr="0008132A" w:rsidRDefault="0006598E" w:rsidP="00D42342">
            <w:pPr>
              <w:pStyle w:val="TableNText"/>
              <w:rPr>
                <w:rFonts w:cs="Segoe UI"/>
                <w:color w:val="000000" w:themeColor="text1"/>
                <w:szCs w:val="19"/>
              </w:rPr>
            </w:pPr>
            <w:r w:rsidRPr="0008132A">
              <w:t>North Queensland Land Council</w:t>
            </w:r>
          </w:p>
        </w:tc>
        <w:tc>
          <w:tcPr>
            <w:tcW w:w="0" w:type="auto"/>
            <w:vMerge/>
            <w:hideMark/>
          </w:tcPr>
          <w:p w14:paraId="351013D0" w14:textId="77777777" w:rsidR="0006598E" w:rsidRPr="0008132A" w:rsidRDefault="0006598E">
            <w:pPr>
              <w:spacing w:after="0"/>
              <w:rPr>
                <w:rFonts w:cs="Segoe UI"/>
                <w:color w:val="000000" w:themeColor="text1"/>
                <w:szCs w:val="19"/>
              </w:rPr>
            </w:pPr>
          </w:p>
        </w:tc>
        <w:tc>
          <w:tcPr>
            <w:tcW w:w="0" w:type="auto"/>
            <w:vMerge/>
            <w:hideMark/>
          </w:tcPr>
          <w:p w14:paraId="44D4E9DB" w14:textId="77777777" w:rsidR="0006598E" w:rsidRPr="0008132A" w:rsidRDefault="0006598E">
            <w:pPr>
              <w:spacing w:after="0"/>
              <w:rPr>
                <w:rFonts w:cs="Segoe UI"/>
                <w:color w:val="000000" w:themeColor="text1"/>
                <w:szCs w:val="19"/>
              </w:rPr>
            </w:pPr>
          </w:p>
        </w:tc>
      </w:tr>
      <w:tr w:rsidR="0006598E" w:rsidRPr="0008132A" w14:paraId="7173490D" w14:textId="77777777" w:rsidTr="00D42342">
        <w:trPr>
          <w:cnfStyle w:val="000000010000" w:firstRow="0" w:lastRow="0" w:firstColumn="0" w:lastColumn="0" w:oddVBand="0" w:evenVBand="0" w:oddHBand="0" w:evenHBand="1" w:firstRowFirstColumn="0" w:firstRowLastColumn="0" w:lastRowFirstColumn="0" w:lastRowLastColumn="0"/>
        </w:trPr>
        <w:tc>
          <w:tcPr>
            <w:tcW w:w="0" w:type="auto"/>
            <w:vMerge/>
            <w:hideMark/>
          </w:tcPr>
          <w:p w14:paraId="52092476" w14:textId="77777777" w:rsidR="0006598E" w:rsidRPr="0008132A" w:rsidRDefault="0006598E">
            <w:pPr>
              <w:spacing w:after="0"/>
              <w:rPr>
                <w:rFonts w:cs="Segoe UI"/>
                <w:color w:val="000000" w:themeColor="text1"/>
                <w:szCs w:val="19"/>
              </w:rPr>
            </w:pPr>
          </w:p>
        </w:tc>
        <w:tc>
          <w:tcPr>
            <w:tcW w:w="3685" w:type="dxa"/>
            <w:hideMark/>
          </w:tcPr>
          <w:p w14:paraId="43C8AAB8" w14:textId="77777777" w:rsidR="0006598E" w:rsidRPr="0008132A" w:rsidRDefault="0006598E" w:rsidP="00D42342">
            <w:pPr>
              <w:pStyle w:val="TableNText"/>
              <w:rPr>
                <w:rFonts w:cs="Segoe UI"/>
                <w:color w:val="000000" w:themeColor="text1"/>
                <w:szCs w:val="19"/>
              </w:rPr>
            </w:pPr>
            <w:r w:rsidRPr="0008132A">
              <w:t>South Australia Native Title Services</w:t>
            </w:r>
          </w:p>
        </w:tc>
        <w:tc>
          <w:tcPr>
            <w:tcW w:w="0" w:type="auto"/>
            <w:vMerge/>
            <w:hideMark/>
          </w:tcPr>
          <w:p w14:paraId="044A253F" w14:textId="77777777" w:rsidR="0006598E" w:rsidRPr="0008132A" w:rsidRDefault="0006598E">
            <w:pPr>
              <w:spacing w:after="0"/>
              <w:rPr>
                <w:rFonts w:cs="Segoe UI"/>
                <w:color w:val="000000" w:themeColor="text1"/>
                <w:szCs w:val="19"/>
              </w:rPr>
            </w:pPr>
          </w:p>
        </w:tc>
        <w:tc>
          <w:tcPr>
            <w:tcW w:w="0" w:type="auto"/>
            <w:vMerge/>
            <w:hideMark/>
          </w:tcPr>
          <w:p w14:paraId="2B83918B" w14:textId="77777777" w:rsidR="0006598E" w:rsidRPr="0008132A" w:rsidRDefault="0006598E">
            <w:pPr>
              <w:spacing w:after="0"/>
              <w:rPr>
                <w:rFonts w:cs="Segoe UI"/>
                <w:color w:val="000000" w:themeColor="text1"/>
                <w:szCs w:val="19"/>
              </w:rPr>
            </w:pPr>
          </w:p>
        </w:tc>
      </w:tr>
      <w:tr w:rsidR="0006598E" w:rsidRPr="0008132A" w14:paraId="7A15F0BE" w14:textId="77777777" w:rsidTr="00D42342">
        <w:trPr>
          <w:cnfStyle w:val="000000100000" w:firstRow="0" w:lastRow="0" w:firstColumn="0" w:lastColumn="0" w:oddVBand="0" w:evenVBand="0" w:oddHBand="1" w:evenHBand="0" w:firstRowFirstColumn="0" w:firstRowLastColumn="0" w:lastRowFirstColumn="0" w:lastRowLastColumn="0"/>
        </w:trPr>
        <w:tc>
          <w:tcPr>
            <w:tcW w:w="0" w:type="auto"/>
            <w:vMerge/>
            <w:hideMark/>
          </w:tcPr>
          <w:p w14:paraId="6EC66378" w14:textId="77777777" w:rsidR="0006598E" w:rsidRPr="0008132A" w:rsidRDefault="0006598E">
            <w:pPr>
              <w:spacing w:after="0"/>
              <w:rPr>
                <w:rFonts w:cs="Segoe UI"/>
                <w:color w:val="000000" w:themeColor="text1"/>
                <w:szCs w:val="19"/>
              </w:rPr>
            </w:pPr>
          </w:p>
        </w:tc>
        <w:tc>
          <w:tcPr>
            <w:tcW w:w="3685" w:type="dxa"/>
            <w:hideMark/>
          </w:tcPr>
          <w:p w14:paraId="4BE2D43A" w14:textId="77777777" w:rsidR="0006598E" w:rsidRPr="0008132A" w:rsidRDefault="0006598E" w:rsidP="00D42342">
            <w:pPr>
              <w:pStyle w:val="TableNText"/>
              <w:rPr>
                <w:rFonts w:cs="Segoe UI"/>
                <w:bCs/>
                <w:color w:val="000000" w:themeColor="text1"/>
                <w:szCs w:val="19"/>
              </w:rPr>
            </w:pPr>
            <w:r w:rsidRPr="0008132A">
              <w:rPr>
                <w:bCs/>
              </w:rPr>
              <w:t>Yamatji Marlpa Aboriginal Corporation</w:t>
            </w:r>
          </w:p>
        </w:tc>
        <w:tc>
          <w:tcPr>
            <w:tcW w:w="0" w:type="auto"/>
            <w:vMerge/>
            <w:hideMark/>
          </w:tcPr>
          <w:p w14:paraId="57F4829F" w14:textId="77777777" w:rsidR="0006598E" w:rsidRPr="0008132A" w:rsidRDefault="0006598E">
            <w:pPr>
              <w:spacing w:after="0"/>
              <w:rPr>
                <w:rFonts w:cs="Segoe UI"/>
                <w:color w:val="000000" w:themeColor="text1"/>
                <w:szCs w:val="19"/>
              </w:rPr>
            </w:pPr>
          </w:p>
        </w:tc>
        <w:tc>
          <w:tcPr>
            <w:tcW w:w="0" w:type="auto"/>
            <w:vMerge/>
            <w:hideMark/>
          </w:tcPr>
          <w:p w14:paraId="5A43E786" w14:textId="77777777" w:rsidR="0006598E" w:rsidRPr="0008132A" w:rsidRDefault="0006598E">
            <w:pPr>
              <w:spacing w:after="0"/>
              <w:rPr>
                <w:rFonts w:cs="Segoe UI"/>
                <w:color w:val="000000" w:themeColor="text1"/>
                <w:szCs w:val="19"/>
              </w:rPr>
            </w:pPr>
          </w:p>
        </w:tc>
      </w:tr>
      <w:tr w:rsidR="007706E9" w:rsidRPr="0008132A" w14:paraId="388F0622" w14:textId="77777777" w:rsidTr="00D42342">
        <w:trPr>
          <w:cnfStyle w:val="000000010000" w:firstRow="0" w:lastRow="0" w:firstColumn="0" w:lastColumn="0" w:oddVBand="0" w:evenVBand="0" w:oddHBand="0" w:evenHBand="1" w:firstRowFirstColumn="0" w:firstRowLastColumn="0" w:lastRowFirstColumn="0" w:lastRowLastColumn="0"/>
        </w:trPr>
        <w:tc>
          <w:tcPr>
            <w:tcW w:w="993" w:type="dxa"/>
            <w:vMerge w:val="restart"/>
            <w:hideMark/>
          </w:tcPr>
          <w:p w14:paraId="36C1ACE6" w14:textId="77777777" w:rsidR="007706E9" w:rsidRPr="0008132A" w:rsidRDefault="007706E9" w:rsidP="00D42342">
            <w:pPr>
              <w:pStyle w:val="TableNText"/>
            </w:pPr>
            <w:r w:rsidRPr="0008132A">
              <w:t>Tranche 3 (2020)</w:t>
            </w:r>
          </w:p>
        </w:tc>
        <w:tc>
          <w:tcPr>
            <w:tcW w:w="3685" w:type="dxa"/>
            <w:hideMark/>
          </w:tcPr>
          <w:p w14:paraId="3F12C168" w14:textId="77777777" w:rsidR="007706E9" w:rsidRPr="00D42342" w:rsidRDefault="007706E9" w:rsidP="00D42342">
            <w:pPr>
              <w:pStyle w:val="TableNText"/>
              <w:rPr>
                <w:rFonts w:asciiTheme="majorHAnsi" w:hAnsiTheme="majorHAnsi" w:cstheme="majorHAnsi"/>
              </w:rPr>
            </w:pPr>
            <w:r w:rsidRPr="00D42342">
              <w:rPr>
                <w:rFonts w:asciiTheme="majorHAnsi" w:hAnsiTheme="majorHAnsi" w:cstheme="majorHAnsi"/>
              </w:rPr>
              <w:t>Central Land Council</w:t>
            </w:r>
          </w:p>
        </w:tc>
        <w:tc>
          <w:tcPr>
            <w:tcW w:w="1843" w:type="dxa"/>
            <w:vMerge w:val="restart"/>
            <w:hideMark/>
          </w:tcPr>
          <w:p w14:paraId="4D92820E" w14:textId="77777777" w:rsidR="007706E9" w:rsidRPr="0008132A" w:rsidRDefault="007706E9" w:rsidP="00D42342">
            <w:pPr>
              <w:pStyle w:val="TableNText"/>
            </w:pPr>
            <w:r w:rsidRPr="0008132A">
              <w:t>July 2016 – June 2019</w:t>
            </w:r>
          </w:p>
        </w:tc>
        <w:tc>
          <w:tcPr>
            <w:tcW w:w="2410" w:type="dxa"/>
            <w:vMerge w:val="restart"/>
            <w:hideMark/>
          </w:tcPr>
          <w:p w14:paraId="089433AC" w14:textId="77777777" w:rsidR="007706E9" w:rsidRPr="0008132A" w:rsidRDefault="007706E9" w:rsidP="00D42342">
            <w:pPr>
              <w:pStyle w:val="TableNText"/>
            </w:pPr>
            <w:r w:rsidRPr="0008132A">
              <w:t>January 2020 – July 2020</w:t>
            </w:r>
          </w:p>
        </w:tc>
      </w:tr>
      <w:tr w:rsidR="007706E9" w:rsidRPr="0008132A" w14:paraId="5F38894A" w14:textId="77777777" w:rsidTr="00D42342">
        <w:trPr>
          <w:cnfStyle w:val="000000100000" w:firstRow="0" w:lastRow="0" w:firstColumn="0" w:lastColumn="0" w:oddVBand="0" w:evenVBand="0" w:oddHBand="1" w:evenHBand="0" w:firstRowFirstColumn="0" w:firstRowLastColumn="0" w:lastRowFirstColumn="0" w:lastRowLastColumn="0"/>
        </w:trPr>
        <w:tc>
          <w:tcPr>
            <w:tcW w:w="0" w:type="auto"/>
            <w:vMerge/>
            <w:hideMark/>
          </w:tcPr>
          <w:p w14:paraId="61EB061D" w14:textId="77777777" w:rsidR="007706E9" w:rsidRPr="0008132A" w:rsidRDefault="007706E9" w:rsidP="00D42342">
            <w:pPr>
              <w:pStyle w:val="TableNText"/>
            </w:pPr>
          </w:p>
        </w:tc>
        <w:tc>
          <w:tcPr>
            <w:tcW w:w="3685" w:type="dxa"/>
            <w:hideMark/>
          </w:tcPr>
          <w:p w14:paraId="1056767B" w14:textId="77777777" w:rsidR="007706E9" w:rsidRPr="0008132A" w:rsidRDefault="007706E9" w:rsidP="00D42342">
            <w:pPr>
              <w:pStyle w:val="TableNText"/>
            </w:pPr>
            <w:r w:rsidRPr="0008132A">
              <w:t>Northern Land Council</w:t>
            </w:r>
          </w:p>
        </w:tc>
        <w:tc>
          <w:tcPr>
            <w:tcW w:w="0" w:type="auto"/>
            <w:vMerge/>
            <w:hideMark/>
          </w:tcPr>
          <w:p w14:paraId="600C0E65" w14:textId="77777777" w:rsidR="007706E9" w:rsidRPr="0008132A" w:rsidRDefault="007706E9" w:rsidP="00D42342">
            <w:pPr>
              <w:pStyle w:val="TableNText"/>
            </w:pPr>
          </w:p>
        </w:tc>
        <w:tc>
          <w:tcPr>
            <w:tcW w:w="0" w:type="auto"/>
            <w:vMerge/>
            <w:hideMark/>
          </w:tcPr>
          <w:p w14:paraId="49911DFF" w14:textId="77777777" w:rsidR="007706E9" w:rsidRPr="0008132A" w:rsidRDefault="007706E9" w:rsidP="00D42342">
            <w:pPr>
              <w:pStyle w:val="TableNText"/>
            </w:pPr>
          </w:p>
        </w:tc>
      </w:tr>
      <w:tr w:rsidR="007706E9" w:rsidRPr="0008132A" w14:paraId="2FAD54DB" w14:textId="77777777" w:rsidTr="00D42342">
        <w:trPr>
          <w:cnfStyle w:val="000000010000" w:firstRow="0" w:lastRow="0" w:firstColumn="0" w:lastColumn="0" w:oddVBand="0" w:evenVBand="0" w:oddHBand="0" w:evenHBand="1" w:firstRowFirstColumn="0" w:firstRowLastColumn="0" w:lastRowFirstColumn="0" w:lastRowLastColumn="0"/>
        </w:trPr>
        <w:tc>
          <w:tcPr>
            <w:tcW w:w="0" w:type="auto"/>
            <w:vMerge/>
          </w:tcPr>
          <w:p w14:paraId="5FCFA39B" w14:textId="1FDC8A24" w:rsidR="007706E9" w:rsidRPr="0008132A" w:rsidRDefault="007706E9" w:rsidP="00D42342">
            <w:pPr>
              <w:pStyle w:val="TableNText"/>
            </w:pPr>
          </w:p>
        </w:tc>
        <w:tc>
          <w:tcPr>
            <w:tcW w:w="3685" w:type="dxa"/>
          </w:tcPr>
          <w:p w14:paraId="3BC45198" w14:textId="1E0CCA82" w:rsidR="007706E9" w:rsidRPr="0008132A" w:rsidRDefault="007706E9" w:rsidP="00D42342">
            <w:pPr>
              <w:pStyle w:val="TableNText"/>
            </w:pPr>
            <w:r w:rsidRPr="0008132A">
              <w:t xml:space="preserve">Torres Strait Regional Authority </w:t>
            </w:r>
          </w:p>
        </w:tc>
        <w:tc>
          <w:tcPr>
            <w:tcW w:w="0" w:type="auto"/>
          </w:tcPr>
          <w:p w14:paraId="757AF75A" w14:textId="5948B73A" w:rsidR="007706E9" w:rsidRPr="0008132A" w:rsidRDefault="007706E9" w:rsidP="00D42342">
            <w:pPr>
              <w:pStyle w:val="TableNText"/>
            </w:pPr>
            <w:r w:rsidRPr="0008132A">
              <w:t>July 2016 – June 2019</w:t>
            </w:r>
          </w:p>
        </w:tc>
        <w:tc>
          <w:tcPr>
            <w:tcW w:w="0" w:type="auto"/>
          </w:tcPr>
          <w:p w14:paraId="09702E4F" w14:textId="50EDEF27" w:rsidR="007706E9" w:rsidRPr="0008132A" w:rsidRDefault="007706E9" w:rsidP="00D42342">
            <w:pPr>
              <w:pStyle w:val="TableNText"/>
            </w:pPr>
            <w:r w:rsidRPr="0008132A">
              <w:t xml:space="preserve">October 2020 – </w:t>
            </w:r>
            <w:r w:rsidR="00EE1B50">
              <w:t>March 2021</w:t>
            </w:r>
            <w:r w:rsidRPr="0008132A">
              <w:t xml:space="preserve"> </w:t>
            </w:r>
          </w:p>
        </w:tc>
      </w:tr>
    </w:tbl>
    <w:p w14:paraId="65C5C491" w14:textId="39932D96" w:rsidR="0006598E" w:rsidRPr="0008132A" w:rsidRDefault="0006598E" w:rsidP="00E31A09">
      <w:pPr>
        <w:rPr>
          <w:lang w:eastAsia="en-AU"/>
        </w:rPr>
      </w:pPr>
    </w:p>
    <w:p w14:paraId="5E48A2EA" w14:textId="77777777" w:rsidR="0006598E" w:rsidRPr="0008132A" w:rsidRDefault="0006598E">
      <w:pPr>
        <w:spacing w:after="165" w:line="259" w:lineRule="auto"/>
        <w:rPr>
          <w:lang w:eastAsia="en-AU"/>
        </w:rPr>
      </w:pPr>
      <w:r w:rsidRPr="0008132A">
        <w:rPr>
          <w:lang w:eastAsia="en-AU"/>
        </w:rPr>
        <w:br w:type="page"/>
      </w:r>
    </w:p>
    <w:p w14:paraId="15CECCCA" w14:textId="742E66D2" w:rsidR="00E31A09" w:rsidRPr="0008132A" w:rsidRDefault="0006598E" w:rsidP="007F3876">
      <w:pPr>
        <w:pStyle w:val="xAppendixLevel1"/>
      </w:pPr>
      <w:bookmarkStart w:id="101" w:name="_Ref64553167"/>
      <w:bookmarkStart w:id="102" w:name="_Toc68072668"/>
      <w:r w:rsidRPr="0008132A">
        <w:lastRenderedPageBreak/>
        <w:t>Stakeholders consulted</w:t>
      </w:r>
      <w:bookmarkEnd w:id="101"/>
      <w:bookmarkEnd w:id="102"/>
      <w:r w:rsidRPr="0008132A">
        <w:t xml:space="preserve"> </w:t>
      </w:r>
    </w:p>
    <w:p w14:paraId="799BA853" w14:textId="77777777" w:rsidR="00652A57" w:rsidRPr="0008132A" w:rsidRDefault="00652A57" w:rsidP="00652A57">
      <w:r w:rsidRPr="0008132A">
        <w:t xml:space="preserve">The Review consulted with over 40 stakeholders in relation to the CLC’s performance. </w:t>
      </w:r>
    </w:p>
    <w:p w14:paraId="639579C7" w14:textId="77777777" w:rsidR="00652A57" w:rsidRPr="0008132A" w:rsidRDefault="00652A57" w:rsidP="00652A57">
      <w:r w:rsidRPr="0008132A">
        <w:t>Stakeholder groups included:</w:t>
      </w:r>
    </w:p>
    <w:p w14:paraId="786DAA6C" w14:textId="77777777" w:rsidR="00652A57" w:rsidRPr="0008132A" w:rsidRDefault="00652A57" w:rsidP="00652A57">
      <w:pPr>
        <w:pStyle w:val="Bullet"/>
        <w:numPr>
          <w:ilvl w:val="0"/>
          <w:numId w:val="35"/>
        </w:numPr>
        <w:spacing w:line="254" w:lineRule="auto"/>
      </w:pPr>
      <w:r w:rsidRPr="0008132A">
        <w:t>clients who have been represented by the CLC (including members of PBCs)</w:t>
      </w:r>
    </w:p>
    <w:p w14:paraId="222FD6FD" w14:textId="77777777" w:rsidR="00652A57" w:rsidRPr="0008132A" w:rsidRDefault="00652A57" w:rsidP="00652A57">
      <w:pPr>
        <w:pStyle w:val="Bullet"/>
        <w:numPr>
          <w:ilvl w:val="0"/>
          <w:numId w:val="35"/>
        </w:numPr>
        <w:spacing w:line="254" w:lineRule="auto"/>
      </w:pPr>
      <w:r w:rsidRPr="0008132A">
        <w:t>potential clients in the CLC’s RATSIB area/people who have engaged private legal representation to register a claim in the CLC’s RATSIB area</w:t>
      </w:r>
    </w:p>
    <w:p w14:paraId="2057752A" w14:textId="77777777" w:rsidR="00652A57" w:rsidRPr="0008132A" w:rsidRDefault="00652A57" w:rsidP="00652A57">
      <w:pPr>
        <w:pStyle w:val="Bullet"/>
        <w:numPr>
          <w:ilvl w:val="0"/>
          <w:numId w:val="35"/>
        </w:numPr>
        <w:spacing w:line="254" w:lineRule="auto"/>
      </w:pPr>
      <w:r w:rsidRPr="0008132A">
        <w:t>persons who have been refused assistance by the CLC</w:t>
      </w:r>
    </w:p>
    <w:p w14:paraId="56368A26" w14:textId="77777777" w:rsidR="00652A57" w:rsidRPr="0008132A" w:rsidRDefault="00652A57" w:rsidP="00652A57">
      <w:pPr>
        <w:pStyle w:val="Bullet"/>
        <w:numPr>
          <w:ilvl w:val="0"/>
          <w:numId w:val="35"/>
        </w:numPr>
        <w:spacing w:line="254" w:lineRule="auto"/>
      </w:pPr>
      <w:r w:rsidRPr="0008132A">
        <w:t>the Federal Court of Australia</w:t>
      </w:r>
    </w:p>
    <w:p w14:paraId="055EAEFF" w14:textId="77777777" w:rsidR="00652A57" w:rsidRPr="0008132A" w:rsidRDefault="00652A57" w:rsidP="00652A57">
      <w:pPr>
        <w:pStyle w:val="Bullet"/>
        <w:numPr>
          <w:ilvl w:val="0"/>
          <w:numId w:val="35"/>
        </w:numPr>
        <w:spacing w:line="254" w:lineRule="auto"/>
      </w:pPr>
      <w:r w:rsidRPr="0008132A">
        <w:t>the NNTT</w:t>
      </w:r>
    </w:p>
    <w:p w14:paraId="1C6C224A" w14:textId="77777777" w:rsidR="00652A57" w:rsidRPr="0008132A" w:rsidRDefault="00652A57" w:rsidP="00652A57">
      <w:pPr>
        <w:pStyle w:val="Bullet"/>
        <w:numPr>
          <w:ilvl w:val="0"/>
          <w:numId w:val="35"/>
        </w:numPr>
        <w:spacing w:line="254" w:lineRule="auto"/>
      </w:pPr>
      <w:r w:rsidRPr="0008132A">
        <w:t>representatives of QLD State Government</w:t>
      </w:r>
    </w:p>
    <w:p w14:paraId="7B6C2674" w14:textId="77777777" w:rsidR="00652A57" w:rsidRPr="0008132A" w:rsidRDefault="00652A57" w:rsidP="00652A57">
      <w:pPr>
        <w:pStyle w:val="Bullet"/>
        <w:numPr>
          <w:ilvl w:val="0"/>
          <w:numId w:val="35"/>
        </w:numPr>
        <w:spacing w:line="254" w:lineRule="auto"/>
      </w:pPr>
      <w:r w:rsidRPr="0008132A">
        <w:t>the CLC consultant anthropologists</w:t>
      </w:r>
    </w:p>
    <w:p w14:paraId="7F0C2B78" w14:textId="77777777" w:rsidR="00652A57" w:rsidRPr="0008132A" w:rsidRDefault="00652A57" w:rsidP="00652A57">
      <w:pPr>
        <w:pStyle w:val="Bullet"/>
        <w:numPr>
          <w:ilvl w:val="0"/>
          <w:numId w:val="35"/>
        </w:numPr>
        <w:spacing w:line="254" w:lineRule="auto"/>
      </w:pPr>
      <w:r w:rsidRPr="0008132A">
        <w:t>members of the Executive Committee (and therefor Council)</w:t>
      </w:r>
    </w:p>
    <w:p w14:paraId="10EC9A33" w14:textId="77777777" w:rsidR="00652A57" w:rsidRPr="0008132A" w:rsidRDefault="00652A57" w:rsidP="00652A57">
      <w:pPr>
        <w:pStyle w:val="Bullet"/>
        <w:numPr>
          <w:ilvl w:val="0"/>
          <w:numId w:val="35"/>
        </w:numPr>
        <w:spacing w:line="254" w:lineRule="auto"/>
      </w:pPr>
      <w:r w:rsidRPr="0008132A">
        <w:t xml:space="preserve">the CLC staff (including staff that no longer work for the CLC). </w:t>
      </w:r>
    </w:p>
    <w:p w14:paraId="332B861E" w14:textId="532F1F65" w:rsidR="00652A57" w:rsidRPr="0008132A" w:rsidRDefault="00652A57">
      <w:pPr>
        <w:spacing w:after="165" w:line="259" w:lineRule="auto"/>
        <w:rPr>
          <w:lang w:eastAsia="en-AU"/>
        </w:rPr>
      </w:pPr>
      <w:r w:rsidRPr="0008132A">
        <w:rPr>
          <w:lang w:eastAsia="en-AU"/>
        </w:rPr>
        <w:br w:type="page"/>
      </w:r>
    </w:p>
    <w:p w14:paraId="3EBF54D4" w14:textId="07CF2DED" w:rsidR="00652A57" w:rsidRPr="0008132A" w:rsidRDefault="00652A57" w:rsidP="007F3876">
      <w:pPr>
        <w:pStyle w:val="xAppendixLevel1"/>
      </w:pPr>
      <w:bookmarkStart w:id="103" w:name="_Ref64553189"/>
      <w:bookmarkStart w:id="104" w:name="_Toc68072669"/>
      <w:r w:rsidRPr="0008132A">
        <w:lastRenderedPageBreak/>
        <w:t>Methodology</w:t>
      </w:r>
      <w:bookmarkEnd w:id="103"/>
      <w:bookmarkEnd w:id="104"/>
    </w:p>
    <w:p w14:paraId="03049F6C" w14:textId="0D422CDA" w:rsidR="00652A57" w:rsidRPr="0008132A" w:rsidRDefault="00652A57" w:rsidP="00D42342">
      <w:pPr>
        <w:rPr>
          <w:lang w:eastAsia="en-AU"/>
        </w:rPr>
      </w:pPr>
      <w:r w:rsidRPr="0008132A">
        <w:rPr>
          <w:lang w:eastAsia="en-AU"/>
        </w:rPr>
        <w:t xml:space="preserve">Nous designed the methodology to assess NTRB-SP performance against the TORs. The method combines qualitative and quantitative performance to account for the unique context within with each NTRB-SP operates. Given the complexity of measuring performance across different NTRB-SPs, the approach involved six steps to ensure that assessment provided a fair and complete picture of current performance for each NTRB-SP: </w:t>
      </w:r>
    </w:p>
    <w:p w14:paraId="6364B31F" w14:textId="160AD8BE" w:rsidR="00652A57" w:rsidRPr="0008132A" w:rsidRDefault="00652A57" w:rsidP="00652A57">
      <w:pPr>
        <w:pStyle w:val="ListParagraph"/>
        <w:numPr>
          <w:ilvl w:val="0"/>
          <w:numId w:val="38"/>
        </w:numPr>
        <w:spacing w:line="360" w:lineRule="auto"/>
        <w:ind w:left="357" w:hanging="357"/>
        <w:rPr>
          <w:lang w:eastAsia="en-AU"/>
        </w:rPr>
      </w:pPr>
      <w:r w:rsidRPr="0008132A">
        <w:rPr>
          <w:lang w:eastAsia="en-AU"/>
        </w:rPr>
        <w:t>Develop performance and attribution indicators for each TOR</w:t>
      </w:r>
      <w:r w:rsidR="005A4C5D">
        <w:rPr>
          <w:lang w:eastAsia="en-AU"/>
        </w:rPr>
        <w:t>.</w:t>
      </w:r>
    </w:p>
    <w:p w14:paraId="293891A5" w14:textId="3929B968" w:rsidR="00652A57" w:rsidRPr="0008132A" w:rsidRDefault="00652A57" w:rsidP="00652A57">
      <w:pPr>
        <w:pStyle w:val="ListParagraph"/>
        <w:numPr>
          <w:ilvl w:val="0"/>
          <w:numId w:val="38"/>
        </w:numPr>
        <w:spacing w:line="360" w:lineRule="auto"/>
        <w:ind w:left="357" w:hanging="357"/>
        <w:rPr>
          <w:lang w:eastAsia="en-AU"/>
        </w:rPr>
      </w:pPr>
      <w:r w:rsidRPr="0008132A">
        <w:rPr>
          <w:lang w:eastAsia="en-AU"/>
        </w:rPr>
        <w:t>Collect data through desktop research and consultations</w:t>
      </w:r>
      <w:r w:rsidR="005A4C5D">
        <w:rPr>
          <w:lang w:eastAsia="en-AU"/>
        </w:rPr>
        <w:t>.</w:t>
      </w:r>
    </w:p>
    <w:p w14:paraId="7A382833" w14:textId="10BA9018" w:rsidR="00652A57" w:rsidRPr="0008132A" w:rsidRDefault="00652A57" w:rsidP="00652A57">
      <w:pPr>
        <w:pStyle w:val="ListParagraph"/>
        <w:numPr>
          <w:ilvl w:val="0"/>
          <w:numId w:val="38"/>
        </w:numPr>
        <w:spacing w:line="360" w:lineRule="auto"/>
        <w:ind w:left="357" w:hanging="357"/>
        <w:rPr>
          <w:lang w:eastAsia="en-AU"/>
        </w:rPr>
      </w:pPr>
      <w:r w:rsidRPr="0008132A">
        <w:rPr>
          <w:lang w:eastAsia="en-AU"/>
        </w:rPr>
        <w:t>Assess efficiency and effectiveness against each TOR</w:t>
      </w:r>
      <w:r w:rsidR="005A4C5D">
        <w:rPr>
          <w:lang w:eastAsia="en-AU"/>
        </w:rPr>
        <w:t>.</w:t>
      </w:r>
    </w:p>
    <w:p w14:paraId="576B34BF" w14:textId="60369CDE" w:rsidR="00652A57" w:rsidRPr="0008132A" w:rsidRDefault="00652A57" w:rsidP="00652A57">
      <w:pPr>
        <w:pStyle w:val="ListParagraph"/>
        <w:numPr>
          <w:ilvl w:val="0"/>
          <w:numId w:val="38"/>
        </w:numPr>
        <w:spacing w:line="360" w:lineRule="auto"/>
        <w:ind w:left="357" w:hanging="357"/>
        <w:rPr>
          <w:lang w:eastAsia="en-AU"/>
        </w:rPr>
      </w:pPr>
      <w:r w:rsidRPr="0008132A">
        <w:rPr>
          <w:lang w:eastAsia="en-AU"/>
        </w:rPr>
        <w:t>Develop individual NTRB-SP Performance Assessment Reports</w:t>
      </w:r>
      <w:r w:rsidR="005A4C5D">
        <w:rPr>
          <w:lang w:eastAsia="en-AU"/>
        </w:rPr>
        <w:t>.</w:t>
      </w:r>
    </w:p>
    <w:p w14:paraId="46D365EB" w14:textId="2A2CDAAC" w:rsidR="00652A57" w:rsidRPr="0008132A" w:rsidRDefault="00652A57" w:rsidP="00652A57">
      <w:pPr>
        <w:pStyle w:val="ListParagraph"/>
        <w:numPr>
          <w:ilvl w:val="0"/>
          <w:numId w:val="38"/>
        </w:numPr>
        <w:spacing w:line="360" w:lineRule="auto"/>
        <w:ind w:left="357" w:hanging="357"/>
        <w:rPr>
          <w:lang w:eastAsia="en-AU"/>
        </w:rPr>
      </w:pPr>
      <w:r w:rsidRPr="0008132A">
        <w:rPr>
          <w:lang w:eastAsia="en-AU"/>
        </w:rPr>
        <w:t>Review NTRB-SP feedback on Performance Assessment Report</w:t>
      </w:r>
      <w:r w:rsidR="005A4C5D">
        <w:rPr>
          <w:lang w:eastAsia="en-AU"/>
        </w:rPr>
        <w:t>.</w:t>
      </w:r>
    </w:p>
    <w:p w14:paraId="36F9BCBE" w14:textId="15CDD327" w:rsidR="00652A57" w:rsidRPr="0008132A" w:rsidRDefault="00652A57" w:rsidP="00652A57">
      <w:pPr>
        <w:pStyle w:val="ListParagraph"/>
        <w:numPr>
          <w:ilvl w:val="0"/>
          <w:numId w:val="38"/>
        </w:numPr>
        <w:ind w:left="357" w:hanging="357"/>
        <w:rPr>
          <w:lang w:eastAsia="en-AU"/>
        </w:rPr>
      </w:pPr>
      <w:r w:rsidRPr="0008132A">
        <w:rPr>
          <w:lang w:eastAsia="en-AU"/>
        </w:rPr>
        <w:t>Create NTRB-SP Comparative Performance Report</w:t>
      </w:r>
      <w:r w:rsidR="005A4C5D">
        <w:rPr>
          <w:lang w:eastAsia="en-AU"/>
        </w:rPr>
        <w:t>.</w:t>
      </w:r>
    </w:p>
    <w:p w14:paraId="25CA8CBB" w14:textId="5558577E" w:rsidR="00652A57" w:rsidRPr="0008132A" w:rsidRDefault="00652A57" w:rsidP="005A4C5D">
      <w:pPr>
        <w:rPr>
          <w:lang w:eastAsia="en-AU"/>
        </w:rPr>
      </w:pPr>
      <w:r w:rsidRPr="0008132A">
        <w:rPr>
          <w:lang w:eastAsia="en-AU"/>
        </w:rPr>
        <w:t xml:space="preserve">Qualitative and quantitative performance indicators and attribution factors were developed to assess each TOR. Quantitative indicators were integrated into the qualitative examination of performance to ensure the correct inferences were drawn from quantitative metrics. The quantitative performance indicators and attribution factors were selected from a draft list of more than 120 performance and attribution indicators on the basis that they provide good coverage of quantitative indicators for each TOR category. The qualitative performance indicators and attribution factors guided the qualitative data collection. While some qualitative indicators that were selected are capable of being quantified, they cannot be quantified in a meaningful way for comparative performance purposes. For example, while </w:t>
      </w:r>
      <w:r w:rsidR="004C2E07" w:rsidRPr="0008132A">
        <w:rPr>
          <w:lang w:eastAsia="en-AU"/>
        </w:rPr>
        <w:t>ILUAs</w:t>
      </w:r>
      <w:r w:rsidRPr="0008132A">
        <w:rPr>
          <w:lang w:eastAsia="en-AU"/>
        </w:rPr>
        <w:t xml:space="preserve"> can be an effective tool in delivering native title outcomes there are circumstances in which they may not be the best tool. Complaints received by the NIAA and/or each NTRB-SP formed one part of the material considered in the review where it concerned: NTRB-SP activity since 2014, the efficiency and effectiveness with which the NTRB-SP has conducted its business, or the transparency and respectfulness of the relationships the NTRB-SP maintained with its clients, potential clients or persons refused assistance. Both the relevant elements of the complaint, and the way in which the NTRB-SP responded</w:t>
      </w:r>
      <w:r w:rsidR="00C951E7">
        <w:rPr>
          <w:lang w:eastAsia="en-AU"/>
        </w:rPr>
        <w:t>,</w:t>
      </w:r>
      <w:r w:rsidRPr="0008132A">
        <w:rPr>
          <w:lang w:eastAsia="en-AU"/>
        </w:rPr>
        <w:t xml:space="preserve"> were considered.</w:t>
      </w:r>
    </w:p>
    <w:p w14:paraId="6685B540" w14:textId="77777777" w:rsidR="00652A57" w:rsidRPr="0008132A" w:rsidRDefault="00652A57" w:rsidP="005A4C5D">
      <w:pPr>
        <w:rPr>
          <w:lang w:eastAsia="en-AU"/>
        </w:rPr>
      </w:pPr>
      <w:r w:rsidRPr="0008132A">
        <w:rPr>
          <w:lang w:eastAsia="en-AU"/>
        </w:rPr>
        <w:t xml:space="preserve">The data and information underpinning the assessment of each NTRB-SPs’ performance was sourced through five channels; desktop research, preliminary discussions with the NTRB-SPs, two rounds of stakeholder interviews and a qualitative survey. These provided an opportunity for stakeholders to contribute to the development process at different points; with the intention being to generate buy-in and encourage the development of indicators which were applicable and meaningful across the contexts of different NTRB-SPs. </w:t>
      </w:r>
    </w:p>
    <w:p w14:paraId="328757DB" w14:textId="77777777" w:rsidR="00652A57" w:rsidRPr="0008132A" w:rsidRDefault="00652A57" w:rsidP="00652A57">
      <w:pPr>
        <w:rPr>
          <w:lang w:eastAsia="en-AU"/>
        </w:rPr>
      </w:pPr>
      <w:r w:rsidRPr="0008132A">
        <w:rPr>
          <w:lang w:eastAsia="en-AU"/>
        </w:rPr>
        <w:t xml:space="preserve">The output from the process included individual NTRB-SP Performance Assessment Reports (‘Assessment Reports’) along with a separate NTRB-SP Comparative Performance Report (‘Comparative Report’). The Assessment Reports provided a standardised framework to understand the context and performance of each NTRB-SP; the Comparative Report brings together the findings of each Assessment Report by TOR and discusses the key drivers of performance. </w:t>
      </w:r>
    </w:p>
    <w:p w14:paraId="51D452B6" w14:textId="1933B3F9" w:rsidR="00652A57" w:rsidRPr="0008132A" w:rsidRDefault="00652A57" w:rsidP="007F3876">
      <w:pPr>
        <w:pStyle w:val="xAppendixLevel1"/>
      </w:pPr>
      <w:bookmarkStart w:id="105" w:name="_Toc68072670"/>
      <w:r w:rsidRPr="0008132A">
        <w:lastRenderedPageBreak/>
        <w:t>Glossary</w:t>
      </w:r>
      <w:bookmarkEnd w:id="105"/>
    </w:p>
    <w:p w14:paraId="0DD59691" w14:textId="6ABD796D" w:rsidR="00A335C0" w:rsidRPr="0008132A" w:rsidRDefault="00A335C0" w:rsidP="00A335C0">
      <w:pPr>
        <w:pStyle w:val="Caption"/>
      </w:pPr>
      <w:r w:rsidRPr="0008132A">
        <w:t xml:space="preserve">Table </w:t>
      </w:r>
      <w:r w:rsidRPr="0008132A">
        <w:fldChar w:fldCharType="begin"/>
      </w:r>
      <w:r w:rsidRPr="0008132A">
        <w:instrText xml:space="preserve"> SEQ Table \* ARABIC </w:instrText>
      </w:r>
      <w:r w:rsidRPr="0008132A">
        <w:fldChar w:fldCharType="separate"/>
      </w:r>
      <w:r w:rsidR="000D664D">
        <w:rPr>
          <w:noProof/>
        </w:rPr>
        <w:t>2</w:t>
      </w:r>
      <w:r w:rsidRPr="0008132A">
        <w:fldChar w:fldCharType="end"/>
      </w:r>
      <w:r w:rsidRPr="0008132A">
        <w:t xml:space="preserve"> | Glossary</w:t>
      </w:r>
    </w:p>
    <w:tbl>
      <w:tblPr>
        <w:tblStyle w:val="NOUSSideHeader2"/>
        <w:tblW w:w="0" w:type="auto"/>
        <w:tblInd w:w="0" w:type="dxa"/>
        <w:tblLook w:val="04A0" w:firstRow="1" w:lastRow="0" w:firstColumn="1" w:lastColumn="0" w:noHBand="0" w:noVBand="1"/>
      </w:tblPr>
      <w:tblGrid>
        <w:gridCol w:w="1701"/>
        <w:gridCol w:w="7229"/>
      </w:tblGrid>
      <w:tr w:rsidR="00C700AA" w:rsidRPr="0008132A" w14:paraId="37F4C584" w14:textId="77777777" w:rsidTr="003046D5">
        <w:trPr>
          <w:cnfStyle w:val="100000000000" w:firstRow="1" w:lastRow="0" w:firstColumn="0" w:lastColumn="0" w:oddVBand="0" w:evenVBand="0" w:oddHBand="0" w:evenHBand="0" w:firstRowFirstColumn="0" w:firstRowLastColumn="0" w:lastRowFirstColumn="0" w:lastRowLastColumn="0"/>
          <w:trHeight w:val="431"/>
          <w:tblHeader/>
        </w:trPr>
        <w:tc>
          <w:tcPr>
            <w:tcW w:w="1701" w:type="dxa"/>
            <w:hideMark/>
          </w:tcPr>
          <w:p w14:paraId="661D6CAD" w14:textId="77777777" w:rsidR="00C700AA" w:rsidRPr="0008132A" w:rsidRDefault="00C700AA" w:rsidP="00CC4CE9">
            <w:pPr>
              <w:pStyle w:val="TableNheader"/>
            </w:pPr>
            <w:r w:rsidRPr="0008132A">
              <w:t>Term</w:t>
            </w:r>
          </w:p>
        </w:tc>
        <w:tc>
          <w:tcPr>
            <w:tcW w:w="7229" w:type="dxa"/>
            <w:hideMark/>
          </w:tcPr>
          <w:p w14:paraId="11DF20AA" w14:textId="77777777" w:rsidR="00C700AA" w:rsidRPr="0008132A" w:rsidRDefault="00C700AA" w:rsidP="00CC4CE9">
            <w:pPr>
              <w:pStyle w:val="TableNheader"/>
            </w:pPr>
            <w:r w:rsidRPr="0008132A">
              <w:t>Meaning</w:t>
            </w:r>
          </w:p>
        </w:tc>
      </w:tr>
      <w:tr w:rsidR="00C700AA" w:rsidRPr="0008132A" w14:paraId="530BD8E3" w14:textId="77777777" w:rsidTr="00A335C0">
        <w:trPr>
          <w:cnfStyle w:val="000000100000" w:firstRow="0" w:lastRow="0" w:firstColumn="0" w:lastColumn="0" w:oddVBand="0" w:evenVBand="0" w:oddHBand="1" w:evenHBand="0" w:firstRowFirstColumn="0" w:firstRowLastColumn="0" w:lastRowFirstColumn="0" w:lastRowLastColumn="0"/>
        </w:trPr>
        <w:tc>
          <w:tcPr>
            <w:tcW w:w="1701" w:type="dxa"/>
            <w:hideMark/>
          </w:tcPr>
          <w:p w14:paraId="444A35CA" w14:textId="3DBB3F49" w:rsidR="00C700AA" w:rsidRPr="0008132A" w:rsidRDefault="00C700AA" w:rsidP="00CC4CE9">
            <w:pPr>
              <w:pStyle w:val="TableNText"/>
              <w:rPr>
                <w:lang w:eastAsia="en-AU"/>
              </w:rPr>
            </w:pPr>
            <w:r w:rsidRPr="00CC4CE9">
              <w:rPr>
                <w:i/>
                <w:iCs/>
                <w:lang w:eastAsia="en-AU"/>
              </w:rPr>
              <w:t>Aboriginal Land Rights (Northern Territory) Act 1976</w:t>
            </w:r>
            <w:r w:rsidRPr="0008132A">
              <w:rPr>
                <w:lang w:eastAsia="en-AU"/>
              </w:rPr>
              <w:t xml:space="preserve"> (</w:t>
            </w:r>
            <w:r w:rsidR="00612281" w:rsidRPr="0008132A">
              <w:rPr>
                <w:iCs/>
                <w:lang w:eastAsia="en-AU"/>
              </w:rPr>
              <w:t>ALRA</w:t>
            </w:r>
            <w:r w:rsidRPr="0008132A">
              <w:rPr>
                <w:lang w:eastAsia="en-AU"/>
              </w:rPr>
              <w:t>)</w:t>
            </w:r>
          </w:p>
        </w:tc>
        <w:tc>
          <w:tcPr>
            <w:tcW w:w="7229" w:type="dxa"/>
            <w:hideMark/>
          </w:tcPr>
          <w:p w14:paraId="6DFE623E" w14:textId="76F88534" w:rsidR="00C700AA" w:rsidRPr="0008132A" w:rsidRDefault="00C700AA" w:rsidP="00CC4CE9">
            <w:pPr>
              <w:pStyle w:val="TableNText"/>
              <w:rPr>
                <w:color w:val="000000"/>
              </w:rPr>
            </w:pPr>
            <w:r w:rsidRPr="0008132A">
              <w:rPr>
                <w:color w:val="000000"/>
              </w:rPr>
              <w:t xml:space="preserve">This act legally recognises the Aboriginal system of land ownership and put into law the concept of inalienable freehold title. The </w:t>
            </w:r>
            <w:r w:rsidR="00CC4CE9" w:rsidRPr="00CC4CE9">
              <w:rPr>
                <w:i/>
                <w:iCs/>
                <w:lang w:eastAsia="en-AU"/>
              </w:rPr>
              <w:t>Aboriginal Land Rights (Northern Territory) Act 1976</w:t>
            </w:r>
            <w:r w:rsidR="00CC4CE9" w:rsidRPr="0008132A">
              <w:rPr>
                <w:lang w:eastAsia="en-AU"/>
              </w:rPr>
              <w:t xml:space="preserve"> </w:t>
            </w:r>
            <w:r w:rsidRPr="0008132A">
              <w:rPr>
                <w:color w:val="000000"/>
              </w:rPr>
              <w:t xml:space="preserve">only has jurisdiction in the Northern Territory, and as such, co-exists with the </w:t>
            </w:r>
            <w:r w:rsidR="00CC4CE9" w:rsidRPr="00CC4CE9">
              <w:rPr>
                <w:i/>
                <w:iCs/>
                <w:lang w:eastAsia="en-AU"/>
              </w:rPr>
              <w:t>Native Title Act 1993 (Cth)</w:t>
            </w:r>
            <w:r w:rsidRPr="0008132A">
              <w:rPr>
                <w:color w:val="000000"/>
              </w:rPr>
              <w:t xml:space="preserve">. </w:t>
            </w:r>
          </w:p>
        </w:tc>
      </w:tr>
      <w:tr w:rsidR="00C700AA" w:rsidRPr="0008132A" w14:paraId="6294ED16" w14:textId="77777777" w:rsidTr="00A335C0">
        <w:trPr>
          <w:cnfStyle w:val="000000010000" w:firstRow="0" w:lastRow="0" w:firstColumn="0" w:lastColumn="0" w:oddVBand="0" w:evenVBand="0" w:oddHBand="0" w:evenHBand="1" w:firstRowFirstColumn="0" w:firstRowLastColumn="0" w:lastRowFirstColumn="0" w:lastRowLastColumn="0"/>
        </w:trPr>
        <w:tc>
          <w:tcPr>
            <w:tcW w:w="1701" w:type="dxa"/>
            <w:hideMark/>
          </w:tcPr>
          <w:p w14:paraId="088C59C1" w14:textId="77777777" w:rsidR="00C700AA" w:rsidRPr="0008132A" w:rsidRDefault="00C700AA" w:rsidP="00CC4CE9">
            <w:pPr>
              <w:pStyle w:val="TableNText"/>
              <w:rPr>
                <w:lang w:eastAsia="en-AU"/>
              </w:rPr>
            </w:pPr>
            <w:r w:rsidRPr="0008132A">
              <w:rPr>
                <w:lang w:eastAsia="en-AU"/>
              </w:rPr>
              <w:t>Any purpose rights</w:t>
            </w:r>
          </w:p>
        </w:tc>
        <w:tc>
          <w:tcPr>
            <w:tcW w:w="7229" w:type="dxa"/>
            <w:hideMark/>
          </w:tcPr>
          <w:p w14:paraId="0B5BFA10" w14:textId="77777777" w:rsidR="00C700AA" w:rsidRPr="0008132A" w:rsidRDefault="00C700AA" w:rsidP="00CC4CE9">
            <w:pPr>
              <w:pStyle w:val="TableNText"/>
              <w:rPr>
                <w:lang w:eastAsia="en-AU"/>
              </w:rPr>
            </w:pPr>
            <w:r w:rsidRPr="0008132A">
              <w:t xml:space="preserve">Any purpose rights provide native title holders with the right to take resources from the land for ‘any purpose’, including for example commercial purposes. </w:t>
            </w:r>
            <w:r w:rsidRPr="0008132A">
              <w:rPr>
                <w:lang w:eastAsia="en-AU"/>
              </w:rPr>
              <w:t xml:space="preserve">This follows the precedent set in </w:t>
            </w:r>
            <w:r w:rsidRPr="0008132A">
              <w:rPr>
                <w:iCs/>
                <w:lang w:eastAsia="en-AU"/>
              </w:rPr>
              <w:t>Rrumburriya Borroloola Claim Group v Northern Territory of Australia (No 2)</w:t>
            </w:r>
            <w:r w:rsidRPr="0008132A">
              <w:rPr>
                <w:lang w:eastAsia="en-AU"/>
              </w:rPr>
              <w:t xml:space="preserve"> where the Federal Court has held that the exclusive native title rights and interests of the Rrumburriya People over land and waters in the Northern Territory town of Borroloola include the right to take and use resources for any purpose. </w:t>
            </w:r>
          </w:p>
        </w:tc>
      </w:tr>
      <w:tr w:rsidR="00C700AA" w:rsidRPr="0008132A" w14:paraId="500D28E9" w14:textId="77777777" w:rsidTr="00A335C0">
        <w:trPr>
          <w:cnfStyle w:val="000000100000" w:firstRow="0" w:lastRow="0" w:firstColumn="0" w:lastColumn="0" w:oddVBand="0" w:evenVBand="0" w:oddHBand="1" w:evenHBand="0" w:firstRowFirstColumn="0" w:firstRowLastColumn="0" w:lastRowFirstColumn="0" w:lastRowLastColumn="0"/>
        </w:trPr>
        <w:tc>
          <w:tcPr>
            <w:tcW w:w="1701" w:type="dxa"/>
            <w:hideMark/>
          </w:tcPr>
          <w:p w14:paraId="06584474" w14:textId="77777777" w:rsidR="00C700AA" w:rsidRPr="0008132A" w:rsidRDefault="00C700AA" w:rsidP="00CC4CE9">
            <w:pPr>
              <w:pStyle w:val="TableNText"/>
              <w:rPr>
                <w:lang w:eastAsia="en-AU"/>
              </w:rPr>
            </w:pPr>
            <w:r w:rsidRPr="0008132A">
              <w:rPr>
                <w:lang w:eastAsia="en-AU"/>
              </w:rPr>
              <w:t>Applicant</w:t>
            </w:r>
          </w:p>
        </w:tc>
        <w:tc>
          <w:tcPr>
            <w:tcW w:w="7229" w:type="dxa"/>
            <w:hideMark/>
          </w:tcPr>
          <w:p w14:paraId="0346D95B" w14:textId="77777777" w:rsidR="00C700AA" w:rsidRPr="0008132A" w:rsidRDefault="00C700AA" w:rsidP="00CC4CE9">
            <w:pPr>
              <w:pStyle w:val="TableNText"/>
              <w:rPr>
                <w:color w:val="000000"/>
              </w:rPr>
            </w:pPr>
            <w:r w:rsidRPr="0008132A">
              <w:t>Any person or persons who have been authorised as the selected representative(s) of a native title claim group in native title or determination proceedings.</w:t>
            </w:r>
          </w:p>
        </w:tc>
      </w:tr>
      <w:tr w:rsidR="00DE1B45" w:rsidRPr="0008132A" w14:paraId="74D937C6" w14:textId="77777777" w:rsidTr="00A335C0">
        <w:trPr>
          <w:cnfStyle w:val="000000010000" w:firstRow="0" w:lastRow="0" w:firstColumn="0" w:lastColumn="0" w:oddVBand="0" w:evenVBand="0" w:oddHBand="0" w:evenHBand="1" w:firstRowFirstColumn="0" w:firstRowLastColumn="0" w:lastRowFirstColumn="0" w:lastRowLastColumn="0"/>
        </w:trPr>
        <w:tc>
          <w:tcPr>
            <w:tcW w:w="1701" w:type="dxa"/>
          </w:tcPr>
          <w:p w14:paraId="39A917D8" w14:textId="051207D0" w:rsidR="00DE1B45" w:rsidRPr="0008132A" w:rsidRDefault="00DE1B45" w:rsidP="00CC4CE9">
            <w:pPr>
              <w:pStyle w:val="TableNText"/>
              <w:rPr>
                <w:lang w:eastAsia="en-AU"/>
              </w:rPr>
            </w:pPr>
            <w:r>
              <w:t>Central</w:t>
            </w:r>
            <w:r w:rsidRPr="00DF017D">
              <w:t xml:space="preserve"> Land Council (</w:t>
            </w:r>
            <w:r>
              <w:t>C</w:t>
            </w:r>
            <w:r w:rsidRPr="00DF017D">
              <w:t>LC)</w:t>
            </w:r>
          </w:p>
        </w:tc>
        <w:tc>
          <w:tcPr>
            <w:tcW w:w="7229" w:type="dxa"/>
          </w:tcPr>
          <w:p w14:paraId="27048E70" w14:textId="418C69C0" w:rsidR="00DE1B45" w:rsidRPr="0008132A" w:rsidRDefault="00153E15" w:rsidP="00CC4CE9">
            <w:pPr>
              <w:pStyle w:val="TableNText"/>
            </w:pPr>
            <w:r w:rsidRPr="00153E15">
              <w:t xml:space="preserve">The CLC is a statutory authority established under the </w:t>
            </w:r>
            <w:r w:rsidRPr="00153E15">
              <w:rPr>
                <w:i/>
                <w:iCs/>
              </w:rPr>
              <w:t>Aboriginal Land Rights (Northern Territory) Act 1976</w:t>
            </w:r>
            <w:r w:rsidRPr="00153E15">
              <w:t xml:space="preserve">. It is a Commonwealth Corporate Entity operating under the </w:t>
            </w:r>
            <w:r w:rsidRPr="00153E15">
              <w:rPr>
                <w:i/>
                <w:iCs/>
              </w:rPr>
              <w:t>Public Governance, Performance and Accountability Act 2013 (Cth)</w:t>
            </w:r>
            <w:r w:rsidRPr="00153E15">
              <w:t xml:space="preserve"> and operates as a </w:t>
            </w:r>
            <w:r w:rsidRPr="00153E15">
              <w:rPr>
                <w:i/>
                <w:iCs/>
              </w:rPr>
              <w:t>Native Title Representative Body</w:t>
            </w:r>
            <w:r w:rsidRPr="00153E15">
              <w:t xml:space="preserve"> under the </w:t>
            </w:r>
            <w:r w:rsidRPr="00CC4CE9">
              <w:rPr>
                <w:i/>
                <w:iCs/>
                <w:lang w:eastAsia="en-AU"/>
              </w:rPr>
              <w:t>Native Title Act 1993 (Cth)</w:t>
            </w:r>
            <w:r w:rsidRPr="00153E15">
              <w:t>, providing services to the Southern Northern Territory region.</w:t>
            </w:r>
          </w:p>
        </w:tc>
      </w:tr>
      <w:tr w:rsidR="00C700AA" w:rsidRPr="0008132A" w14:paraId="0E609E7B" w14:textId="77777777" w:rsidTr="00A335C0">
        <w:trPr>
          <w:cnfStyle w:val="000000100000" w:firstRow="0" w:lastRow="0" w:firstColumn="0" w:lastColumn="0" w:oddVBand="0" w:evenVBand="0" w:oddHBand="1" w:evenHBand="0" w:firstRowFirstColumn="0" w:firstRowLastColumn="0" w:lastRowFirstColumn="0" w:lastRowLastColumn="0"/>
        </w:trPr>
        <w:tc>
          <w:tcPr>
            <w:tcW w:w="1701" w:type="dxa"/>
            <w:hideMark/>
          </w:tcPr>
          <w:p w14:paraId="23E75CF9" w14:textId="77777777" w:rsidR="00C700AA" w:rsidRPr="0008132A" w:rsidRDefault="00C700AA" w:rsidP="00CC4CE9">
            <w:pPr>
              <w:pStyle w:val="TableNText"/>
              <w:rPr>
                <w:lang w:eastAsia="en-AU"/>
              </w:rPr>
            </w:pPr>
            <w:r w:rsidRPr="0008132A">
              <w:rPr>
                <w:lang w:eastAsia="en-AU"/>
              </w:rPr>
              <w:t>Client</w:t>
            </w:r>
          </w:p>
        </w:tc>
        <w:tc>
          <w:tcPr>
            <w:tcW w:w="7229" w:type="dxa"/>
            <w:hideMark/>
          </w:tcPr>
          <w:p w14:paraId="7DE67D44" w14:textId="7C05D268" w:rsidR="00C700AA" w:rsidRPr="0008132A" w:rsidRDefault="00C700AA" w:rsidP="00CC4CE9">
            <w:pPr>
              <w:pStyle w:val="TableNText"/>
              <w:rPr>
                <w:color w:val="000000"/>
              </w:rPr>
            </w:pPr>
            <w:r w:rsidRPr="0008132A">
              <w:t>Any individual o</w:t>
            </w:r>
            <w:r w:rsidRPr="0008132A">
              <w:rPr>
                <w:color w:val="000000"/>
              </w:rPr>
              <w:t xml:space="preserve">r group being provided assistance by a </w:t>
            </w:r>
            <w:r w:rsidR="004C5F80" w:rsidRPr="0008132A">
              <w:rPr>
                <w:lang w:eastAsia="en-AU"/>
              </w:rPr>
              <w:t xml:space="preserve">Native Title </w:t>
            </w:r>
            <w:r w:rsidR="00E35F0E" w:rsidRPr="0008132A">
              <w:rPr>
                <w:lang w:eastAsia="en-AU"/>
              </w:rPr>
              <w:t>Representative Bod</w:t>
            </w:r>
            <w:r w:rsidR="00E35F0E">
              <w:rPr>
                <w:lang w:eastAsia="en-AU"/>
              </w:rPr>
              <w:t>y</w:t>
            </w:r>
            <w:r w:rsidR="00E35F0E" w:rsidRPr="0008132A">
              <w:rPr>
                <w:color w:val="000000"/>
              </w:rPr>
              <w:t xml:space="preserve"> </w:t>
            </w:r>
            <w:r w:rsidR="004C5F80" w:rsidRPr="0008132A">
              <w:rPr>
                <w:lang w:eastAsia="en-AU"/>
              </w:rPr>
              <w:t xml:space="preserve">and </w:t>
            </w:r>
            <w:r w:rsidR="00E35F0E">
              <w:rPr>
                <w:lang w:eastAsia="en-AU"/>
              </w:rPr>
              <w:t xml:space="preserve">Service Provider </w:t>
            </w:r>
            <w:r w:rsidRPr="0008132A">
              <w:rPr>
                <w:color w:val="000000"/>
              </w:rPr>
              <w:t>(including assistance with claims, research and/or PBC support).</w:t>
            </w:r>
          </w:p>
        </w:tc>
      </w:tr>
      <w:tr w:rsidR="00C700AA" w:rsidRPr="0008132A" w14:paraId="19B49981" w14:textId="77777777" w:rsidTr="00A335C0">
        <w:trPr>
          <w:cnfStyle w:val="000000010000" w:firstRow="0" w:lastRow="0" w:firstColumn="0" w:lastColumn="0" w:oddVBand="0" w:evenVBand="0" w:oddHBand="0" w:evenHBand="1" w:firstRowFirstColumn="0" w:firstRowLastColumn="0" w:lastRowFirstColumn="0" w:lastRowLastColumn="0"/>
        </w:trPr>
        <w:tc>
          <w:tcPr>
            <w:tcW w:w="1701" w:type="dxa"/>
            <w:hideMark/>
          </w:tcPr>
          <w:p w14:paraId="2BAC8311" w14:textId="77777777" w:rsidR="00C700AA" w:rsidRPr="0008132A" w:rsidRDefault="00C700AA" w:rsidP="00CC4CE9">
            <w:pPr>
              <w:pStyle w:val="TableNText"/>
              <w:rPr>
                <w:lang w:eastAsia="en-AU"/>
              </w:rPr>
            </w:pPr>
            <w:r w:rsidRPr="0008132A">
              <w:rPr>
                <w:lang w:eastAsia="en-AU"/>
              </w:rPr>
              <w:t>Connection evidence</w:t>
            </w:r>
          </w:p>
        </w:tc>
        <w:tc>
          <w:tcPr>
            <w:tcW w:w="7229" w:type="dxa"/>
            <w:hideMark/>
          </w:tcPr>
          <w:p w14:paraId="142CE75D" w14:textId="77777777" w:rsidR="00C700AA" w:rsidRPr="0008132A" w:rsidRDefault="00C700AA" w:rsidP="00CC4CE9">
            <w:pPr>
              <w:pStyle w:val="TableNText"/>
              <w:rPr>
                <w:color w:val="000000"/>
              </w:rPr>
            </w:pPr>
            <w:r w:rsidRPr="0008132A">
              <w:t xml:space="preserve">Evidence to establish connection of the native title group to the area over which they have lodged a claim. This evidence </w:t>
            </w:r>
            <w:r w:rsidRPr="0008132A">
              <w:rPr>
                <w:color w:val="000000"/>
              </w:rPr>
              <w:t>must demonstrate that the group have continued to observe and acknowledge, in a substantially uninterrupted way, the traditional laws and customs that give rise to their connection with the claim area, from the time of the proclamation of sovereignty to the present day.</w:t>
            </w:r>
          </w:p>
        </w:tc>
      </w:tr>
      <w:tr w:rsidR="00C700AA" w:rsidRPr="0008132A" w14:paraId="39C85953" w14:textId="77777777" w:rsidTr="00A335C0">
        <w:trPr>
          <w:cnfStyle w:val="000000100000" w:firstRow="0" w:lastRow="0" w:firstColumn="0" w:lastColumn="0" w:oddVBand="0" w:evenVBand="0" w:oddHBand="1" w:evenHBand="0" w:firstRowFirstColumn="0" w:firstRowLastColumn="0" w:lastRowFirstColumn="0" w:lastRowLastColumn="0"/>
        </w:trPr>
        <w:tc>
          <w:tcPr>
            <w:tcW w:w="1701" w:type="dxa"/>
            <w:hideMark/>
          </w:tcPr>
          <w:p w14:paraId="40719E9D" w14:textId="77777777" w:rsidR="00C700AA" w:rsidRPr="0008132A" w:rsidRDefault="00C700AA" w:rsidP="00CC4CE9">
            <w:pPr>
              <w:pStyle w:val="TableNText"/>
              <w:rPr>
                <w:lang w:eastAsia="en-AU"/>
              </w:rPr>
            </w:pPr>
            <w:r w:rsidRPr="00CC4CE9">
              <w:rPr>
                <w:i/>
                <w:iCs/>
                <w:lang w:eastAsia="en-AU"/>
              </w:rPr>
              <w:t>Corporations (Aboriginal and Torres Strait Islander) Act 2006 (Cth)</w:t>
            </w:r>
            <w:r w:rsidRPr="0008132A">
              <w:rPr>
                <w:lang w:eastAsia="en-AU"/>
              </w:rPr>
              <w:t xml:space="preserve"> (the CATSI Act)</w:t>
            </w:r>
          </w:p>
        </w:tc>
        <w:tc>
          <w:tcPr>
            <w:tcW w:w="7229" w:type="dxa"/>
            <w:hideMark/>
          </w:tcPr>
          <w:p w14:paraId="61DEC214" w14:textId="65D04759" w:rsidR="00C700AA" w:rsidRPr="0008132A" w:rsidRDefault="00C700AA" w:rsidP="00CC4CE9">
            <w:pPr>
              <w:pStyle w:val="TableNText"/>
              <w:rPr>
                <w:color w:val="000000"/>
              </w:rPr>
            </w:pPr>
            <w:r w:rsidRPr="0008132A">
              <w:t xml:space="preserve">The </w:t>
            </w:r>
            <w:r w:rsidR="00E35F0E" w:rsidRPr="00CC4CE9">
              <w:rPr>
                <w:i/>
                <w:iCs/>
                <w:lang w:eastAsia="en-AU"/>
              </w:rPr>
              <w:t>Corporations (Aboriginal and Torres Strait Islander) Act 2006 (Cth)</w:t>
            </w:r>
            <w:r w:rsidR="00E35F0E" w:rsidRPr="0008132A">
              <w:rPr>
                <w:lang w:eastAsia="en-AU"/>
              </w:rPr>
              <w:t xml:space="preserve"> </w:t>
            </w:r>
            <w:r w:rsidRPr="0008132A">
              <w:rPr>
                <w:color w:val="000000"/>
              </w:rPr>
              <w:t>is the law that establishes the role of the Registrar of Indigenous Corporations and enables Aboriginal and Torres Strait Islander groups to form Aboriginal and Torres Strait Islander corporations.</w:t>
            </w:r>
            <w:r w:rsidR="00E35F0E">
              <w:rPr>
                <w:color w:val="000000"/>
              </w:rPr>
              <w:t xml:space="preserve"> </w:t>
            </w:r>
          </w:p>
        </w:tc>
      </w:tr>
      <w:tr w:rsidR="00C700AA" w:rsidRPr="0008132A" w14:paraId="4D02F3F5" w14:textId="77777777" w:rsidTr="00A335C0">
        <w:trPr>
          <w:cnfStyle w:val="000000010000" w:firstRow="0" w:lastRow="0" w:firstColumn="0" w:lastColumn="0" w:oddVBand="0" w:evenVBand="0" w:oddHBand="0" w:evenHBand="1" w:firstRowFirstColumn="0" w:firstRowLastColumn="0" w:lastRowFirstColumn="0" w:lastRowLastColumn="0"/>
        </w:trPr>
        <w:tc>
          <w:tcPr>
            <w:tcW w:w="1701" w:type="dxa"/>
            <w:hideMark/>
          </w:tcPr>
          <w:p w14:paraId="561799BF" w14:textId="77777777" w:rsidR="00C700AA" w:rsidRPr="0008132A" w:rsidRDefault="00C700AA" w:rsidP="00CC4CE9">
            <w:pPr>
              <w:pStyle w:val="TableNText"/>
              <w:rPr>
                <w:lang w:eastAsia="en-AU"/>
              </w:rPr>
            </w:pPr>
            <w:r w:rsidRPr="0008132A">
              <w:rPr>
                <w:lang w:eastAsia="en-AU"/>
              </w:rPr>
              <w:t>Determination</w:t>
            </w:r>
          </w:p>
        </w:tc>
        <w:tc>
          <w:tcPr>
            <w:tcW w:w="7229" w:type="dxa"/>
            <w:hideMark/>
          </w:tcPr>
          <w:p w14:paraId="627210FF" w14:textId="77777777" w:rsidR="00C700AA" w:rsidRPr="0008132A" w:rsidRDefault="00C700AA" w:rsidP="00CC4CE9">
            <w:pPr>
              <w:pStyle w:val="TableNText"/>
              <w:rPr>
                <w:color w:val="000000"/>
              </w:rPr>
            </w:pPr>
            <w:r w:rsidRPr="0008132A">
              <w:t>A decision by the Federal or High Court of Australia. A determination is made either when parties have reached an agreement aft</w:t>
            </w:r>
            <w:r w:rsidRPr="0008132A">
              <w:rPr>
                <w:color w:val="000000"/>
              </w:rPr>
              <w:t>er mediation (consent determination) or following a trial process (litigated determination).</w:t>
            </w:r>
          </w:p>
        </w:tc>
      </w:tr>
      <w:tr w:rsidR="00C700AA" w:rsidRPr="0008132A" w14:paraId="2CAA62B4" w14:textId="77777777" w:rsidTr="00A335C0">
        <w:trPr>
          <w:cnfStyle w:val="000000100000" w:firstRow="0" w:lastRow="0" w:firstColumn="0" w:lastColumn="0" w:oddVBand="0" w:evenVBand="0" w:oddHBand="1" w:evenHBand="0" w:firstRowFirstColumn="0" w:firstRowLastColumn="0" w:lastRowFirstColumn="0" w:lastRowLastColumn="0"/>
        </w:trPr>
        <w:tc>
          <w:tcPr>
            <w:tcW w:w="1701" w:type="dxa"/>
            <w:hideMark/>
          </w:tcPr>
          <w:p w14:paraId="0555D85F" w14:textId="77777777" w:rsidR="00C700AA" w:rsidRPr="0008132A" w:rsidRDefault="00C700AA" w:rsidP="00CC4CE9">
            <w:pPr>
              <w:pStyle w:val="TableNText"/>
              <w:rPr>
                <w:lang w:eastAsia="en-AU"/>
              </w:rPr>
            </w:pPr>
            <w:r w:rsidRPr="0008132A">
              <w:rPr>
                <w:lang w:eastAsia="en-AU"/>
              </w:rPr>
              <w:t>Extinguishment</w:t>
            </w:r>
          </w:p>
        </w:tc>
        <w:tc>
          <w:tcPr>
            <w:tcW w:w="7229" w:type="dxa"/>
            <w:hideMark/>
          </w:tcPr>
          <w:p w14:paraId="495A6A3C" w14:textId="77777777" w:rsidR="00C700AA" w:rsidRPr="0008132A" w:rsidRDefault="00C700AA" w:rsidP="00CC4CE9">
            <w:pPr>
              <w:pStyle w:val="TableNText"/>
              <w:rPr>
                <w:color w:val="000000"/>
              </w:rPr>
            </w:pPr>
            <w:r w:rsidRPr="0008132A">
              <w:t>Occurs over a defined area when Australian law does not recognise</w:t>
            </w:r>
            <w:r w:rsidRPr="0008132A">
              <w:rPr>
                <w:color w:val="000000"/>
              </w:rPr>
              <w:t xml:space="preserve"> the existence of native title rights and interests because of legislation or common law precedent. Extinguishment can be whole or partial.</w:t>
            </w:r>
          </w:p>
        </w:tc>
      </w:tr>
      <w:tr w:rsidR="00C700AA" w:rsidRPr="0008132A" w14:paraId="5FF33C51" w14:textId="77777777" w:rsidTr="00A335C0">
        <w:trPr>
          <w:cnfStyle w:val="000000010000" w:firstRow="0" w:lastRow="0" w:firstColumn="0" w:lastColumn="0" w:oddVBand="0" w:evenVBand="0" w:oddHBand="0" w:evenHBand="1" w:firstRowFirstColumn="0" w:firstRowLastColumn="0" w:lastRowFirstColumn="0" w:lastRowLastColumn="0"/>
        </w:trPr>
        <w:tc>
          <w:tcPr>
            <w:tcW w:w="1701" w:type="dxa"/>
            <w:hideMark/>
          </w:tcPr>
          <w:p w14:paraId="1F99643E" w14:textId="77777777" w:rsidR="00C700AA" w:rsidRPr="0008132A" w:rsidRDefault="00C700AA" w:rsidP="00CC4CE9">
            <w:pPr>
              <w:pStyle w:val="TableNText"/>
              <w:rPr>
                <w:lang w:eastAsia="en-AU"/>
              </w:rPr>
            </w:pPr>
            <w:r w:rsidRPr="0008132A">
              <w:rPr>
                <w:lang w:eastAsia="en-AU"/>
              </w:rPr>
              <w:lastRenderedPageBreak/>
              <w:t>Future act</w:t>
            </w:r>
          </w:p>
        </w:tc>
        <w:tc>
          <w:tcPr>
            <w:tcW w:w="7229" w:type="dxa"/>
            <w:hideMark/>
          </w:tcPr>
          <w:p w14:paraId="5AA751A0" w14:textId="77777777" w:rsidR="00C700AA" w:rsidRPr="0008132A" w:rsidRDefault="00C700AA" w:rsidP="00CC4CE9">
            <w:pPr>
              <w:pStyle w:val="TableNText"/>
              <w:rPr>
                <w:color w:val="000000"/>
              </w:rPr>
            </w:pPr>
            <w:r w:rsidRPr="0008132A">
              <w:t xml:space="preserve">A legislative or non-legislative act in relation to land or waters that may impact on the ability of </w:t>
            </w:r>
            <w:r w:rsidRPr="0008132A">
              <w:rPr>
                <w:color w:val="000000"/>
              </w:rPr>
              <w:t>native title holders to exercise native title rights; either through extinguishment or creating interests that are wholly or partly inconsistent with the continued existence of native title.</w:t>
            </w:r>
          </w:p>
        </w:tc>
      </w:tr>
      <w:tr w:rsidR="00C700AA" w:rsidRPr="0008132A" w14:paraId="13C80BDB" w14:textId="77777777" w:rsidTr="00A335C0">
        <w:trPr>
          <w:cnfStyle w:val="000000100000" w:firstRow="0" w:lastRow="0" w:firstColumn="0" w:lastColumn="0" w:oddVBand="0" w:evenVBand="0" w:oddHBand="1" w:evenHBand="0" w:firstRowFirstColumn="0" w:firstRowLastColumn="0" w:lastRowFirstColumn="0" w:lastRowLastColumn="0"/>
        </w:trPr>
        <w:tc>
          <w:tcPr>
            <w:tcW w:w="1701" w:type="dxa"/>
            <w:hideMark/>
          </w:tcPr>
          <w:p w14:paraId="115DDD6C" w14:textId="77777777" w:rsidR="00C700AA" w:rsidRPr="0008132A" w:rsidRDefault="00C700AA" w:rsidP="00CC4CE9">
            <w:pPr>
              <w:pStyle w:val="TableNText"/>
              <w:rPr>
                <w:lang w:eastAsia="en-AU"/>
              </w:rPr>
            </w:pPr>
            <w:r w:rsidRPr="0008132A">
              <w:rPr>
                <w:lang w:eastAsia="en-AU"/>
              </w:rPr>
              <w:t>Indigenous Land Use Agreement (ILUA)</w:t>
            </w:r>
          </w:p>
        </w:tc>
        <w:tc>
          <w:tcPr>
            <w:tcW w:w="7229" w:type="dxa"/>
            <w:hideMark/>
          </w:tcPr>
          <w:p w14:paraId="59044496" w14:textId="43601C63" w:rsidR="00C700AA" w:rsidRPr="0008132A" w:rsidRDefault="00C700AA" w:rsidP="00CC4CE9">
            <w:pPr>
              <w:pStyle w:val="TableNText"/>
              <w:rPr>
                <w:color w:val="000000"/>
              </w:rPr>
            </w:pPr>
            <w:r w:rsidRPr="0008132A">
              <w:t>A voluntary, legally binding agreement governing the use and management of land or waters over which native titl</w:t>
            </w:r>
            <w:r w:rsidRPr="0008132A">
              <w:rPr>
                <w:color w:val="000000"/>
              </w:rPr>
              <w:t xml:space="preserve">e exists or might exists. The conditions of each </w:t>
            </w:r>
            <w:r w:rsidR="00E35F0E" w:rsidRPr="0008132A">
              <w:rPr>
                <w:lang w:eastAsia="en-AU"/>
              </w:rPr>
              <w:t xml:space="preserve">Indigenous Land Use Agreement </w:t>
            </w:r>
            <w:r w:rsidRPr="0008132A">
              <w:rPr>
                <w:color w:val="000000"/>
              </w:rPr>
              <w:t xml:space="preserve">are determined by way of negotiations between native title holders and other interest holders (such as a state or mining company). These negotiations are often facilitated by </w:t>
            </w:r>
            <w:r w:rsidR="00E35F0E" w:rsidRPr="0008132A">
              <w:rPr>
                <w:lang w:eastAsia="en-AU"/>
              </w:rPr>
              <w:t>Native Title</w:t>
            </w:r>
            <w:r w:rsidR="00E35F0E">
              <w:rPr>
                <w:lang w:eastAsia="en-AU"/>
              </w:rPr>
              <w:t xml:space="preserve"> </w:t>
            </w:r>
            <w:r w:rsidR="00E35F0E" w:rsidRPr="0008132A">
              <w:rPr>
                <w:lang w:eastAsia="en-AU"/>
              </w:rPr>
              <w:t>Representative Bod</w:t>
            </w:r>
            <w:r w:rsidR="00E35F0E">
              <w:rPr>
                <w:lang w:eastAsia="en-AU"/>
              </w:rPr>
              <w:t xml:space="preserve">ies and </w:t>
            </w:r>
            <w:r w:rsidR="00E35F0E" w:rsidRPr="0008132A">
              <w:rPr>
                <w:lang w:eastAsia="en-AU"/>
              </w:rPr>
              <w:t>Service Provider</w:t>
            </w:r>
            <w:r w:rsidR="00E35F0E">
              <w:rPr>
                <w:lang w:eastAsia="en-AU"/>
              </w:rPr>
              <w:t>s</w:t>
            </w:r>
            <w:r w:rsidRPr="0008132A">
              <w:rPr>
                <w:color w:val="000000"/>
              </w:rPr>
              <w:t>.</w:t>
            </w:r>
          </w:p>
        </w:tc>
      </w:tr>
      <w:tr w:rsidR="00C700AA" w:rsidRPr="0008132A" w14:paraId="1FD8AA8C" w14:textId="77777777" w:rsidTr="00A335C0">
        <w:trPr>
          <w:cnfStyle w:val="000000010000" w:firstRow="0" w:lastRow="0" w:firstColumn="0" w:lastColumn="0" w:oddVBand="0" w:evenVBand="0" w:oddHBand="0" w:evenHBand="1" w:firstRowFirstColumn="0" w:firstRowLastColumn="0" w:lastRowFirstColumn="0" w:lastRowLastColumn="0"/>
        </w:trPr>
        <w:tc>
          <w:tcPr>
            <w:tcW w:w="1701" w:type="dxa"/>
            <w:hideMark/>
          </w:tcPr>
          <w:p w14:paraId="7C7B9078" w14:textId="77777777" w:rsidR="00C700AA" w:rsidRPr="0008132A" w:rsidRDefault="00C700AA" w:rsidP="00CC4CE9">
            <w:pPr>
              <w:pStyle w:val="TableNText"/>
              <w:rPr>
                <w:lang w:eastAsia="en-AU"/>
              </w:rPr>
            </w:pPr>
            <w:r w:rsidRPr="0008132A">
              <w:rPr>
                <w:lang w:eastAsia="en-AU"/>
              </w:rPr>
              <w:t>National Native Title Tribunal (NNTT)</w:t>
            </w:r>
          </w:p>
        </w:tc>
        <w:tc>
          <w:tcPr>
            <w:tcW w:w="7229" w:type="dxa"/>
            <w:hideMark/>
          </w:tcPr>
          <w:p w14:paraId="2B62497A" w14:textId="12BC34EF" w:rsidR="00C700AA" w:rsidRPr="0008132A" w:rsidRDefault="00C700AA" w:rsidP="00CC4CE9">
            <w:pPr>
              <w:pStyle w:val="TableNText"/>
              <w:rPr>
                <w:color w:val="000000"/>
              </w:rPr>
            </w:pPr>
            <w:r w:rsidRPr="0008132A">
              <w:t xml:space="preserve">An independent statutory body established under s107 of the </w:t>
            </w:r>
            <w:r w:rsidR="00CC4CE9" w:rsidRPr="00CC4CE9">
              <w:rPr>
                <w:i/>
                <w:iCs/>
                <w:lang w:eastAsia="en-AU"/>
              </w:rPr>
              <w:t>Native Title Act 1993 (Cth)</w:t>
            </w:r>
            <w:r w:rsidR="00CC4CE9" w:rsidRPr="0008132A">
              <w:rPr>
                <w:lang w:eastAsia="en-AU"/>
              </w:rPr>
              <w:t xml:space="preserve"> </w:t>
            </w:r>
            <w:r w:rsidRPr="0008132A">
              <w:rPr>
                <w:color w:val="000000"/>
              </w:rPr>
              <w:t>to assist people in resolving native title issues by:</w:t>
            </w:r>
          </w:p>
          <w:p w14:paraId="74A986CA" w14:textId="77777777" w:rsidR="00C700AA" w:rsidRPr="0008132A" w:rsidRDefault="00C700AA" w:rsidP="00E35F0E">
            <w:pPr>
              <w:pStyle w:val="TableNBullet"/>
            </w:pPr>
            <w:r w:rsidRPr="0008132A">
              <w:t>mediating between the parties to native title applications at the direction of the Federal Court</w:t>
            </w:r>
          </w:p>
          <w:p w14:paraId="26A4D970" w14:textId="77777777" w:rsidR="00C700AA" w:rsidRPr="0008132A" w:rsidRDefault="00C700AA" w:rsidP="00E35F0E">
            <w:pPr>
              <w:pStyle w:val="TableNBullet"/>
            </w:pPr>
            <w:r w:rsidRPr="0008132A">
              <w:t>acting as an arbitrator in situations where the people cannot reach agreement about certain future acts</w:t>
            </w:r>
          </w:p>
          <w:p w14:paraId="1D366073" w14:textId="27306FAD" w:rsidR="00C700AA" w:rsidRPr="0008132A" w:rsidRDefault="00C700AA" w:rsidP="00E35F0E">
            <w:pPr>
              <w:pStyle w:val="TableNBullet"/>
            </w:pPr>
            <w:r w:rsidRPr="0008132A">
              <w:t xml:space="preserve">helping people to negotiate </w:t>
            </w:r>
            <w:r w:rsidR="00E35F0E" w:rsidRPr="0008132A">
              <w:t>Indigenous Land Use Agreement</w:t>
            </w:r>
            <w:r w:rsidR="00E35F0E">
              <w:t>s</w:t>
            </w:r>
            <w:r w:rsidRPr="0008132A">
              <w:t>.</w:t>
            </w:r>
          </w:p>
          <w:p w14:paraId="4A1EEF8C" w14:textId="30F2F3A7" w:rsidR="00C700AA" w:rsidRPr="0008132A" w:rsidRDefault="00C700AA" w:rsidP="00CC4CE9">
            <w:pPr>
              <w:pStyle w:val="TableNText"/>
              <w:rPr>
                <w:color w:val="000000"/>
              </w:rPr>
            </w:pPr>
            <w:r w:rsidRPr="0008132A">
              <w:rPr>
                <w:color w:val="000000"/>
              </w:rPr>
              <w:t xml:space="preserve">The </w:t>
            </w:r>
            <w:r w:rsidR="00E35F0E" w:rsidRPr="0008132A">
              <w:rPr>
                <w:lang w:eastAsia="en-AU"/>
              </w:rPr>
              <w:t xml:space="preserve">National Native Title Tribunal </w:t>
            </w:r>
            <w:r w:rsidRPr="0008132A">
              <w:rPr>
                <w:color w:val="000000"/>
              </w:rPr>
              <w:t xml:space="preserve">maintains three registers relating to native title applications, determinations and </w:t>
            </w:r>
            <w:r w:rsidR="00E35F0E" w:rsidRPr="0008132A">
              <w:rPr>
                <w:lang w:eastAsia="en-AU"/>
              </w:rPr>
              <w:t>Indigenous Land Use Agreement</w:t>
            </w:r>
            <w:r w:rsidR="00E35F0E">
              <w:t>s</w:t>
            </w:r>
            <w:r w:rsidRPr="0008132A">
              <w:rPr>
                <w:color w:val="000000"/>
              </w:rPr>
              <w:t>. It also maintains databases regarding future act matters and geospatial tools.</w:t>
            </w:r>
            <w:r w:rsidR="00E35F0E">
              <w:rPr>
                <w:color w:val="000000"/>
              </w:rPr>
              <w:t xml:space="preserve"> </w:t>
            </w:r>
          </w:p>
        </w:tc>
      </w:tr>
      <w:tr w:rsidR="00C700AA" w:rsidRPr="0008132A" w14:paraId="524941CD" w14:textId="77777777" w:rsidTr="00A335C0">
        <w:trPr>
          <w:cnfStyle w:val="000000100000" w:firstRow="0" w:lastRow="0" w:firstColumn="0" w:lastColumn="0" w:oddVBand="0" w:evenVBand="0" w:oddHBand="1" w:evenHBand="0" w:firstRowFirstColumn="0" w:firstRowLastColumn="0" w:lastRowFirstColumn="0" w:lastRowLastColumn="0"/>
        </w:trPr>
        <w:tc>
          <w:tcPr>
            <w:tcW w:w="1701" w:type="dxa"/>
            <w:hideMark/>
          </w:tcPr>
          <w:p w14:paraId="56138AC9" w14:textId="77777777" w:rsidR="00C700AA" w:rsidRPr="0008132A" w:rsidRDefault="00C700AA" w:rsidP="00CC4CE9">
            <w:pPr>
              <w:pStyle w:val="TableNText"/>
              <w:rPr>
                <w:lang w:eastAsia="en-AU"/>
              </w:rPr>
            </w:pPr>
            <w:r w:rsidRPr="0008132A">
              <w:rPr>
                <w:lang w:eastAsia="en-AU"/>
              </w:rPr>
              <w:t>Native title</w:t>
            </w:r>
          </w:p>
        </w:tc>
        <w:tc>
          <w:tcPr>
            <w:tcW w:w="7229" w:type="dxa"/>
            <w:hideMark/>
          </w:tcPr>
          <w:p w14:paraId="46C01743" w14:textId="703B5A79" w:rsidR="00C700AA" w:rsidRPr="0008132A" w:rsidRDefault="00C700AA" w:rsidP="00CC4CE9">
            <w:pPr>
              <w:pStyle w:val="TableNText"/>
              <w:rPr>
                <w:color w:val="000000"/>
              </w:rPr>
            </w:pPr>
            <w:r w:rsidRPr="0008132A">
              <w:rPr>
                <w:color w:val="000000"/>
              </w:rPr>
              <w:t>The communal, group or individual rights and interests of Aboriginal and Torres Strait Islander</w:t>
            </w:r>
            <w:r w:rsidR="00E35F0E">
              <w:rPr>
                <w:color w:val="000000"/>
              </w:rPr>
              <w:t xml:space="preserve"> people</w:t>
            </w:r>
            <w:r w:rsidRPr="0008132A">
              <w:rPr>
                <w:color w:val="000000"/>
              </w:rPr>
              <w:t xml:space="preserve"> in relation to land and waters, possessed under traditional law and custom, by which those people have a connection with an area which is recognised under Australian law (s223 </w:t>
            </w:r>
            <w:r w:rsidR="00CC4CE9" w:rsidRPr="00CC4CE9">
              <w:rPr>
                <w:i/>
                <w:iCs/>
                <w:lang w:eastAsia="en-AU"/>
              </w:rPr>
              <w:t>Native Title Act 1993 (Cth)</w:t>
            </w:r>
            <w:r w:rsidRPr="0008132A">
              <w:rPr>
                <w:color w:val="000000"/>
              </w:rPr>
              <w:t>).</w:t>
            </w:r>
          </w:p>
        </w:tc>
      </w:tr>
      <w:tr w:rsidR="00C700AA" w:rsidRPr="0008132A" w14:paraId="59505E98" w14:textId="77777777" w:rsidTr="00A335C0">
        <w:trPr>
          <w:cnfStyle w:val="000000010000" w:firstRow="0" w:lastRow="0" w:firstColumn="0" w:lastColumn="0" w:oddVBand="0" w:evenVBand="0" w:oddHBand="0" w:evenHBand="1" w:firstRowFirstColumn="0" w:firstRowLastColumn="0" w:lastRowFirstColumn="0" w:lastRowLastColumn="0"/>
        </w:trPr>
        <w:tc>
          <w:tcPr>
            <w:tcW w:w="1701" w:type="dxa"/>
            <w:hideMark/>
          </w:tcPr>
          <w:p w14:paraId="5F6E34DB" w14:textId="1EE0A0B5" w:rsidR="00C700AA" w:rsidRPr="0008132A" w:rsidRDefault="00C700AA" w:rsidP="00CC4CE9">
            <w:pPr>
              <w:pStyle w:val="TableNText"/>
              <w:rPr>
                <w:rFonts w:eastAsia="Times New Roman"/>
                <w:szCs w:val="24"/>
                <w:lang w:eastAsia="en-AU"/>
              </w:rPr>
            </w:pPr>
            <w:r w:rsidRPr="00CC4CE9">
              <w:rPr>
                <w:i/>
                <w:iCs/>
                <w:lang w:eastAsia="en-AU"/>
              </w:rPr>
              <w:t>Native Title Act 1993 (Cth)</w:t>
            </w:r>
            <w:r w:rsidRPr="0008132A">
              <w:rPr>
                <w:lang w:eastAsia="en-AU"/>
              </w:rPr>
              <w:t xml:space="preserve"> (</w:t>
            </w:r>
            <w:r w:rsidR="00C85B77" w:rsidRPr="0008132A">
              <w:rPr>
                <w:iCs/>
                <w:lang w:eastAsia="en-AU"/>
              </w:rPr>
              <w:t>NTA</w:t>
            </w:r>
            <w:r w:rsidRPr="0008132A">
              <w:rPr>
                <w:lang w:eastAsia="en-AU"/>
              </w:rPr>
              <w:t>)</w:t>
            </w:r>
          </w:p>
        </w:tc>
        <w:tc>
          <w:tcPr>
            <w:tcW w:w="7229" w:type="dxa"/>
            <w:hideMark/>
          </w:tcPr>
          <w:p w14:paraId="21EE982B" w14:textId="2B029B41" w:rsidR="00C700AA" w:rsidRPr="0008132A" w:rsidRDefault="00C700AA" w:rsidP="00CC4CE9">
            <w:pPr>
              <w:pStyle w:val="TableNText"/>
              <w:rPr>
                <w:color w:val="000000"/>
              </w:rPr>
            </w:pPr>
            <w:r w:rsidRPr="0008132A">
              <w:t xml:space="preserve">The </w:t>
            </w:r>
            <w:r w:rsidR="00392251" w:rsidRPr="00CC4CE9">
              <w:rPr>
                <w:i/>
                <w:iCs/>
                <w:lang w:eastAsia="en-AU"/>
              </w:rPr>
              <w:t>Native Title Act 1993 (Cth)</w:t>
            </w:r>
            <w:r w:rsidR="00392251" w:rsidRPr="0008132A">
              <w:rPr>
                <w:lang w:eastAsia="en-AU"/>
              </w:rPr>
              <w:t xml:space="preserve"> </w:t>
            </w:r>
            <w:r w:rsidRPr="0008132A">
              <w:t>established the procedure for making native title claims and is the primary piece of Commonwealth Government legislation allowing Indigenous Australians to seek rights over land and waters arising from their original ownership under traditional law and custom.</w:t>
            </w:r>
            <w:r w:rsidR="00392251">
              <w:t xml:space="preserve"> </w:t>
            </w:r>
          </w:p>
        </w:tc>
      </w:tr>
      <w:tr w:rsidR="00C700AA" w:rsidRPr="0008132A" w14:paraId="070BD939" w14:textId="77777777" w:rsidTr="00A335C0">
        <w:trPr>
          <w:cnfStyle w:val="000000100000" w:firstRow="0" w:lastRow="0" w:firstColumn="0" w:lastColumn="0" w:oddVBand="0" w:evenVBand="0" w:oddHBand="1" w:evenHBand="0" w:firstRowFirstColumn="0" w:firstRowLastColumn="0" w:lastRowFirstColumn="0" w:lastRowLastColumn="0"/>
        </w:trPr>
        <w:tc>
          <w:tcPr>
            <w:tcW w:w="1701" w:type="dxa"/>
            <w:hideMark/>
          </w:tcPr>
          <w:p w14:paraId="7B49D72A" w14:textId="77777777" w:rsidR="00C700AA" w:rsidRPr="0008132A" w:rsidRDefault="00C700AA" w:rsidP="00CC4CE9">
            <w:pPr>
              <w:pStyle w:val="TableNText"/>
              <w:rPr>
                <w:lang w:eastAsia="en-AU"/>
              </w:rPr>
            </w:pPr>
            <w:r w:rsidRPr="0008132A">
              <w:rPr>
                <w:lang w:eastAsia="en-AU"/>
              </w:rPr>
              <w:t>Native Title Representative Body (NTRB)</w:t>
            </w:r>
          </w:p>
        </w:tc>
        <w:tc>
          <w:tcPr>
            <w:tcW w:w="7229" w:type="dxa"/>
            <w:hideMark/>
          </w:tcPr>
          <w:p w14:paraId="5AD06051" w14:textId="23E93E9A" w:rsidR="00C700AA" w:rsidRPr="0008132A" w:rsidRDefault="00C700AA" w:rsidP="00CC4CE9">
            <w:pPr>
              <w:pStyle w:val="TableNText"/>
              <w:rPr>
                <w:color w:val="000000"/>
              </w:rPr>
            </w:pPr>
            <w:r w:rsidRPr="0008132A">
              <w:rPr>
                <w:color w:val="000000"/>
              </w:rPr>
              <w:t xml:space="preserve">Recognised organisations which are funded by the Australian Government to perform functions to assist native title groups in a specific region, according to the provisions in Part 11 of the </w:t>
            </w:r>
            <w:r w:rsidR="00CC4CE9" w:rsidRPr="00CC4CE9">
              <w:rPr>
                <w:i/>
                <w:iCs/>
                <w:lang w:eastAsia="en-AU"/>
              </w:rPr>
              <w:t>Native Title Act 1993 (Cth)</w:t>
            </w:r>
            <w:r w:rsidRPr="0008132A">
              <w:rPr>
                <w:color w:val="000000"/>
              </w:rPr>
              <w:t xml:space="preserve">. </w:t>
            </w:r>
          </w:p>
        </w:tc>
      </w:tr>
      <w:tr w:rsidR="00C700AA" w:rsidRPr="0008132A" w14:paraId="1B38C30E" w14:textId="77777777" w:rsidTr="00A335C0">
        <w:trPr>
          <w:cnfStyle w:val="000000010000" w:firstRow="0" w:lastRow="0" w:firstColumn="0" w:lastColumn="0" w:oddVBand="0" w:evenVBand="0" w:oddHBand="0" w:evenHBand="1" w:firstRowFirstColumn="0" w:firstRowLastColumn="0" w:lastRowFirstColumn="0" w:lastRowLastColumn="0"/>
        </w:trPr>
        <w:tc>
          <w:tcPr>
            <w:tcW w:w="1701" w:type="dxa"/>
            <w:hideMark/>
          </w:tcPr>
          <w:p w14:paraId="6C99125B" w14:textId="77777777" w:rsidR="00C700AA" w:rsidRPr="0008132A" w:rsidRDefault="00C700AA" w:rsidP="00CC4CE9">
            <w:pPr>
              <w:pStyle w:val="TableNText"/>
              <w:rPr>
                <w:lang w:eastAsia="en-AU"/>
              </w:rPr>
            </w:pPr>
            <w:r w:rsidRPr="0008132A">
              <w:rPr>
                <w:lang w:eastAsia="en-AU"/>
              </w:rPr>
              <w:t>Native Title Service Provider (NTSP)</w:t>
            </w:r>
          </w:p>
        </w:tc>
        <w:tc>
          <w:tcPr>
            <w:tcW w:w="7229" w:type="dxa"/>
            <w:hideMark/>
          </w:tcPr>
          <w:p w14:paraId="4762252B" w14:textId="6D6DDAA0" w:rsidR="00C700AA" w:rsidRPr="0008132A" w:rsidRDefault="00C700AA" w:rsidP="00CC4CE9">
            <w:pPr>
              <w:pStyle w:val="TableNText"/>
              <w:rPr>
                <w:color w:val="000000"/>
              </w:rPr>
            </w:pPr>
            <w:r w:rsidRPr="0008132A">
              <w:rPr>
                <w:color w:val="000000"/>
              </w:rPr>
              <w:t xml:space="preserve">Organisations funded by the Australian Government to perform all or some of the same functions as </w:t>
            </w:r>
            <w:r w:rsidR="00C97EEE" w:rsidRPr="0008132A">
              <w:rPr>
                <w:lang w:eastAsia="en-AU"/>
              </w:rPr>
              <w:t>Native Title Representative Bod</w:t>
            </w:r>
            <w:r w:rsidR="00C97EEE">
              <w:rPr>
                <w:lang w:eastAsia="en-AU"/>
              </w:rPr>
              <w:t>ies</w:t>
            </w:r>
            <w:r w:rsidR="00C97EEE" w:rsidRPr="0008132A">
              <w:rPr>
                <w:lang w:eastAsia="en-AU"/>
              </w:rPr>
              <w:t xml:space="preserve"> </w:t>
            </w:r>
            <w:r w:rsidRPr="0008132A">
              <w:rPr>
                <w:color w:val="000000"/>
              </w:rPr>
              <w:t xml:space="preserve">in areas where </w:t>
            </w:r>
            <w:r w:rsidR="00C97EEE" w:rsidRPr="0008132A">
              <w:rPr>
                <w:lang w:eastAsia="en-AU"/>
              </w:rPr>
              <w:t>Native Title Representative Bod</w:t>
            </w:r>
            <w:r w:rsidR="00C97EEE">
              <w:rPr>
                <w:lang w:eastAsia="en-AU"/>
              </w:rPr>
              <w:t xml:space="preserve">ies </w:t>
            </w:r>
            <w:r w:rsidRPr="0008132A">
              <w:rPr>
                <w:color w:val="000000"/>
              </w:rPr>
              <w:t>have not been recognised.</w:t>
            </w:r>
          </w:p>
        </w:tc>
      </w:tr>
      <w:tr w:rsidR="00C700AA" w:rsidRPr="0008132A" w14:paraId="4E868D60" w14:textId="77777777" w:rsidTr="00A335C0">
        <w:trPr>
          <w:cnfStyle w:val="000000100000" w:firstRow="0" w:lastRow="0" w:firstColumn="0" w:lastColumn="0" w:oddVBand="0" w:evenVBand="0" w:oddHBand="1" w:evenHBand="0" w:firstRowFirstColumn="0" w:firstRowLastColumn="0" w:lastRowFirstColumn="0" w:lastRowLastColumn="0"/>
        </w:trPr>
        <w:tc>
          <w:tcPr>
            <w:tcW w:w="1701" w:type="dxa"/>
            <w:hideMark/>
          </w:tcPr>
          <w:p w14:paraId="6B9FC128" w14:textId="7FE37BC2" w:rsidR="00C700AA" w:rsidRPr="0008132A" w:rsidRDefault="00C700AA" w:rsidP="00CC4CE9">
            <w:pPr>
              <w:pStyle w:val="TableNText"/>
              <w:rPr>
                <w:lang w:eastAsia="en-AU"/>
              </w:rPr>
            </w:pPr>
            <w:r w:rsidRPr="0008132A">
              <w:rPr>
                <w:lang w:eastAsia="en-AU"/>
              </w:rPr>
              <w:t>Native Title</w:t>
            </w:r>
            <w:r w:rsidR="00580F67">
              <w:rPr>
                <w:lang w:eastAsia="en-AU"/>
              </w:rPr>
              <w:t xml:space="preserve"> </w:t>
            </w:r>
            <w:r w:rsidRPr="0008132A">
              <w:rPr>
                <w:lang w:eastAsia="en-AU"/>
              </w:rPr>
              <w:t>Representative Bod</w:t>
            </w:r>
            <w:r w:rsidR="000569FD">
              <w:rPr>
                <w:lang w:eastAsia="en-AU"/>
              </w:rPr>
              <w:t>y</w:t>
            </w:r>
            <w:r w:rsidR="00580F67">
              <w:rPr>
                <w:lang w:eastAsia="en-AU"/>
              </w:rPr>
              <w:t xml:space="preserve"> and </w:t>
            </w:r>
            <w:r w:rsidR="00580F67" w:rsidRPr="0008132A">
              <w:rPr>
                <w:lang w:eastAsia="en-AU"/>
              </w:rPr>
              <w:t>Service Provider</w:t>
            </w:r>
            <w:r w:rsidRPr="0008132A">
              <w:rPr>
                <w:lang w:eastAsia="en-AU"/>
              </w:rPr>
              <w:t xml:space="preserve"> (NTRB-SP)</w:t>
            </w:r>
          </w:p>
        </w:tc>
        <w:tc>
          <w:tcPr>
            <w:tcW w:w="7229" w:type="dxa"/>
            <w:hideMark/>
          </w:tcPr>
          <w:p w14:paraId="6AC209E6" w14:textId="6527CB8F" w:rsidR="00C700AA" w:rsidRPr="0008132A" w:rsidRDefault="00C700AA" w:rsidP="00CC4CE9">
            <w:pPr>
              <w:pStyle w:val="TableNText"/>
              <w:rPr>
                <w:color w:val="000000"/>
              </w:rPr>
            </w:pPr>
            <w:r w:rsidRPr="0008132A">
              <w:t xml:space="preserve">The Review references </w:t>
            </w:r>
            <w:r w:rsidR="00C97EEE" w:rsidRPr="0008132A">
              <w:rPr>
                <w:lang w:eastAsia="en-AU"/>
              </w:rPr>
              <w:t>Native Title</w:t>
            </w:r>
            <w:r w:rsidR="00C97EEE">
              <w:rPr>
                <w:lang w:eastAsia="en-AU"/>
              </w:rPr>
              <w:t xml:space="preserve"> </w:t>
            </w:r>
            <w:r w:rsidR="00C97EEE" w:rsidRPr="0008132A">
              <w:rPr>
                <w:lang w:eastAsia="en-AU"/>
              </w:rPr>
              <w:t>Representative Bod</w:t>
            </w:r>
            <w:r w:rsidR="00C97EEE">
              <w:rPr>
                <w:lang w:eastAsia="en-AU"/>
              </w:rPr>
              <w:t xml:space="preserve">ies and </w:t>
            </w:r>
            <w:r w:rsidR="00C97EEE" w:rsidRPr="0008132A">
              <w:rPr>
                <w:lang w:eastAsia="en-AU"/>
              </w:rPr>
              <w:t>Service Provider</w:t>
            </w:r>
            <w:r w:rsidR="00C97EEE">
              <w:rPr>
                <w:lang w:eastAsia="en-AU"/>
              </w:rPr>
              <w:t>s</w:t>
            </w:r>
            <w:r w:rsidR="00C97EEE" w:rsidRPr="0008132A">
              <w:rPr>
                <w:lang w:eastAsia="en-AU"/>
              </w:rPr>
              <w:t xml:space="preserve"> </w:t>
            </w:r>
            <w:r w:rsidRPr="0008132A">
              <w:t>as a collective whe</w:t>
            </w:r>
            <w:r w:rsidRPr="0008132A">
              <w:rPr>
                <w:color w:val="000000"/>
              </w:rPr>
              <w:t xml:space="preserve">re relevant within this report. </w:t>
            </w:r>
          </w:p>
          <w:p w14:paraId="3102ABD3" w14:textId="48B87432" w:rsidR="00C700AA" w:rsidRPr="0008132A" w:rsidRDefault="00C700AA" w:rsidP="00CC4CE9">
            <w:pPr>
              <w:pStyle w:val="TableNText"/>
              <w:rPr>
                <w:color w:val="000000"/>
              </w:rPr>
            </w:pPr>
            <w:r w:rsidRPr="0008132A">
              <w:t xml:space="preserve">See above for descriptions of </w:t>
            </w:r>
            <w:r w:rsidR="00C97EEE" w:rsidRPr="0008132A">
              <w:rPr>
                <w:lang w:eastAsia="en-AU"/>
              </w:rPr>
              <w:t>Native Title Representative Bod</w:t>
            </w:r>
            <w:r w:rsidR="00C97EEE">
              <w:rPr>
                <w:lang w:eastAsia="en-AU"/>
              </w:rPr>
              <w:t xml:space="preserve">ies </w:t>
            </w:r>
            <w:r w:rsidRPr="0008132A">
              <w:t xml:space="preserve">and </w:t>
            </w:r>
            <w:r w:rsidR="00C97EEE" w:rsidRPr="0008132A">
              <w:rPr>
                <w:lang w:eastAsia="en-AU"/>
              </w:rPr>
              <w:t>Native Title Service Provider</w:t>
            </w:r>
            <w:r w:rsidR="00C97EEE">
              <w:rPr>
                <w:lang w:eastAsia="en-AU"/>
              </w:rPr>
              <w:t>s</w:t>
            </w:r>
            <w:r w:rsidRPr="0008132A">
              <w:t xml:space="preserve">. </w:t>
            </w:r>
          </w:p>
        </w:tc>
      </w:tr>
      <w:tr w:rsidR="00730EA2" w:rsidRPr="0008132A" w14:paraId="12624BCA" w14:textId="77777777" w:rsidTr="00A335C0">
        <w:trPr>
          <w:cnfStyle w:val="000000010000" w:firstRow="0" w:lastRow="0" w:firstColumn="0" w:lastColumn="0" w:oddVBand="0" w:evenVBand="0" w:oddHBand="0" w:evenHBand="1" w:firstRowFirstColumn="0" w:firstRowLastColumn="0" w:lastRowFirstColumn="0" w:lastRowLastColumn="0"/>
        </w:trPr>
        <w:tc>
          <w:tcPr>
            <w:tcW w:w="1701" w:type="dxa"/>
          </w:tcPr>
          <w:p w14:paraId="2BD1AC79" w14:textId="543B1675" w:rsidR="00730EA2" w:rsidRPr="0008132A" w:rsidRDefault="003E278D" w:rsidP="00CC4CE9">
            <w:pPr>
              <w:pStyle w:val="TableNText"/>
              <w:rPr>
                <w:lang w:eastAsia="en-AU"/>
              </w:rPr>
            </w:pPr>
            <w:r w:rsidRPr="003E278D">
              <w:rPr>
                <w:lang w:eastAsia="en-AU"/>
              </w:rPr>
              <w:t>National Indigenous Australian’s Agency (NIAA)</w:t>
            </w:r>
          </w:p>
        </w:tc>
        <w:tc>
          <w:tcPr>
            <w:tcW w:w="7229" w:type="dxa"/>
          </w:tcPr>
          <w:p w14:paraId="25D25DB9" w14:textId="63F578FC" w:rsidR="00730EA2" w:rsidRPr="0008132A" w:rsidRDefault="0053345E" w:rsidP="00CC4CE9">
            <w:pPr>
              <w:pStyle w:val="TableNText"/>
            </w:pPr>
            <w:r w:rsidRPr="0053345E">
              <w:t>National Indigenous Australian’s Agency is a Commonwealth Government agency who is committed to improving the lives of all Aboriginal and Torres Strait Islander peoples</w:t>
            </w:r>
            <w:r>
              <w:t>.</w:t>
            </w:r>
          </w:p>
        </w:tc>
      </w:tr>
      <w:tr w:rsidR="00C700AA" w:rsidRPr="0008132A" w14:paraId="0CC455B1" w14:textId="77777777" w:rsidTr="00A335C0">
        <w:trPr>
          <w:cnfStyle w:val="000000100000" w:firstRow="0" w:lastRow="0" w:firstColumn="0" w:lastColumn="0" w:oddVBand="0" w:evenVBand="0" w:oddHBand="1" w:evenHBand="0" w:firstRowFirstColumn="0" w:firstRowLastColumn="0" w:lastRowFirstColumn="0" w:lastRowLastColumn="0"/>
        </w:trPr>
        <w:tc>
          <w:tcPr>
            <w:tcW w:w="1701" w:type="dxa"/>
            <w:hideMark/>
          </w:tcPr>
          <w:p w14:paraId="1AEA7FE8" w14:textId="77777777" w:rsidR="00C700AA" w:rsidRPr="0008132A" w:rsidRDefault="00C700AA" w:rsidP="00CC4CE9">
            <w:pPr>
              <w:pStyle w:val="TableNText"/>
              <w:rPr>
                <w:lang w:eastAsia="en-AU"/>
              </w:rPr>
            </w:pPr>
            <w:r w:rsidRPr="0008132A">
              <w:rPr>
                <w:lang w:eastAsia="en-AU"/>
              </w:rPr>
              <w:t>Non-claimant application</w:t>
            </w:r>
          </w:p>
        </w:tc>
        <w:tc>
          <w:tcPr>
            <w:tcW w:w="7229" w:type="dxa"/>
            <w:hideMark/>
          </w:tcPr>
          <w:p w14:paraId="3139AD91" w14:textId="77777777" w:rsidR="00C700AA" w:rsidRPr="0008132A" w:rsidRDefault="00C700AA" w:rsidP="00CC4CE9">
            <w:pPr>
              <w:pStyle w:val="TableNText"/>
              <w:rPr>
                <w:color w:val="000000"/>
              </w:rPr>
            </w:pPr>
            <w:r w:rsidRPr="0008132A">
              <w:rPr>
                <w:color w:val="000000"/>
              </w:rPr>
              <w:t>An application made by a person, who does not claim to have native title but who seeks a determination that native title does or does not exist.</w:t>
            </w:r>
          </w:p>
        </w:tc>
      </w:tr>
      <w:tr w:rsidR="00C700AA" w:rsidRPr="0008132A" w14:paraId="6692DEB2" w14:textId="77777777" w:rsidTr="00A335C0">
        <w:trPr>
          <w:cnfStyle w:val="000000010000" w:firstRow="0" w:lastRow="0" w:firstColumn="0" w:lastColumn="0" w:oddVBand="0" w:evenVBand="0" w:oddHBand="0" w:evenHBand="1" w:firstRowFirstColumn="0" w:firstRowLastColumn="0" w:lastRowFirstColumn="0" w:lastRowLastColumn="0"/>
        </w:trPr>
        <w:tc>
          <w:tcPr>
            <w:tcW w:w="1701" w:type="dxa"/>
            <w:hideMark/>
          </w:tcPr>
          <w:p w14:paraId="63181BC0" w14:textId="77777777" w:rsidR="00C700AA" w:rsidRPr="00CC4CE9" w:rsidRDefault="00C700AA" w:rsidP="00CC4CE9">
            <w:pPr>
              <w:pStyle w:val="TableNText"/>
              <w:rPr>
                <w:i/>
                <w:iCs/>
                <w:lang w:eastAsia="en-AU"/>
              </w:rPr>
            </w:pPr>
            <w:r w:rsidRPr="00CC4CE9">
              <w:rPr>
                <w:i/>
                <w:iCs/>
                <w:lang w:eastAsia="en-AU"/>
              </w:rPr>
              <w:lastRenderedPageBreak/>
              <w:t>Pastoral Land Act 1992 (Northern Territory)</w:t>
            </w:r>
          </w:p>
        </w:tc>
        <w:tc>
          <w:tcPr>
            <w:tcW w:w="7229" w:type="dxa"/>
            <w:hideMark/>
          </w:tcPr>
          <w:p w14:paraId="2EED7449" w14:textId="77777777" w:rsidR="00C700AA" w:rsidRPr="0008132A" w:rsidRDefault="00C700AA" w:rsidP="00CC4CE9">
            <w:pPr>
              <w:pStyle w:val="TableNText"/>
              <w:rPr>
                <w:color w:val="000000"/>
              </w:rPr>
            </w:pPr>
            <w:r w:rsidRPr="0008132A">
              <w:rPr>
                <w:color w:val="000000"/>
              </w:rPr>
              <w:t xml:space="preserve">The </w:t>
            </w:r>
            <w:r w:rsidRPr="00C97EEE">
              <w:rPr>
                <w:i/>
                <w:iCs/>
                <w:color w:val="000000"/>
              </w:rPr>
              <w:t>Pastoral Land Act 1992 (Northern Territory)</w:t>
            </w:r>
            <w:r w:rsidRPr="0008132A">
              <w:rPr>
                <w:color w:val="000000"/>
              </w:rPr>
              <w:t xml:space="preserve"> is an act to make provision for the conversion and granting of title to pastoral land and the administration, management and conservation of pastoral land, and for related purposes.</w:t>
            </w:r>
          </w:p>
        </w:tc>
      </w:tr>
      <w:tr w:rsidR="00C700AA" w:rsidRPr="0008132A" w14:paraId="35CA4905" w14:textId="77777777" w:rsidTr="00A335C0">
        <w:trPr>
          <w:cnfStyle w:val="000000100000" w:firstRow="0" w:lastRow="0" w:firstColumn="0" w:lastColumn="0" w:oddVBand="0" w:evenVBand="0" w:oddHBand="1" w:evenHBand="0" w:firstRowFirstColumn="0" w:firstRowLastColumn="0" w:lastRowFirstColumn="0" w:lastRowLastColumn="0"/>
        </w:trPr>
        <w:tc>
          <w:tcPr>
            <w:tcW w:w="1701" w:type="dxa"/>
            <w:hideMark/>
          </w:tcPr>
          <w:p w14:paraId="2B764C20" w14:textId="2049FD92" w:rsidR="00C700AA" w:rsidRPr="0008132A" w:rsidRDefault="00C700AA" w:rsidP="00CC4CE9">
            <w:pPr>
              <w:pStyle w:val="TableNText"/>
              <w:rPr>
                <w:lang w:eastAsia="en-AU"/>
              </w:rPr>
            </w:pPr>
            <w:r w:rsidRPr="0008132A">
              <w:rPr>
                <w:lang w:eastAsia="en-AU"/>
              </w:rPr>
              <w:t xml:space="preserve">Pastoral </w:t>
            </w:r>
            <w:r w:rsidR="00963AC6">
              <w:rPr>
                <w:lang w:eastAsia="en-AU"/>
              </w:rPr>
              <w:t>l</w:t>
            </w:r>
            <w:r w:rsidRPr="0008132A">
              <w:rPr>
                <w:lang w:eastAsia="en-AU"/>
              </w:rPr>
              <w:t>eases</w:t>
            </w:r>
          </w:p>
        </w:tc>
        <w:tc>
          <w:tcPr>
            <w:tcW w:w="7229" w:type="dxa"/>
            <w:hideMark/>
          </w:tcPr>
          <w:p w14:paraId="74532BF5" w14:textId="77777777" w:rsidR="00C700AA" w:rsidRPr="0008132A" w:rsidRDefault="00C700AA" w:rsidP="00CC4CE9">
            <w:pPr>
              <w:pStyle w:val="TableNText"/>
              <w:rPr>
                <w:color w:val="000000"/>
              </w:rPr>
            </w:pPr>
            <w:r w:rsidRPr="0008132A">
              <w:rPr>
                <w:color w:val="000000"/>
              </w:rPr>
              <w:t xml:space="preserve">A pastoral lease is a title issued for the lease of an area of Crown land to use for the limited purpose of grazing of stock and associated activities. It is a limited property right and does not provide the leaseholder with all the rights that attach to freehold land. Native title rights often co-exist with pastoral lease rights. </w:t>
            </w:r>
          </w:p>
        </w:tc>
      </w:tr>
      <w:tr w:rsidR="00C700AA" w:rsidRPr="0008132A" w14:paraId="29F898D7" w14:textId="77777777" w:rsidTr="00A335C0">
        <w:trPr>
          <w:cnfStyle w:val="000000010000" w:firstRow="0" w:lastRow="0" w:firstColumn="0" w:lastColumn="0" w:oddVBand="0" w:evenVBand="0" w:oddHBand="0" w:evenHBand="1" w:firstRowFirstColumn="0" w:firstRowLastColumn="0" w:lastRowFirstColumn="0" w:lastRowLastColumn="0"/>
        </w:trPr>
        <w:tc>
          <w:tcPr>
            <w:tcW w:w="1701" w:type="dxa"/>
            <w:hideMark/>
          </w:tcPr>
          <w:p w14:paraId="2C6017C3" w14:textId="77777777" w:rsidR="00C700AA" w:rsidRPr="0008132A" w:rsidRDefault="00C700AA" w:rsidP="00CC4CE9">
            <w:pPr>
              <w:pStyle w:val="TableNText"/>
              <w:rPr>
                <w:lang w:eastAsia="en-AU"/>
              </w:rPr>
            </w:pPr>
            <w:r w:rsidRPr="0008132A">
              <w:rPr>
                <w:lang w:eastAsia="en-AU"/>
              </w:rPr>
              <w:t>Post-determination</w:t>
            </w:r>
          </w:p>
        </w:tc>
        <w:tc>
          <w:tcPr>
            <w:tcW w:w="7229" w:type="dxa"/>
            <w:hideMark/>
          </w:tcPr>
          <w:p w14:paraId="7D7C7099" w14:textId="61D25775" w:rsidR="00C700AA" w:rsidRPr="0008132A" w:rsidRDefault="00C700AA" w:rsidP="00CC4CE9">
            <w:pPr>
              <w:pStyle w:val="TableNText"/>
              <w:rPr>
                <w:color w:val="000000"/>
              </w:rPr>
            </w:pPr>
            <w:r w:rsidRPr="0008132A">
              <w:rPr>
                <w:color w:val="000000"/>
              </w:rPr>
              <w:t xml:space="preserve">At a claim level, refers to the period following a determination that native title exists. At an </w:t>
            </w:r>
            <w:r w:rsidR="002B0CDB" w:rsidRPr="0008132A">
              <w:rPr>
                <w:lang w:eastAsia="en-AU"/>
              </w:rPr>
              <w:t>Native Title</w:t>
            </w:r>
            <w:r w:rsidR="002B0CDB">
              <w:rPr>
                <w:lang w:eastAsia="en-AU"/>
              </w:rPr>
              <w:t xml:space="preserve"> </w:t>
            </w:r>
            <w:r w:rsidR="002B0CDB" w:rsidRPr="0008132A">
              <w:rPr>
                <w:lang w:eastAsia="en-AU"/>
              </w:rPr>
              <w:t>Representative Bod</w:t>
            </w:r>
            <w:r w:rsidR="002B0CDB">
              <w:rPr>
                <w:lang w:eastAsia="en-AU"/>
              </w:rPr>
              <w:t xml:space="preserve">y and </w:t>
            </w:r>
            <w:r w:rsidR="002B0CDB" w:rsidRPr="0008132A">
              <w:rPr>
                <w:lang w:eastAsia="en-AU"/>
              </w:rPr>
              <w:t xml:space="preserve">Service Provider </w:t>
            </w:r>
            <w:r w:rsidRPr="0008132A">
              <w:rPr>
                <w:color w:val="000000"/>
              </w:rPr>
              <w:t xml:space="preserve">life cycle level, refers to the period following the resolution of all active claims within a </w:t>
            </w:r>
            <w:r w:rsidR="002B0CDB" w:rsidRPr="0008132A">
              <w:rPr>
                <w:lang w:eastAsia="en-AU"/>
              </w:rPr>
              <w:t xml:space="preserve">Representative Aboriginal/Torres Strait Islander Body </w:t>
            </w:r>
            <w:r w:rsidRPr="0008132A">
              <w:rPr>
                <w:color w:val="000000"/>
              </w:rPr>
              <w:t>area.</w:t>
            </w:r>
            <w:r w:rsidR="002B0CDB">
              <w:rPr>
                <w:color w:val="000000"/>
              </w:rPr>
              <w:t xml:space="preserve"> </w:t>
            </w:r>
          </w:p>
        </w:tc>
      </w:tr>
      <w:tr w:rsidR="00C700AA" w:rsidRPr="0008132A" w14:paraId="70921508" w14:textId="77777777" w:rsidTr="00A335C0">
        <w:trPr>
          <w:cnfStyle w:val="000000100000" w:firstRow="0" w:lastRow="0" w:firstColumn="0" w:lastColumn="0" w:oddVBand="0" w:evenVBand="0" w:oddHBand="1" w:evenHBand="0" w:firstRowFirstColumn="0" w:firstRowLastColumn="0" w:lastRowFirstColumn="0" w:lastRowLastColumn="0"/>
        </w:trPr>
        <w:tc>
          <w:tcPr>
            <w:tcW w:w="1701" w:type="dxa"/>
            <w:hideMark/>
          </w:tcPr>
          <w:p w14:paraId="410C424D" w14:textId="77777777" w:rsidR="00C700AA" w:rsidRPr="0008132A" w:rsidRDefault="00C700AA" w:rsidP="00CC4CE9">
            <w:pPr>
              <w:pStyle w:val="TableNText"/>
              <w:rPr>
                <w:lang w:eastAsia="en-AU"/>
              </w:rPr>
            </w:pPr>
            <w:r w:rsidRPr="0008132A">
              <w:rPr>
                <w:lang w:eastAsia="en-AU"/>
              </w:rPr>
              <w:t>Prescribed Body Corporate (PBC)</w:t>
            </w:r>
          </w:p>
        </w:tc>
        <w:tc>
          <w:tcPr>
            <w:tcW w:w="7229" w:type="dxa"/>
            <w:hideMark/>
          </w:tcPr>
          <w:p w14:paraId="0E5867C8" w14:textId="395E03AF" w:rsidR="00C700AA" w:rsidRPr="0008132A" w:rsidRDefault="00C700AA" w:rsidP="00CC4CE9">
            <w:pPr>
              <w:pStyle w:val="TableNText"/>
              <w:rPr>
                <w:color w:val="000000"/>
              </w:rPr>
            </w:pPr>
            <w:r w:rsidRPr="0008132A">
              <w:rPr>
                <w:color w:val="000000"/>
              </w:rPr>
              <w:t xml:space="preserve">A body, established under the </w:t>
            </w:r>
            <w:r w:rsidR="002B0CDB" w:rsidRPr="00CC4CE9">
              <w:rPr>
                <w:i/>
                <w:iCs/>
                <w:lang w:eastAsia="en-AU"/>
              </w:rPr>
              <w:t>Corporations (Aboriginal and Torres Strait Islander) Act 2006 (Cth)</w:t>
            </w:r>
            <w:r w:rsidRPr="0008132A">
              <w:rPr>
                <w:lang w:eastAsia="en-AU"/>
              </w:rPr>
              <w:t xml:space="preserve">, </w:t>
            </w:r>
            <w:r w:rsidRPr="0008132A">
              <w:rPr>
                <w:color w:val="000000"/>
              </w:rPr>
              <w:t>nominated by native title holders which will represent them and manage their native title rights and interests once a determination that native title exists has been made.</w:t>
            </w:r>
            <w:r w:rsidR="002B0CDB">
              <w:rPr>
                <w:color w:val="000000"/>
              </w:rPr>
              <w:t xml:space="preserve"> </w:t>
            </w:r>
          </w:p>
        </w:tc>
      </w:tr>
      <w:tr w:rsidR="009C645F" w:rsidRPr="0008132A" w14:paraId="1BDD8B60" w14:textId="77777777" w:rsidTr="00A335C0">
        <w:trPr>
          <w:cnfStyle w:val="000000010000" w:firstRow="0" w:lastRow="0" w:firstColumn="0" w:lastColumn="0" w:oddVBand="0" w:evenVBand="0" w:oddHBand="0" w:evenHBand="1" w:firstRowFirstColumn="0" w:firstRowLastColumn="0" w:lastRowFirstColumn="0" w:lastRowLastColumn="0"/>
        </w:trPr>
        <w:tc>
          <w:tcPr>
            <w:tcW w:w="1701" w:type="dxa"/>
          </w:tcPr>
          <w:p w14:paraId="25502257" w14:textId="1D38AE74" w:rsidR="009C645F" w:rsidRPr="0008132A" w:rsidRDefault="009C645F" w:rsidP="00CC4CE9">
            <w:pPr>
              <w:pStyle w:val="TableNText"/>
              <w:rPr>
                <w:lang w:eastAsia="en-AU"/>
              </w:rPr>
            </w:pPr>
            <w:r w:rsidRPr="00975E69">
              <w:rPr>
                <w:i/>
                <w:iCs/>
                <w:lang w:eastAsia="en-AU"/>
              </w:rPr>
              <w:t>Public Governance, Performance and Accountability Act 2013</w:t>
            </w:r>
            <w:r w:rsidRPr="00DF017D">
              <w:rPr>
                <w:lang w:eastAsia="en-AU"/>
              </w:rPr>
              <w:t xml:space="preserve"> (PGPA)</w:t>
            </w:r>
          </w:p>
        </w:tc>
        <w:tc>
          <w:tcPr>
            <w:tcW w:w="7229" w:type="dxa"/>
          </w:tcPr>
          <w:p w14:paraId="0E422DA3" w14:textId="120084C0" w:rsidR="009C645F" w:rsidRPr="0008132A" w:rsidRDefault="00D2602E" w:rsidP="00CC4CE9">
            <w:pPr>
              <w:pStyle w:val="TableNText"/>
            </w:pPr>
            <w:r w:rsidRPr="00DF017D">
              <w:t xml:space="preserve">The </w:t>
            </w:r>
            <w:r w:rsidRPr="00975E69">
              <w:rPr>
                <w:i/>
                <w:iCs/>
                <w:lang w:eastAsia="en-AU"/>
              </w:rPr>
              <w:t>Public Governance, Performance and Accountability Act 2013</w:t>
            </w:r>
            <w:r w:rsidRPr="00DF017D">
              <w:rPr>
                <w:lang w:eastAsia="en-AU"/>
              </w:rPr>
              <w:t xml:space="preserve"> </w:t>
            </w:r>
            <w:r>
              <w:rPr>
                <w:lang w:eastAsia="en-AU"/>
              </w:rPr>
              <w:t xml:space="preserve">is </w:t>
            </w:r>
            <w:r w:rsidRPr="00DF017D">
              <w:t>administered by the Department of Finance and applies to all officials of Commonwealth entities. It establishes rules not only for financial management but also for the broader governance, performance and accountability for the Commonwealth public sector.</w:t>
            </w:r>
          </w:p>
        </w:tc>
      </w:tr>
      <w:tr w:rsidR="00C700AA" w:rsidRPr="0008132A" w14:paraId="77CD3953" w14:textId="77777777" w:rsidTr="00A335C0">
        <w:trPr>
          <w:cnfStyle w:val="000000100000" w:firstRow="0" w:lastRow="0" w:firstColumn="0" w:lastColumn="0" w:oddVBand="0" w:evenVBand="0" w:oddHBand="1" w:evenHBand="0" w:firstRowFirstColumn="0" w:firstRowLastColumn="0" w:lastRowFirstColumn="0" w:lastRowLastColumn="0"/>
        </w:trPr>
        <w:tc>
          <w:tcPr>
            <w:tcW w:w="1701" w:type="dxa"/>
            <w:hideMark/>
          </w:tcPr>
          <w:p w14:paraId="2F3DC8A5" w14:textId="77777777" w:rsidR="00C700AA" w:rsidRPr="0008132A" w:rsidRDefault="00C700AA" w:rsidP="00CC4CE9">
            <w:pPr>
              <w:pStyle w:val="TableNText"/>
              <w:rPr>
                <w:lang w:eastAsia="en-AU"/>
              </w:rPr>
            </w:pPr>
            <w:r w:rsidRPr="0008132A">
              <w:rPr>
                <w:lang w:eastAsia="en-AU"/>
              </w:rPr>
              <w:t>Registration test</w:t>
            </w:r>
          </w:p>
        </w:tc>
        <w:tc>
          <w:tcPr>
            <w:tcW w:w="7229" w:type="dxa"/>
            <w:hideMark/>
          </w:tcPr>
          <w:p w14:paraId="70473BC7" w14:textId="7225A502" w:rsidR="00C700AA" w:rsidRPr="0008132A" w:rsidRDefault="00C700AA" w:rsidP="00CC4CE9">
            <w:pPr>
              <w:pStyle w:val="TableNText"/>
            </w:pPr>
            <w:r w:rsidRPr="0008132A">
              <w:t xml:space="preserve">The registration test is a set of conditions applied to the claims made in native title determination applications. The Native Title Registrar, or the Registrar’s delegate, applies the test. If a claim satisfies the conditions of the registration test, details of the application are entered on to the Register of Native Title Claims. This means that the application becomes a registered claim and is able to exercise the procedural rights stipulated in the future act provisions of the </w:t>
            </w:r>
            <w:r w:rsidR="00CC4CE9" w:rsidRPr="00CC4CE9">
              <w:rPr>
                <w:i/>
                <w:iCs/>
                <w:lang w:eastAsia="en-AU"/>
              </w:rPr>
              <w:t>Native Title Act 1993 (Cth)</w:t>
            </w:r>
            <w:r w:rsidRPr="0008132A">
              <w:t>.</w:t>
            </w:r>
          </w:p>
        </w:tc>
      </w:tr>
      <w:tr w:rsidR="00C700AA" w:rsidRPr="0008132A" w14:paraId="6D1948A1" w14:textId="77777777" w:rsidTr="00A335C0">
        <w:trPr>
          <w:cnfStyle w:val="000000010000" w:firstRow="0" w:lastRow="0" w:firstColumn="0" w:lastColumn="0" w:oddVBand="0" w:evenVBand="0" w:oddHBand="0" w:evenHBand="1" w:firstRowFirstColumn="0" w:firstRowLastColumn="0" w:lastRowFirstColumn="0" w:lastRowLastColumn="0"/>
        </w:trPr>
        <w:tc>
          <w:tcPr>
            <w:tcW w:w="1701" w:type="dxa"/>
            <w:hideMark/>
          </w:tcPr>
          <w:p w14:paraId="171D250F" w14:textId="77777777" w:rsidR="00C700AA" w:rsidRPr="0008132A" w:rsidRDefault="00C700AA" w:rsidP="00CC4CE9">
            <w:pPr>
              <w:pStyle w:val="TableNText"/>
              <w:rPr>
                <w:lang w:eastAsia="en-AU"/>
              </w:rPr>
            </w:pPr>
            <w:r w:rsidRPr="0008132A">
              <w:rPr>
                <w:lang w:eastAsia="en-AU"/>
              </w:rPr>
              <w:t>Representative Aboriginal/Torres Strait Islander Body area (RATSIB area)</w:t>
            </w:r>
          </w:p>
        </w:tc>
        <w:tc>
          <w:tcPr>
            <w:tcW w:w="7229" w:type="dxa"/>
            <w:hideMark/>
          </w:tcPr>
          <w:p w14:paraId="54236652" w14:textId="2838350D" w:rsidR="00C700AA" w:rsidRPr="0008132A" w:rsidRDefault="00C700AA" w:rsidP="00CC4CE9">
            <w:pPr>
              <w:pStyle w:val="TableNText"/>
              <w:rPr>
                <w:color w:val="000000"/>
              </w:rPr>
            </w:pPr>
            <w:r w:rsidRPr="0008132A">
              <w:rPr>
                <w:color w:val="000000"/>
              </w:rPr>
              <w:t xml:space="preserve">The area over which a </w:t>
            </w:r>
            <w:r w:rsidR="000618F3" w:rsidRPr="0008132A">
              <w:rPr>
                <w:lang w:eastAsia="en-AU"/>
              </w:rPr>
              <w:t>Native Title</w:t>
            </w:r>
            <w:r w:rsidR="000618F3">
              <w:rPr>
                <w:lang w:eastAsia="en-AU"/>
              </w:rPr>
              <w:t xml:space="preserve"> </w:t>
            </w:r>
            <w:r w:rsidR="000618F3" w:rsidRPr="0008132A">
              <w:rPr>
                <w:lang w:eastAsia="en-AU"/>
              </w:rPr>
              <w:t>Representative Bod</w:t>
            </w:r>
            <w:r w:rsidR="000618F3">
              <w:rPr>
                <w:lang w:eastAsia="en-AU"/>
              </w:rPr>
              <w:t xml:space="preserve">y and </w:t>
            </w:r>
            <w:r w:rsidR="000618F3" w:rsidRPr="0008132A">
              <w:rPr>
                <w:lang w:eastAsia="en-AU"/>
              </w:rPr>
              <w:t xml:space="preserve">Service Provider </w:t>
            </w:r>
            <w:r w:rsidRPr="0008132A">
              <w:rPr>
                <w:color w:val="000000"/>
              </w:rPr>
              <w:t>holds jurisdiction.</w:t>
            </w:r>
          </w:p>
        </w:tc>
      </w:tr>
      <w:tr w:rsidR="00C700AA" w:rsidRPr="0008132A" w14:paraId="0EAB09F1" w14:textId="77777777" w:rsidTr="00A335C0">
        <w:trPr>
          <w:cnfStyle w:val="000000100000" w:firstRow="0" w:lastRow="0" w:firstColumn="0" w:lastColumn="0" w:oddVBand="0" w:evenVBand="0" w:oddHBand="1" w:evenHBand="0" w:firstRowFirstColumn="0" w:firstRowLastColumn="0" w:lastRowFirstColumn="0" w:lastRowLastColumn="0"/>
        </w:trPr>
        <w:tc>
          <w:tcPr>
            <w:tcW w:w="1701" w:type="dxa"/>
            <w:hideMark/>
          </w:tcPr>
          <w:p w14:paraId="7E043774" w14:textId="77777777" w:rsidR="00C700AA" w:rsidRPr="0008132A" w:rsidRDefault="00C700AA" w:rsidP="00CC4CE9">
            <w:pPr>
              <w:pStyle w:val="TableNText"/>
              <w:rPr>
                <w:lang w:eastAsia="en-AU"/>
              </w:rPr>
            </w:pPr>
            <w:r w:rsidRPr="0008132A">
              <w:rPr>
                <w:lang w:eastAsia="en-AU"/>
              </w:rPr>
              <w:t>Terms of Reference (TOR)</w:t>
            </w:r>
          </w:p>
        </w:tc>
        <w:tc>
          <w:tcPr>
            <w:tcW w:w="7229" w:type="dxa"/>
            <w:hideMark/>
          </w:tcPr>
          <w:p w14:paraId="02D05DCC" w14:textId="464B5A80" w:rsidR="00C700AA" w:rsidRPr="0008132A" w:rsidRDefault="00C700AA" w:rsidP="00CC4CE9">
            <w:pPr>
              <w:pStyle w:val="TableNText"/>
            </w:pPr>
            <w:r w:rsidRPr="0008132A">
              <w:t xml:space="preserve">Refers to the </w:t>
            </w:r>
            <w:r w:rsidR="000618F3" w:rsidRPr="0008132A">
              <w:rPr>
                <w:lang w:eastAsia="en-AU"/>
              </w:rPr>
              <w:t xml:space="preserve">Terms of Reference </w:t>
            </w:r>
            <w:r w:rsidRPr="0008132A">
              <w:t xml:space="preserve">provided by </w:t>
            </w:r>
            <w:r w:rsidR="0053345E" w:rsidRPr="0053345E">
              <w:t xml:space="preserve">National Indigenous Australian’s Agency </w:t>
            </w:r>
            <w:r w:rsidRPr="0008132A">
              <w:t xml:space="preserve">which govern the scope of the project. These can be found in </w:t>
            </w:r>
            <w:r w:rsidR="00CC4CE9">
              <w:fldChar w:fldCharType="begin"/>
            </w:r>
            <w:r w:rsidR="00CC4CE9">
              <w:instrText xml:space="preserve"> REF _Ref64555843 \n \h </w:instrText>
            </w:r>
            <w:r w:rsidR="00CC4CE9">
              <w:fldChar w:fldCharType="separate"/>
            </w:r>
            <w:r w:rsidR="000D664D">
              <w:t>Appendix A</w:t>
            </w:r>
            <w:r w:rsidR="00CC4CE9">
              <w:fldChar w:fldCharType="end"/>
            </w:r>
            <w:r w:rsidRPr="0008132A">
              <w:t>.</w:t>
            </w:r>
          </w:p>
        </w:tc>
      </w:tr>
      <w:tr w:rsidR="00C700AA" w:rsidRPr="0008132A" w14:paraId="0782C042" w14:textId="77777777" w:rsidTr="00A335C0">
        <w:trPr>
          <w:cnfStyle w:val="000000010000" w:firstRow="0" w:lastRow="0" w:firstColumn="0" w:lastColumn="0" w:oddVBand="0" w:evenVBand="0" w:oddHBand="0" w:evenHBand="1" w:firstRowFirstColumn="0" w:firstRowLastColumn="0" w:lastRowFirstColumn="0" w:lastRowLastColumn="0"/>
        </w:trPr>
        <w:tc>
          <w:tcPr>
            <w:tcW w:w="1701" w:type="dxa"/>
            <w:hideMark/>
          </w:tcPr>
          <w:p w14:paraId="52A92A2F" w14:textId="77777777" w:rsidR="00C700AA" w:rsidRPr="0008132A" w:rsidRDefault="00C700AA" w:rsidP="00CC4CE9">
            <w:pPr>
              <w:pStyle w:val="TableNText"/>
              <w:rPr>
                <w:lang w:eastAsia="en-AU"/>
              </w:rPr>
            </w:pPr>
            <w:r w:rsidRPr="0008132A">
              <w:rPr>
                <w:lang w:eastAsia="en-AU"/>
              </w:rPr>
              <w:t xml:space="preserve">Traditional Owners </w:t>
            </w:r>
          </w:p>
        </w:tc>
        <w:tc>
          <w:tcPr>
            <w:tcW w:w="7229" w:type="dxa"/>
            <w:hideMark/>
          </w:tcPr>
          <w:p w14:paraId="3EC4306E" w14:textId="77777777" w:rsidR="00C700AA" w:rsidRPr="0008132A" w:rsidRDefault="00C700AA" w:rsidP="00CC4CE9">
            <w:pPr>
              <w:pStyle w:val="TableNText"/>
            </w:pPr>
            <w:r w:rsidRPr="0008132A">
              <w:t>Individuals of Aboriginal and/or Torres Strait Islander descent who identify as being a descendant of persons that occupied a particular area prior to European settlement.</w:t>
            </w:r>
          </w:p>
        </w:tc>
      </w:tr>
    </w:tbl>
    <w:p w14:paraId="3E1664B7" w14:textId="77777777" w:rsidR="00C700AA" w:rsidRPr="0008132A" w:rsidRDefault="00C700AA" w:rsidP="00C700AA">
      <w:pPr>
        <w:spacing w:line="240" w:lineRule="auto"/>
        <w:rPr>
          <w:rFonts w:eastAsia="Segoe UI" w:cs="Times New Roman"/>
          <w:lang w:eastAsia="en-AU"/>
        </w:rPr>
      </w:pPr>
    </w:p>
    <w:p w14:paraId="23684567" w14:textId="5358397B" w:rsidR="00C700AA" w:rsidRPr="0008132A" w:rsidRDefault="00C700AA" w:rsidP="00C700AA">
      <w:pPr>
        <w:spacing w:after="160"/>
        <w:rPr>
          <w:rFonts w:eastAsia="Segoe UI" w:cs="Times New Roman"/>
          <w:lang w:eastAsia="en-AU"/>
        </w:rPr>
      </w:pPr>
    </w:p>
    <w:sectPr w:rsidR="00C700AA" w:rsidRPr="0008132A" w:rsidSect="00AE1109">
      <w:headerReference w:type="default" r:id="rId17"/>
      <w:footerReference w:type="default" r:id="rId18"/>
      <w:headerReference w:type="first" r:id="rId19"/>
      <w:footerReference w:type="first" r:id="rId20"/>
      <w:pgSz w:w="11907" w:h="16839" w:code="9"/>
      <w:pgMar w:top="1418" w:right="1418" w:bottom="1701" w:left="1559"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F7833C" w14:textId="77777777" w:rsidR="00D108FE" w:rsidRDefault="00D108FE" w:rsidP="00302076">
      <w:pPr>
        <w:spacing w:after="0"/>
      </w:pPr>
      <w:r>
        <w:separator/>
      </w:r>
    </w:p>
  </w:endnote>
  <w:endnote w:type="continuationSeparator" w:id="0">
    <w:p w14:paraId="725CB653" w14:textId="77777777" w:rsidR="00D108FE" w:rsidRDefault="00D108FE" w:rsidP="00302076">
      <w:pPr>
        <w:spacing w:after="0"/>
      </w:pPr>
      <w:r>
        <w:continuationSeparator/>
      </w:r>
    </w:p>
  </w:endnote>
  <w:endnote w:type="continuationNotice" w:id="1">
    <w:p w14:paraId="3D5B3642" w14:textId="77777777" w:rsidR="00D108FE" w:rsidRDefault="00D108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emilight">
    <w:panose1 w:val="020B04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ZWAdobeF">
    <w:altName w:val="Calibri"/>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891D5" w14:textId="53CDD10D" w:rsidR="00E41A09" w:rsidRPr="00FD4AB1" w:rsidRDefault="00E41A09" w:rsidP="00FD4AB1">
    <w:pPr>
      <w:pStyle w:val="Footer"/>
      <w:rPr>
        <w:rFonts w:ascii="Segoe UI Semibold" w:hAnsi="Segoe UI Semibold" w:cs="Segoe UI"/>
        <w:b/>
      </w:rPr>
    </w:pPr>
    <w:r>
      <w:rPr>
        <w:color w:val="808080" w:themeColor="background1" w:themeShade="80"/>
        <w:szCs w:val="15"/>
        <w:lang w:eastAsia="en-AU"/>
      </w:rPr>
      <w:t xml:space="preserve">Nous Group | </w:t>
    </w:r>
    <w:sdt>
      <w:sdtPr>
        <w:rPr>
          <w:color w:val="808080" w:themeColor="background1" w:themeShade="80"/>
          <w:szCs w:val="15"/>
          <w:lang w:eastAsia="en-AU"/>
        </w:rPr>
        <w:alias w:val="Title"/>
        <w:id w:val="671915616"/>
        <w:dataBinding w:prefixMappings="xmlns:ns0='http://purl.org/dc/elements/1.1/' xmlns:ns1='http://schemas.openxmlformats.org/package/2006/metadata/core-properties' " w:xpath="/ns1:coreProperties[1]/ns0:title[1]" w:storeItemID="{6C3C8BC8-F283-45AE-878A-BAB7291924A1}"/>
        <w:text/>
      </w:sdtPr>
      <w:sdtEndPr/>
      <w:sdtContent>
        <w:r w:rsidR="006A2E19">
          <w:rPr>
            <w:color w:val="808080" w:themeColor="background1" w:themeShade="80"/>
            <w:szCs w:val="15"/>
            <w:lang w:eastAsia="en-AU"/>
          </w:rPr>
          <w:t>Review of Performance as a Native Title Representative Body: Central Land Council</w:t>
        </w:r>
      </w:sdtContent>
    </w:sdt>
    <w:r>
      <w:rPr>
        <w:color w:val="808080" w:themeColor="background1" w:themeShade="80"/>
        <w:szCs w:val="15"/>
        <w:lang w:eastAsia="en-AU"/>
      </w:rPr>
      <w:t xml:space="preserve"> | </w:t>
    </w:r>
    <w:sdt>
      <w:sdtPr>
        <w:rPr>
          <w:color w:val="808080" w:themeColor="background1" w:themeShade="80"/>
          <w:szCs w:val="15"/>
          <w:lang w:eastAsia="en-AU"/>
        </w:rPr>
        <w:alias w:val="Publish Date"/>
        <w:id w:val="932784730"/>
        <w:dataBinding w:prefixMappings="xmlns:ns0='http://schemas.microsoft.com/office/2006/coverPageProps' " w:xpath="/ns0:CoverPageProperties[1]/ns0:PublishDate[1]" w:storeItemID="{55AF091B-3C7A-41E3-B477-F2FDAA23CFDA}"/>
        <w:date w:fullDate="2021-03-29T00:00:00Z">
          <w:dateFormat w:val="d MMMM yyyy"/>
          <w:lid w:val="en-AU"/>
          <w:storeMappedDataAs w:val="dateTime"/>
          <w:calendar w:val="gregorian"/>
        </w:date>
      </w:sdtPr>
      <w:sdtEndPr/>
      <w:sdtContent>
        <w:r w:rsidR="00270E00">
          <w:rPr>
            <w:color w:val="808080" w:themeColor="background1" w:themeShade="80"/>
            <w:szCs w:val="15"/>
            <w:lang w:eastAsia="en-AU"/>
          </w:rPr>
          <w:t>29 March 2021</w:t>
        </w:r>
      </w:sdtContent>
    </w:sdt>
    <w:r w:rsidRPr="00FD4AB1">
      <w:rPr>
        <w:rFonts w:ascii="Segoe UI Semibold" w:hAnsi="Segoe UI Semibold" w:cs="Segoe UI"/>
        <w:color w:val="A5A5A5"/>
      </w:rPr>
      <w:ptab w:relativeTo="margin" w:alignment="right" w:leader="none"/>
    </w:r>
    <w:r w:rsidRPr="00FD4AB1">
      <w:rPr>
        <w:rFonts w:cs="Segoe UI"/>
        <w:color w:val="A5A5A5"/>
      </w:rPr>
      <w:t xml:space="preserve">| </w:t>
    </w:r>
    <w:r w:rsidRPr="003B464C">
      <w:rPr>
        <w:rFonts w:cs="Segoe UI"/>
        <w:b/>
        <w:color w:val="A5A5A5"/>
        <w:sz w:val="16"/>
        <w:szCs w:val="16"/>
      </w:rPr>
      <w:fldChar w:fldCharType="begin"/>
    </w:r>
    <w:r w:rsidRPr="003B464C">
      <w:rPr>
        <w:rFonts w:cs="Segoe UI"/>
        <w:color w:val="A5A5A5"/>
        <w:sz w:val="16"/>
        <w:szCs w:val="16"/>
      </w:rPr>
      <w:instrText xml:space="preserve"> PAGE  \* roman  \* MERGEFORMAT </w:instrText>
    </w:r>
    <w:r w:rsidRPr="003B464C">
      <w:rPr>
        <w:rFonts w:cs="Segoe UI"/>
        <w:b/>
        <w:color w:val="A5A5A5"/>
        <w:sz w:val="16"/>
        <w:szCs w:val="16"/>
      </w:rPr>
      <w:fldChar w:fldCharType="separate"/>
    </w:r>
    <w:r w:rsidRPr="00F75386">
      <w:rPr>
        <w:rFonts w:cs="Segoe UI"/>
        <w:b/>
        <w:noProof/>
        <w:color w:val="A5A5A5"/>
        <w:sz w:val="16"/>
        <w:szCs w:val="16"/>
      </w:rPr>
      <w:t>i</w:t>
    </w:r>
    <w:r w:rsidRPr="003B464C">
      <w:rPr>
        <w:rFonts w:cs="Segoe UI"/>
        <w:b/>
        <w:color w:val="A5A5A5"/>
        <w:sz w:val="16"/>
        <w:szCs w:val="16"/>
      </w:rPr>
      <w:fldChar w:fldCharType="end"/>
    </w:r>
    <w:r w:rsidRPr="003B464C">
      <w:rPr>
        <w:rFonts w:cs="Segoe UI"/>
        <w:color w:val="A5A5A5"/>
        <w:sz w:val="16"/>
        <w:szCs w:val="16"/>
      </w:rPr>
      <w:t xml:space="preserve"> </w:t>
    </w:r>
    <w:r w:rsidRPr="00FD4AB1">
      <w:rPr>
        <w:rFonts w:cs="Segoe UI"/>
        <w:color w:val="A5A5A5"/>
      </w:rP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AB8C0" w14:textId="307F9E89" w:rsidR="00037553" w:rsidRDefault="00037553" w:rsidP="00037553">
    <w:pPr>
      <w:pStyle w:val="NousFooter"/>
    </w:pPr>
    <w:r w:rsidRPr="008A55C6">
      <w:t xml:space="preserve">Nous Group | </w:t>
    </w:r>
    <w:r w:rsidR="008F105A" w:rsidRPr="008F105A">
      <w:t xml:space="preserve">Review of NTRB-SPs – </w:t>
    </w:r>
    <w:r w:rsidR="008F105A">
      <w:t>C</w:t>
    </w:r>
    <w:r w:rsidR="008F105A" w:rsidRPr="008F105A">
      <w:t>LC summary report</w:t>
    </w:r>
    <w:r w:rsidRPr="008A55C6">
      <w:t xml:space="preserve"> | </w:t>
    </w:r>
    <w:r w:rsidR="00270E00">
      <w:t>March 2021</w:t>
    </w:r>
    <w:r w:rsidRPr="008A55C6">
      <w:ptab w:relativeTo="margin" w:alignment="right" w:leader="none"/>
    </w:r>
    <w:r w:rsidRPr="008A55C6">
      <w:t>|</w:t>
    </w:r>
    <w:r>
      <w:t xml:space="preserve"> </w:t>
    </w:r>
    <w:r>
      <w:fldChar w:fldCharType="begin"/>
    </w:r>
    <w:r>
      <w:instrText xml:space="preserve"> PAGE  \* Arabic  \* MERGEFORMAT </w:instrText>
    </w:r>
    <w:r>
      <w:fldChar w:fldCharType="separate"/>
    </w:r>
    <w:r w:rsidR="00583587">
      <w:rPr>
        <w:noProof/>
      </w:rPr>
      <w:t>21</w:t>
    </w:r>
    <w:r>
      <w:fldChar w:fldCharType="end"/>
    </w:r>
    <w:r>
      <w:t xml:space="preserve"> </w:t>
    </w:r>
    <w:r w:rsidRPr="008A55C6">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C545A" w14:textId="77777777" w:rsidR="00037553" w:rsidRDefault="00A53BED">
    <w:pPr>
      <w:pStyle w:val="Footer"/>
    </w:pPr>
    <w:r>
      <w:rPr>
        <w:noProof/>
        <w:lang w:eastAsia="en-AU"/>
      </w:rPr>
      <w:drawing>
        <wp:anchor distT="0" distB="0" distL="114300" distR="114300" simplePos="0" relativeHeight="251658243" behindDoc="1" locked="0" layoutInCell="1" allowOverlap="1" wp14:anchorId="6FE140D2" wp14:editId="131A0C08">
          <wp:simplePos x="0" y="0"/>
          <wp:positionH relativeFrom="rightMargin">
            <wp:posOffset>-410845</wp:posOffset>
          </wp:positionH>
          <wp:positionV relativeFrom="paragraph">
            <wp:posOffset>-53340</wp:posOffset>
          </wp:positionV>
          <wp:extent cx="857431" cy="234000"/>
          <wp:effectExtent l="0" t="0" r="0" b="0"/>
          <wp:wrapNone/>
          <wp:docPr id="4" name="Picture 4" descr="no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us-20-logo_CMYK.png"/>
                  <pic:cNvPicPr/>
                </pic:nvPicPr>
                <pic:blipFill>
                  <a:blip r:embed="rId1">
                    <a:extLst>
                      <a:ext uri="{28A0092B-C50C-407E-A947-70E740481C1C}">
                        <a14:useLocalDpi xmlns:a14="http://schemas.microsoft.com/office/drawing/2010/main" val="0"/>
                      </a:ext>
                    </a:extLst>
                  </a:blip>
                  <a:stretch>
                    <a:fillRect/>
                  </a:stretch>
                </pic:blipFill>
                <pic:spPr>
                  <a:xfrm>
                    <a:off x="0" y="0"/>
                    <a:ext cx="857431" cy="234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A11E1F" w14:textId="77777777" w:rsidR="00D108FE" w:rsidRDefault="00D108FE" w:rsidP="00302076">
      <w:pPr>
        <w:spacing w:after="0"/>
      </w:pPr>
      <w:r>
        <w:separator/>
      </w:r>
    </w:p>
  </w:footnote>
  <w:footnote w:type="continuationSeparator" w:id="0">
    <w:p w14:paraId="208DB7E6" w14:textId="77777777" w:rsidR="00D108FE" w:rsidRDefault="00D108FE" w:rsidP="00302076">
      <w:pPr>
        <w:spacing w:after="0"/>
      </w:pPr>
      <w:r>
        <w:continuationSeparator/>
      </w:r>
    </w:p>
  </w:footnote>
  <w:footnote w:type="continuationNotice" w:id="1">
    <w:p w14:paraId="347C4C5F" w14:textId="77777777" w:rsidR="00D108FE" w:rsidRDefault="00D108FE">
      <w:pPr>
        <w:spacing w:after="0" w:line="240" w:lineRule="auto"/>
      </w:pPr>
    </w:p>
  </w:footnote>
  <w:footnote w:id="2">
    <w:p w14:paraId="656877AF" w14:textId="77777777" w:rsidR="00D435A6" w:rsidRPr="00DE1F01" w:rsidRDefault="00D435A6" w:rsidP="00F039C3">
      <w:pPr>
        <w:pStyle w:val="Footer"/>
      </w:pPr>
      <w:r w:rsidRPr="00DE1F01">
        <w:rPr>
          <w:rStyle w:val="FootnoteReference"/>
          <w:sz w:val="16"/>
          <w:szCs w:val="16"/>
        </w:rPr>
        <w:footnoteRef/>
      </w:r>
      <w:r w:rsidRPr="00DE1F01">
        <w:t xml:space="preserve"> </w:t>
      </w:r>
      <w:r w:rsidRPr="00537BA7">
        <w:rPr>
          <w:i/>
          <w:iCs/>
        </w:rPr>
        <w:t>Native Title Act 1993</w:t>
      </w:r>
      <w:r w:rsidRPr="00DE1F01">
        <w:t xml:space="preserve"> (Cth) Part 11: facilitation and assistance under s.203BB, certification under s.203BE, dispute resolution under s.203BF, notification under s.203BG, agreement making under s.203BH, and internal review under s.203BI.</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01AC7" w14:textId="77777777" w:rsidR="00E41A09" w:rsidRDefault="00E41A09">
    <w:pPr>
      <w:pStyle w:val="Header"/>
    </w:pPr>
    <w:r>
      <w:rPr>
        <w:noProof/>
        <w:sz w:val="20"/>
        <w:szCs w:val="20"/>
        <w:lang w:eastAsia="en-AU"/>
      </w:rPr>
      <w:drawing>
        <wp:anchor distT="0" distB="0" distL="114300" distR="114300" simplePos="0" relativeHeight="251658240" behindDoc="0" locked="0" layoutInCell="1" allowOverlap="1" wp14:anchorId="7A1D29CA" wp14:editId="4BD91767">
          <wp:simplePos x="0" y="0"/>
          <wp:positionH relativeFrom="page">
            <wp:posOffset>3337</wp:posOffset>
          </wp:positionH>
          <wp:positionV relativeFrom="page">
            <wp:posOffset>-6985</wp:posOffset>
          </wp:positionV>
          <wp:extent cx="7559749" cy="116958"/>
          <wp:effectExtent l="0" t="0" r="0" b="0"/>
          <wp:wrapNone/>
          <wp:docPr id="27873" name="Picture 278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lue gradient line.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1FF6E" w14:textId="77777777" w:rsidR="00E41A09" w:rsidRDefault="00E41A09" w:rsidP="00F75386">
    <w:pPr>
      <w:pStyle w:val="Header"/>
      <w:tabs>
        <w:tab w:val="clear" w:pos="4513"/>
        <w:tab w:val="clear" w:pos="9026"/>
        <w:tab w:val="left" w:pos="1758"/>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D6CC8" w14:textId="77777777" w:rsidR="00037553" w:rsidRDefault="00037553">
    <w:pPr>
      <w:pStyle w:val="Header"/>
    </w:pPr>
    <w:r w:rsidRPr="007F3F81">
      <w:rPr>
        <w:noProof/>
        <w:lang w:eastAsia="en-AU"/>
      </w:rPr>
      <w:drawing>
        <wp:anchor distT="0" distB="0" distL="114300" distR="114300" simplePos="0" relativeHeight="251658241" behindDoc="0" locked="0" layoutInCell="1" allowOverlap="1" wp14:anchorId="48C2F292" wp14:editId="79E09AD6">
          <wp:simplePos x="0" y="0"/>
          <wp:positionH relativeFrom="page">
            <wp:align>center</wp:align>
          </wp:positionH>
          <wp:positionV relativeFrom="page">
            <wp:align>top</wp:align>
          </wp:positionV>
          <wp:extent cx="10699200" cy="115200"/>
          <wp:effectExtent l="0" t="0" r="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5"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9200" cy="1152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C09B9" w14:textId="77777777" w:rsidR="00037553" w:rsidRDefault="009C08CE" w:rsidP="009C08CE">
    <w:pPr>
      <w:pStyle w:val="Header"/>
      <w:tabs>
        <w:tab w:val="clear" w:pos="4513"/>
        <w:tab w:val="clear" w:pos="9026"/>
      </w:tabs>
    </w:pPr>
    <w:r w:rsidRPr="009C08CE">
      <w:rPr>
        <w:noProof/>
        <w:lang w:eastAsia="en-AU"/>
      </w:rPr>
      <w:drawing>
        <wp:anchor distT="0" distB="0" distL="114300" distR="114300" simplePos="0" relativeHeight="251658242" behindDoc="1" locked="0" layoutInCell="1" allowOverlap="1" wp14:anchorId="38A0EEBE" wp14:editId="10F3B130">
          <wp:simplePos x="0" y="0"/>
          <wp:positionH relativeFrom="page">
            <wp:align>center</wp:align>
          </wp:positionH>
          <wp:positionV relativeFrom="page">
            <wp:align>top</wp:align>
          </wp:positionV>
          <wp:extent cx="10908000" cy="115200"/>
          <wp:effectExtent l="0" t="0" r="0" b="0"/>
          <wp:wrapNone/>
          <wp:docPr id="2"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08000" cy="1152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315F3"/>
    <w:multiLevelType w:val="multilevel"/>
    <w:tmpl w:val="9CD6342C"/>
    <w:numStyleLink w:val="TableexpListnumberedmultilevel"/>
  </w:abstractNum>
  <w:abstractNum w:abstractNumId="1" w15:restartNumberingAfterBreak="0">
    <w:nsid w:val="00DB0018"/>
    <w:multiLevelType w:val="multilevel"/>
    <w:tmpl w:val="88F80222"/>
    <w:lvl w:ilvl="0">
      <w:start w:val="1"/>
      <w:numFmt w:val="decimal"/>
      <w:lvlText w:val="%1."/>
      <w:lvlJc w:val="left"/>
      <w:pPr>
        <w:ind w:left="284" w:hanging="284"/>
      </w:pPr>
      <w:rPr>
        <w:rFonts w:hint="default"/>
      </w:rPr>
    </w:lvl>
    <w:lvl w:ilvl="1">
      <w:start w:val="1"/>
      <w:numFmt w:val="lowerLetter"/>
      <w:lvlText w:val="%2."/>
      <w:lvlJc w:val="left"/>
      <w:pPr>
        <w:ind w:left="510" w:hanging="283"/>
      </w:pPr>
      <w:rPr>
        <w:rFonts w:hint="default"/>
      </w:rPr>
    </w:lvl>
    <w:lvl w:ilvl="2">
      <w:start w:val="1"/>
      <w:numFmt w:val="lowerRoman"/>
      <w:lvlText w:val="%3."/>
      <w:lvlJc w:val="right"/>
      <w:pPr>
        <w:ind w:left="737" w:hanging="113"/>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007B8F"/>
    <w:multiLevelType w:val="multilevel"/>
    <w:tmpl w:val="9CD6342C"/>
    <w:styleLink w:val="TableexpListnumberedmultilevel"/>
    <w:lvl w:ilvl="0">
      <w:start w:val="1"/>
      <w:numFmt w:val="decimal"/>
      <w:pStyle w:val="TableexpListnumbered"/>
      <w:lvlText w:val="%1."/>
      <w:lvlJc w:val="left"/>
      <w:pPr>
        <w:ind w:left="227" w:hanging="227"/>
      </w:pPr>
      <w:rPr>
        <w:rFonts w:ascii="Segoe UI" w:hAnsi="Segoe UI" w:hint="default"/>
        <w:b w:val="0"/>
        <w:i w:val="0"/>
        <w:sz w:val="16"/>
      </w:rPr>
    </w:lvl>
    <w:lvl w:ilvl="1">
      <w:start w:val="1"/>
      <w:numFmt w:val="lowerLetter"/>
      <w:lvlText w:val="%2."/>
      <w:lvlJc w:val="left"/>
      <w:pPr>
        <w:ind w:left="454" w:hanging="227"/>
      </w:pPr>
      <w:rPr>
        <w:rFonts w:ascii="Segoe UI" w:hAnsi="Segoe UI" w:hint="default"/>
        <w:sz w:val="16"/>
      </w:rPr>
    </w:lvl>
    <w:lvl w:ilvl="2">
      <w:start w:val="1"/>
      <w:numFmt w:val="lowerRoman"/>
      <w:lvlText w:val="%3."/>
      <w:lvlJc w:val="left"/>
      <w:pPr>
        <w:ind w:left="680" w:hanging="226"/>
      </w:pPr>
      <w:rPr>
        <w:rFonts w:ascii="Segoe UI" w:hAnsi="Segoe UI" w:hint="default"/>
        <w:sz w:val="16"/>
      </w:rPr>
    </w:lvl>
    <w:lvl w:ilvl="3">
      <w:start w:val="1"/>
      <w:numFmt w:val="decimal"/>
      <w:lvlText w:val="%4."/>
      <w:lvlJc w:val="left"/>
      <w:pPr>
        <w:ind w:left="5180" w:hanging="360"/>
      </w:pPr>
      <w:rPr>
        <w:rFonts w:hint="default"/>
      </w:rPr>
    </w:lvl>
    <w:lvl w:ilvl="4">
      <w:start w:val="1"/>
      <w:numFmt w:val="lowerLetter"/>
      <w:lvlText w:val="%5."/>
      <w:lvlJc w:val="left"/>
      <w:pPr>
        <w:ind w:left="5900" w:hanging="360"/>
      </w:pPr>
      <w:rPr>
        <w:rFonts w:hint="default"/>
      </w:rPr>
    </w:lvl>
    <w:lvl w:ilvl="5">
      <w:start w:val="1"/>
      <w:numFmt w:val="lowerRoman"/>
      <w:lvlText w:val="%6."/>
      <w:lvlJc w:val="right"/>
      <w:pPr>
        <w:ind w:left="6620" w:hanging="180"/>
      </w:pPr>
      <w:rPr>
        <w:rFonts w:hint="default"/>
      </w:rPr>
    </w:lvl>
    <w:lvl w:ilvl="6">
      <w:start w:val="1"/>
      <w:numFmt w:val="decimal"/>
      <w:lvlText w:val="%7."/>
      <w:lvlJc w:val="left"/>
      <w:pPr>
        <w:ind w:left="7340" w:hanging="360"/>
      </w:pPr>
      <w:rPr>
        <w:rFonts w:hint="default"/>
      </w:rPr>
    </w:lvl>
    <w:lvl w:ilvl="7">
      <w:start w:val="1"/>
      <w:numFmt w:val="lowerLetter"/>
      <w:lvlText w:val="%8."/>
      <w:lvlJc w:val="left"/>
      <w:pPr>
        <w:ind w:left="8060" w:hanging="360"/>
      </w:pPr>
      <w:rPr>
        <w:rFonts w:hint="default"/>
      </w:rPr>
    </w:lvl>
    <w:lvl w:ilvl="8">
      <w:start w:val="1"/>
      <w:numFmt w:val="lowerRoman"/>
      <w:lvlText w:val="%9."/>
      <w:lvlJc w:val="right"/>
      <w:pPr>
        <w:ind w:left="8780" w:hanging="180"/>
      </w:pPr>
      <w:rPr>
        <w:rFonts w:hint="default"/>
      </w:rPr>
    </w:lvl>
  </w:abstractNum>
  <w:abstractNum w:abstractNumId="3" w15:restartNumberingAfterBreak="0">
    <w:nsid w:val="089A31A2"/>
    <w:multiLevelType w:val="multilevel"/>
    <w:tmpl w:val="A004518A"/>
    <w:lvl w:ilvl="0">
      <w:start w:val="1"/>
      <w:numFmt w:val="decimal"/>
      <w:pStyle w:val="Heading1"/>
      <w:lvlText w:val="%1"/>
      <w:lvlJc w:val="left"/>
      <w:pPr>
        <w:ind w:left="360" w:hanging="360"/>
      </w:pPr>
      <w:rPr>
        <w:rFonts w:ascii="Segoe UI" w:hAnsi="Segoe UI" w:hint="default"/>
        <w:b/>
        <w:i w:val="0"/>
        <w:sz w:val="36"/>
        <w:szCs w:val="96"/>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15:restartNumberingAfterBreak="0">
    <w:nsid w:val="08BB2C6E"/>
    <w:multiLevelType w:val="hybridMultilevel"/>
    <w:tmpl w:val="588692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F585F7E"/>
    <w:multiLevelType w:val="multilevel"/>
    <w:tmpl w:val="88F80222"/>
    <w:lvl w:ilvl="0">
      <w:start w:val="1"/>
      <w:numFmt w:val="decimal"/>
      <w:lvlText w:val="%1."/>
      <w:lvlJc w:val="left"/>
      <w:pPr>
        <w:ind w:left="284" w:hanging="284"/>
      </w:pPr>
      <w:rPr>
        <w:rFonts w:hint="default"/>
      </w:rPr>
    </w:lvl>
    <w:lvl w:ilvl="1">
      <w:start w:val="1"/>
      <w:numFmt w:val="lowerLetter"/>
      <w:lvlText w:val="%2."/>
      <w:lvlJc w:val="left"/>
      <w:pPr>
        <w:ind w:left="510" w:hanging="283"/>
      </w:pPr>
      <w:rPr>
        <w:rFonts w:hint="default"/>
      </w:rPr>
    </w:lvl>
    <w:lvl w:ilvl="2">
      <w:start w:val="1"/>
      <w:numFmt w:val="lowerRoman"/>
      <w:lvlText w:val="%3."/>
      <w:lvlJc w:val="right"/>
      <w:pPr>
        <w:ind w:left="737" w:hanging="113"/>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30E2EF9"/>
    <w:multiLevelType w:val="hybridMultilevel"/>
    <w:tmpl w:val="A132758A"/>
    <w:lvl w:ilvl="0" w:tplc="D408B966">
      <w:start w:val="1"/>
      <w:numFmt w:val="bullet"/>
      <w:pStyle w:val="TableExp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625D8B"/>
    <w:multiLevelType w:val="multilevel"/>
    <w:tmpl w:val="2F0C2ADE"/>
    <w:lvl w:ilvl="0">
      <w:start w:val="1"/>
      <w:numFmt w:val="decimal"/>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b w:val="0"/>
        <w:i w:val="0"/>
        <w:sz w:val="19"/>
      </w:rPr>
    </w:lvl>
    <w:lvl w:ilvl="2">
      <w:start w:val="1"/>
      <w:numFmt w:val="lowerRoman"/>
      <w:lvlText w:val="%3."/>
      <w:lvlJc w:val="left"/>
      <w:pPr>
        <w:ind w:left="1021" w:hanging="341"/>
      </w:pPr>
      <w:rPr>
        <w:rFonts w:ascii="Segoe UI" w:hAnsi="Segoe UI" w:hint="default"/>
        <w:b w:val="0"/>
        <w:i w:val="0"/>
        <w:sz w:val="19"/>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5905FFB"/>
    <w:multiLevelType w:val="multilevel"/>
    <w:tmpl w:val="F2D8D162"/>
    <w:numStyleLink w:val="Listnumberedmultilevel"/>
  </w:abstractNum>
  <w:abstractNum w:abstractNumId="9" w15:restartNumberingAfterBreak="0">
    <w:nsid w:val="1AA13D2D"/>
    <w:multiLevelType w:val="multilevel"/>
    <w:tmpl w:val="F2D8D162"/>
    <w:styleLink w:val="Listnumberedmultilevel"/>
    <w:lvl w:ilvl="0">
      <w:start w:val="1"/>
      <w:numFmt w:val="decimal"/>
      <w:pStyle w:val="Listnumbered"/>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sz w:val="20"/>
      </w:rPr>
    </w:lvl>
    <w:lvl w:ilvl="2">
      <w:start w:val="1"/>
      <w:numFmt w:val="lowerRoman"/>
      <w:lvlText w:val="%3."/>
      <w:lvlJc w:val="left"/>
      <w:pPr>
        <w:ind w:left="1021" w:hanging="341"/>
      </w:pPr>
      <w:rPr>
        <w:rFonts w:ascii="Segoe UI" w:hAnsi="Segoe UI" w:hint="default"/>
        <w:sz w:val="19"/>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10" w15:restartNumberingAfterBreak="0">
    <w:nsid w:val="24D12788"/>
    <w:multiLevelType w:val="hybridMultilevel"/>
    <w:tmpl w:val="711465E6"/>
    <w:lvl w:ilvl="0" w:tplc="0E6CB73E">
      <w:start w:val="1"/>
      <w:numFmt w:val="decimal"/>
      <w:lvlText w:val="%1"/>
      <w:lvlJc w:val="left"/>
      <w:pPr>
        <w:ind w:left="870" w:hanging="360"/>
      </w:pPr>
      <w:rPr>
        <w:rFonts w:ascii="Segoe UI" w:hAnsi="Segoe UI" w:hint="default"/>
        <w:b/>
        <w:i w:val="0"/>
        <w:sz w:val="7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F0D4B48"/>
    <w:multiLevelType w:val="multilevel"/>
    <w:tmpl w:val="8A60E4A6"/>
    <w:lvl w:ilvl="0">
      <w:start w:val="1"/>
      <w:numFmt w:val="decimal"/>
      <w:lvlText w:val="%1."/>
      <w:lvlJc w:val="left"/>
      <w:pPr>
        <w:ind w:left="284" w:hanging="284"/>
      </w:pPr>
      <w:rPr>
        <w:rFonts w:ascii="Segoe UI" w:hAnsi="Segoe UI" w:hint="default"/>
        <w:b w:val="0"/>
        <w:i w:val="0"/>
        <w:sz w:val="17"/>
      </w:rPr>
    </w:lvl>
    <w:lvl w:ilvl="1">
      <w:start w:val="1"/>
      <w:numFmt w:val="lowerLetter"/>
      <w:lvlText w:val="%2."/>
      <w:lvlJc w:val="left"/>
      <w:pPr>
        <w:ind w:left="567" w:hanging="283"/>
      </w:pPr>
      <w:rPr>
        <w:rFonts w:ascii="Segoe UI" w:hAnsi="Segoe UI" w:hint="default"/>
        <w:b w:val="0"/>
        <w:i w:val="0"/>
        <w:sz w:val="17"/>
      </w:rPr>
    </w:lvl>
    <w:lvl w:ilvl="2">
      <w:start w:val="1"/>
      <w:numFmt w:val="lowerRoman"/>
      <w:lvlText w:val="%3."/>
      <w:lvlJc w:val="left"/>
      <w:pPr>
        <w:ind w:left="851" w:hanging="284"/>
      </w:pPr>
      <w:rPr>
        <w:rFonts w:ascii="Segoe UI" w:hAnsi="Segoe UI" w:hint="default"/>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76A2698"/>
    <w:multiLevelType w:val="multilevel"/>
    <w:tmpl w:val="B5D8BE5C"/>
    <w:lvl w:ilvl="0">
      <w:start w:val="1"/>
      <w:numFmt w:val="decimal"/>
      <w:lvlText w:val="%1."/>
      <w:lvlJc w:val="left"/>
      <w:pPr>
        <w:ind w:left="284" w:hanging="284"/>
      </w:pPr>
      <w:rPr>
        <w:rFonts w:ascii="Segoe UI" w:hAnsi="Segoe UI" w:hint="default"/>
        <w:b w:val="0"/>
        <w:i w:val="0"/>
        <w:sz w:val="17"/>
      </w:rPr>
    </w:lvl>
    <w:lvl w:ilvl="1">
      <w:start w:val="1"/>
      <w:numFmt w:val="lowerLetter"/>
      <w:lvlText w:val="%2."/>
      <w:lvlJc w:val="left"/>
      <w:pPr>
        <w:ind w:left="567" w:hanging="283"/>
      </w:pPr>
      <w:rPr>
        <w:rFonts w:ascii="Segoe UI" w:hAnsi="Segoe UI" w:hint="default"/>
        <w:b w:val="0"/>
        <w:i w:val="0"/>
        <w:sz w:val="17"/>
      </w:rPr>
    </w:lvl>
    <w:lvl w:ilvl="2">
      <w:start w:val="1"/>
      <w:numFmt w:val="lowerRoman"/>
      <w:lvlText w:val="%3."/>
      <w:lvlJc w:val="left"/>
      <w:pPr>
        <w:ind w:left="851" w:hanging="284"/>
      </w:pPr>
      <w:rPr>
        <w:rFonts w:ascii="Segoe UI" w:hAnsi="Segoe UI" w:hint="default"/>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9D1413D"/>
    <w:multiLevelType w:val="multilevel"/>
    <w:tmpl w:val="CB6ED078"/>
    <w:lvl w:ilvl="0">
      <w:start w:val="1"/>
      <w:numFmt w:val="bullet"/>
      <w:pStyle w:val="TableNBullet"/>
      <w:lvlText w:val=""/>
      <w:lvlJc w:val="left"/>
      <w:pPr>
        <w:ind w:left="227" w:hanging="227"/>
      </w:pPr>
      <w:rPr>
        <w:rFonts w:ascii="Symbol" w:hAnsi="Symbol" w:hint="default"/>
        <w:color w:val="auto"/>
        <w:position w:val="4"/>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4" w15:restartNumberingAfterBreak="0">
    <w:nsid w:val="428C2FDF"/>
    <w:multiLevelType w:val="hybridMultilevel"/>
    <w:tmpl w:val="F79E27E0"/>
    <w:lvl w:ilvl="0" w:tplc="370EA3D8">
      <w:start w:val="1"/>
      <w:numFmt w:val="bullet"/>
      <w:pStyle w:val="longformcalloutbullet"/>
      <w:lvlText w:val=""/>
      <w:lvlJc w:val="left"/>
      <w:pPr>
        <w:ind w:left="720" w:hanging="360"/>
      </w:pPr>
      <w:rPr>
        <w:rFonts w:ascii="Symbol" w:hAnsi="Symbol" w:hint="default"/>
        <w:color w:val="00264D" w:themeColor="background2"/>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2F03B8E"/>
    <w:multiLevelType w:val="hybridMultilevel"/>
    <w:tmpl w:val="E49AA720"/>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16" w15:restartNumberingAfterBreak="0">
    <w:nsid w:val="431D6720"/>
    <w:multiLevelType w:val="hybridMultilevel"/>
    <w:tmpl w:val="101EB85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 w15:restartNumberingAfterBreak="0">
    <w:nsid w:val="4AB30710"/>
    <w:multiLevelType w:val="hybridMultilevel"/>
    <w:tmpl w:val="7DA0F9D0"/>
    <w:lvl w:ilvl="0" w:tplc="50924516">
      <w:start w:val="1"/>
      <w:numFmt w:val="decimal"/>
      <w:pStyle w:val="longformcalloutnumber"/>
      <w:lvlText w:val="%1."/>
      <w:lvlJc w:val="left"/>
      <w:pPr>
        <w:ind w:left="720" w:hanging="360"/>
      </w:pPr>
      <w:rPr>
        <w:rFonts w:hint="default"/>
        <w:b w:val="0"/>
        <w:color w:val="00264D" w:themeColor="background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B3D2157"/>
    <w:multiLevelType w:val="multilevel"/>
    <w:tmpl w:val="310876F2"/>
    <w:lvl w:ilvl="0">
      <w:start w:val="1"/>
      <w:numFmt w:val="decimal"/>
      <w:pStyle w:val="introductionlist"/>
      <w:lvlText w:val="%1."/>
      <w:lvlJc w:val="left"/>
      <w:pPr>
        <w:ind w:left="357" w:hanging="357"/>
      </w:pPr>
      <w:rPr>
        <w:rFonts w:hint="default"/>
        <w:b w:val="0"/>
      </w:rPr>
    </w:lvl>
    <w:lvl w:ilvl="1">
      <w:start w:val="1"/>
      <w:numFmt w:val="lowerLetter"/>
      <w:lvlText w:val="%2."/>
      <w:lvlJc w:val="left"/>
      <w:pPr>
        <w:ind w:left="720" w:hanging="363"/>
      </w:pPr>
      <w:rPr>
        <w:rFonts w:hint="default"/>
      </w:rPr>
    </w:lvl>
    <w:lvl w:ilvl="2">
      <w:start w:val="1"/>
      <w:numFmt w:val="lowerRoman"/>
      <w:lvlText w:val="%3."/>
      <w:lvlJc w:val="right"/>
      <w:pPr>
        <w:ind w:left="1077" w:hanging="3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54C55940"/>
    <w:multiLevelType w:val="multilevel"/>
    <w:tmpl w:val="D3261AAA"/>
    <w:lvl w:ilvl="0">
      <w:start w:val="1"/>
      <w:numFmt w:val="bullet"/>
      <w:pStyle w:val="intoductionbullet"/>
      <w:lvlText w:val=""/>
      <w:lvlJc w:val="left"/>
      <w:pPr>
        <w:ind w:left="357" w:hanging="357"/>
      </w:pPr>
      <w:rPr>
        <w:rFonts w:ascii="Symbol" w:hAnsi="Symbol" w:hint="default"/>
        <w:color w:val="00264D" w:themeColor="background2"/>
      </w:rPr>
    </w:lvl>
    <w:lvl w:ilvl="1">
      <w:start w:val="1"/>
      <w:numFmt w:val="bullet"/>
      <w:lvlText w:val=""/>
      <w:lvlJc w:val="left"/>
      <w:pPr>
        <w:ind w:left="720" w:hanging="363"/>
      </w:pPr>
      <w:rPr>
        <w:rFonts w:ascii="Symbol" w:hAnsi="Symbol" w:hint="default"/>
        <w:color w:val="00264D" w:themeColor="background2"/>
      </w:rPr>
    </w:lvl>
    <w:lvl w:ilvl="2">
      <w:start w:val="1"/>
      <w:numFmt w:val="bullet"/>
      <w:lvlText w:val=""/>
      <w:lvlJc w:val="left"/>
      <w:pPr>
        <w:ind w:left="1077" w:hanging="357"/>
      </w:pPr>
      <w:rPr>
        <w:rFonts w:ascii="Symbol" w:hAnsi="Symbol" w:hint="default"/>
        <w:color w:val="00264D" w:themeColor="background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8B030FE"/>
    <w:multiLevelType w:val="multilevel"/>
    <w:tmpl w:val="A40495DC"/>
    <w:styleLink w:val="TableNListnumberedmultilevel"/>
    <w:lvl w:ilvl="0">
      <w:start w:val="1"/>
      <w:numFmt w:val="decimal"/>
      <w:pStyle w:val="TableNListnumbered"/>
      <w:lvlText w:val="%1."/>
      <w:lvlJc w:val="left"/>
      <w:pPr>
        <w:ind w:left="227" w:hanging="227"/>
      </w:pPr>
      <w:rPr>
        <w:rFonts w:ascii="Segoe UI" w:hAnsi="Segoe UI" w:hint="default"/>
        <w:b w:val="0"/>
        <w:i w:val="0"/>
        <w:sz w:val="17"/>
      </w:rPr>
    </w:lvl>
    <w:lvl w:ilvl="1">
      <w:start w:val="1"/>
      <w:numFmt w:val="lowerLetter"/>
      <w:lvlText w:val="%2."/>
      <w:lvlJc w:val="left"/>
      <w:pPr>
        <w:ind w:left="454" w:hanging="227"/>
      </w:pPr>
      <w:rPr>
        <w:rFonts w:ascii="Segoe UI" w:hAnsi="Segoe UI" w:hint="default"/>
        <w:b w:val="0"/>
        <w:i w:val="0"/>
        <w:sz w:val="17"/>
      </w:rPr>
    </w:lvl>
    <w:lvl w:ilvl="2">
      <w:start w:val="1"/>
      <w:numFmt w:val="lowerRoman"/>
      <w:lvlText w:val="%3."/>
      <w:lvlJc w:val="left"/>
      <w:pPr>
        <w:ind w:left="680" w:hanging="226"/>
      </w:pPr>
      <w:rPr>
        <w:rFonts w:ascii="Segoe UI" w:hAnsi="Segoe UI" w:hint="default"/>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58E647D0"/>
    <w:multiLevelType w:val="hybridMultilevel"/>
    <w:tmpl w:val="0E8EBDCA"/>
    <w:lvl w:ilvl="0" w:tplc="1138D23A">
      <w:start w:val="1"/>
      <w:numFmt w:val="decimal"/>
      <w:lvlText w:val="%1."/>
      <w:lvlJc w:val="left"/>
      <w:pPr>
        <w:ind w:left="720" w:hanging="360"/>
      </w:pPr>
      <w:rPr>
        <w:rFonts w:ascii="Segoe UI" w:hAnsi="Segoe UI" w:hint="default"/>
        <w:b w:val="0"/>
        <w:i w:val="0"/>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765A1F"/>
    <w:multiLevelType w:val="hybridMultilevel"/>
    <w:tmpl w:val="57CA76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3AB6BC5"/>
    <w:multiLevelType w:val="hybridMultilevel"/>
    <w:tmpl w:val="544EC2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1A16EBA"/>
    <w:multiLevelType w:val="multilevel"/>
    <w:tmpl w:val="2698E5C8"/>
    <w:lvl w:ilvl="0">
      <w:start w:val="1"/>
      <w:numFmt w:val="upperLetter"/>
      <w:pStyle w:val="xAppendixLevel1"/>
      <w:lvlText w:val="Appendix %1"/>
      <w:lvlJc w:val="left"/>
      <w:pPr>
        <w:ind w:left="2268" w:hanging="2268"/>
      </w:pPr>
      <w:rPr>
        <w:rFonts w:hint="default"/>
        <w:color w:val="00264D"/>
        <w:sz w:val="44"/>
        <w:szCs w:val="44"/>
      </w:rPr>
    </w:lvl>
    <w:lvl w:ilvl="1">
      <w:start w:val="1"/>
      <w:numFmt w:val="decimal"/>
      <w:pStyle w:val="xAppendixLevel2"/>
      <w:lvlText w:val="%1.%2"/>
      <w:lvlJc w:val="left"/>
      <w:pPr>
        <w:ind w:left="851" w:hanging="851"/>
      </w:pPr>
      <w:rPr>
        <w:rFonts w:hint="default"/>
        <w:color w:val="00264D"/>
        <w:sz w:val="34"/>
        <w:szCs w:val="34"/>
      </w:rPr>
    </w:lvl>
    <w:lvl w:ilvl="2">
      <w:start w:val="1"/>
      <w:numFmt w:val="decimal"/>
      <w:pStyle w:val="xAppendixLevel3"/>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9B7218E"/>
    <w:multiLevelType w:val="multilevel"/>
    <w:tmpl w:val="114C1886"/>
    <w:lvl w:ilvl="0">
      <w:start w:val="1"/>
      <w:numFmt w:val="bullet"/>
      <w:pStyle w:val="Bullet"/>
      <w:lvlText w:val=""/>
      <w:lvlJc w:val="left"/>
      <w:pPr>
        <w:ind w:left="340" w:hanging="340"/>
      </w:pPr>
      <w:rPr>
        <w:rFonts w:ascii="Symbol" w:hAnsi="Symbol" w:hint="default"/>
        <w:sz w:val="16"/>
      </w:rPr>
    </w:lvl>
    <w:lvl w:ilvl="1">
      <w:start w:val="1"/>
      <w:numFmt w:val="bullet"/>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7C4D7C88"/>
    <w:multiLevelType w:val="hybridMultilevel"/>
    <w:tmpl w:val="0FEC269E"/>
    <w:lvl w:ilvl="0" w:tplc="99E0972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2"/>
  </w:num>
  <w:num w:numId="2">
    <w:abstractNumId w:val="24"/>
  </w:num>
  <w:num w:numId="3">
    <w:abstractNumId w:val="7"/>
  </w:num>
  <w:num w:numId="4">
    <w:abstractNumId w:val="3"/>
  </w:num>
  <w:num w:numId="5">
    <w:abstractNumId w:val="3"/>
  </w:num>
  <w:num w:numId="6">
    <w:abstractNumId w:val="13"/>
  </w:num>
  <w:num w:numId="7">
    <w:abstractNumId w:val="25"/>
  </w:num>
  <w:num w:numId="8">
    <w:abstractNumId w:val="14"/>
  </w:num>
  <w:num w:numId="9">
    <w:abstractNumId w:val="17"/>
  </w:num>
  <w:num w:numId="10">
    <w:abstractNumId w:val="10"/>
  </w:num>
  <w:num w:numId="11">
    <w:abstractNumId w:val="26"/>
  </w:num>
  <w:num w:numId="12">
    <w:abstractNumId w:val="18"/>
  </w:num>
  <w:num w:numId="13">
    <w:abstractNumId w:val="22"/>
  </w:num>
  <w:num w:numId="14">
    <w:abstractNumId w:val="19"/>
  </w:num>
  <w:num w:numId="15">
    <w:abstractNumId w:val="4"/>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1"/>
  </w:num>
  <w:num w:numId="21">
    <w:abstractNumId w:val="5"/>
  </w:num>
  <w:num w:numId="22">
    <w:abstractNumId w:val="9"/>
    <w:lvlOverride w:ilvl="0">
      <w:lvl w:ilvl="0">
        <w:start w:val="1"/>
        <w:numFmt w:val="decimal"/>
        <w:pStyle w:val="Listnumbered"/>
        <w:lvlText w:val="%1."/>
        <w:lvlJc w:val="left"/>
        <w:pPr>
          <w:ind w:left="340" w:hanging="340"/>
        </w:pPr>
        <w:rPr>
          <w:rFonts w:ascii="Segoe UI" w:hAnsi="Segoe UI" w:hint="default"/>
          <w:b w:val="0"/>
          <w:i w:val="0"/>
          <w:sz w:val="19"/>
        </w:rPr>
      </w:lvl>
    </w:lvlOverride>
    <w:lvlOverride w:ilvl="1">
      <w:lvl w:ilvl="1">
        <w:start w:val="1"/>
        <w:numFmt w:val="lowerLetter"/>
        <w:lvlText w:val="%2."/>
        <w:lvlJc w:val="left"/>
        <w:pPr>
          <w:tabs>
            <w:tab w:val="num" w:pos="340"/>
          </w:tabs>
          <w:ind w:left="680" w:hanging="340"/>
        </w:pPr>
        <w:rPr>
          <w:rFonts w:ascii="Segoe UI" w:hAnsi="Segoe UI" w:hint="default"/>
          <w:sz w:val="20"/>
        </w:rPr>
      </w:lvl>
    </w:lvlOverride>
    <w:lvlOverride w:ilvl="2">
      <w:lvl w:ilvl="2">
        <w:start w:val="1"/>
        <w:numFmt w:val="lowerRoman"/>
        <w:lvlText w:val="%3."/>
        <w:lvlJc w:val="left"/>
        <w:pPr>
          <w:ind w:left="1021" w:hanging="341"/>
        </w:pPr>
        <w:rPr>
          <w:rFonts w:ascii="Segoe UI" w:hAnsi="Segoe UI" w:hint="default"/>
          <w:sz w:val="19"/>
        </w:rPr>
      </w:lvl>
    </w:lvlOverride>
    <w:lvlOverride w:ilvl="3">
      <w:lvl w:ilvl="3">
        <w:start w:val="1"/>
        <w:numFmt w:val="decimal"/>
        <w:lvlText w:val="(%4)"/>
        <w:lvlJc w:val="left"/>
        <w:pPr>
          <w:ind w:left="385" w:hanging="360"/>
        </w:pPr>
        <w:rPr>
          <w:rFonts w:hint="default"/>
        </w:rPr>
      </w:lvl>
    </w:lvlOverride>
    <w:lvlOverride w:ilvl="4">
      <w:lvl w:ilvl="4">
        <w:start w:val="1"/>
        <w:numFmt w:val="lowerLetter"/>
        <w:lvlText w:val="(%5)"/>
        <w:lvlJc w:val="left"/>
        <w:pPr>
          <w:ind w:left="745" w:hanging="360"/>
        </w:pPr>
        <w:rPr>
          <w:rFonts w:hint="default"/>
        </w:rPr>
      </w:lvl>
    </w:lvlOverride>
    <w:lvlOverride w:ilvl="5">
      <w:lvl w:ilvl="5">
        <w:start w:val="1"/>
        <w:numFmt w:val="lowerRoman"/>
        <w:lvlText w:val="(%6)"/>
        <w:lvlJc w:val="left"/>
        <w:pPr>
          <w:ind w:left="1105" w:hanging="360"/>
        </w:pPr>
        <w:rPr>
          <w:rFonts w:hint="default"/>
        </w:rPr>
      </w:lvl>
    </w:lvlOverride>
    <w:lvlOverride w:ilvl="6">
      <w:lvl w:ilvl="6">
        <w:start w:val="1"/>
        <w:numFmt w:val="decimal"/>
        <w:lvlText w:val="%7."/>
        <w:lvlJc w:val="left"/>
        <w:pPr>
          <w:ind w:left="1465" w:hanging="360"/>
        </w:pPr>
        <w:rPr>
          <w:rFonts w:hint="default"/>
        </w:rPr>
      </w:lvl>
    </w:lvlOverride>
    <w:lvlOverride w:ilvl="7">
      <w:lvl w:ilvl="7">
        <w:start w:val="1"/>
        <w:numFmt w:val="lowerLetter"/>
        <w:lvlText w:val="%8."/>
        <w:lvlJc w:val="left"/>
        <w:pPr>
          <w:ind w:left="1825" w:hanging="360"/>
        </w:pPr>
        <w:rPr>
          <w:rFonts w:hint="default"/>
        </w:rPr>
      </w:lvl>
    </w:lvlOverride>
    <w:lvlOverride w:ilvl="8">
      <w:lvl w:ilvl="8">
        <w:start w:val="1"/>
        <w:numFmt w:val="lowerRoman"/>
        <w:lvlText w:val="%9."/>
        <w:lvlJc w:val="left"/>
        <w:pPr>
          <w:ind w:left="2185" w:hanging="360"/>
        </w:pPr>
        <w:rPr>
          <w:rFonts w:hint="default"/>
        </w:rPr>
      </w:lvl>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num>
  <w:num w:numId="25">
    <w:abstractNumId w:val="2"/>
  </w:num>
  <w:num w:numId="26">
    <w:abstractNumId w:val="6"/>
  </w:num>
  <w:num w:numId="27">
    <w:abstractNumId w:val="0"/>
  </w:num>
  <w:num w:numId="28">
    <w:abstractNumId w:val="11"/>
  </w:num>
  <w:num w:numId="29">
    <w:abstractNumId w:val="8"/>
  </w:num>
  <w:num w:numId="30">
    <w:abstractNumId w:val="20"/>
  </w:num>
  <w:num w:numId="31">
    <w:abstractNumId w:val="9"/>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lvlOverride w:ilvl="0">
      <w:startOverride w:val="1"/>
    </w:lvlOverride>
  </w:num>
  <w:num w:numId="34">
    <w:abstractNumId w:val="15"/>
  </w:num>
  <w:num w:numId="35">
    <w:abstractNumId w:val="25"/>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1"/>
  <w:drawingGridVerticalSpacing w:val="181"/>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3B1F"/>
    <w:rsid w:val="00000A9B"/>
    <w:rsid w:val="00011E3C"/>
    <w:rsid w:val="000210AC"/>
    <w:rsid w:val="0002153B"/>
    <w:rsid w:val="00021F62"/>
    <w:rsid w:val="00037449"/>
    <w:rsid w:val="00037553"/>
    <w:rsid w:val="00040FA8"/>
    <w:rsid w:val="0005195D"/>
    <w:rsid w:val="00053F07"/>
    <w:rsid w:val="0005575C"/>
    <w:rsid w:val="000569FD"/>
    <w:rsid w:val="0005789D"/>
    <w:rsid w:val="000618F3"/>
    <w:rsid w:val="00064F06"/>
    <w:rsid w:val="0006598E"/>
    <w:rsid w:val="00065F95"/>
    <w:rsid w:val="00066A8C"/>
    <w:rsid w:val="00070BAE"/>
    <w:rsid w:val="0007553A"/>
    <w:rsid w:val="0008132A"/>
    <w:rsid w:val="00083992"/>
    <w:rsid w:val="000843C9"/>
    <w:rsid w:val="0008526B"/>
    <w:rsid w:val="000854AB"/>
    <w:rsid w:val="000869C8"/>
    <w:rsid w:val="00091A80"/>
    <w:rsid w:val="00093FA9"/>
    <w:rsid w:val="00095B98"/>
    <w:rsid w:val="000A13C3"/>
    <w:rsid w:val="000B1B98"/>
    <w:rsid w:val="000B305B"/>
    <w:rsid w:val="000C62C0"/>
    <w:rsid w:val="000C6C4C"/>
    <w:rsid w:val="000C7926"/>
    <w:rsid w:val="000D325F"/>
    <w:rsid w:val="000D4195"/>
    <w:rsid w:val="000D5CE3"/>
    <w:rsid w:val="000D664D"/>
    <w:rsid w:val="000E172A"/>
    <w:rsid w:val="000F0338"/>
    <w:rsid w:val="000F052D"/>
    <w:rsid w:val="00100158"/>
    <w:rsid w:val="00100EA4"/>
    <w:rsid w:val="0010462B"/>
    <w:rsid w:val="00104678"/>
    <w:rsid w:val="00104F6D"/>
    <w:rsid w:val="00106164"/>
    <w:rsid w:val="001122A2"/>
    <w:rsid w:val="001124FA"/>
    <w:rsid w:val="0011641E"/>
    <w:rsid w:val="00120D45"/>
    <w:rsid w:val="00132C79"/>
    <w:rsid w:val="0014316C"/>
    <w:rsid w:val="00146ABB"/>
    <w:rsid w:val="00153E15"/>
    <w:rsid w:val="00155802"/>
    <w:rsid w:val="001678D4"/>
    <w:rsid w:val="00181735"/>
    <w:rsid w:val="0018662E"/>
    <w:rsid w:val="001905A9"/>
    <w:rsid w:val="00190EAE"/>
    <w:rsid w:val="00193717"/>
    <w:rsid w:val="00196A6D"/>
    <w:rsid w:val="00196E9A"/>
    <w:rsid w:val="001A58E6"/>
    <w:rsid w:val="001A7318"/>
    <w:rsid w:val="001B04BC"/>
    <w:rsid w:val="001B415A"/>
    <w:rsid w:val="001C1921"/>
    <w:rsid w:val="001C3505"/>
    <w:rsid w:val="001C37D9"/>
    <w:rsid w:val="001D0EAE"/>
    <w:rsid w:val="001D18A0"/>
    <w:rsid w:val="001D2806"/>
    <w:rsid w:val="001D35BB"/>
    <w:rsid w:val="001D37BB"/>
    <w:rsid w:val="001D5A8B"/>
    <w:rsid w:val="001E3264"/>
    <w:rsid w:val="001F3A0F"/>
    <w:rsid w:val="001F6889"/>
    <w:rsid w:val="0020000D"/>
    <w:rsid w:val="00211A58"/>
    <w:rsid w:val="00214C96"/>
    <w:rsid w:val="00221D0F"/>
    <w:rsid w:val="00225FDF"/>
    <w:rsid w:val="00230B69"/>
    <w:rsid w:val="0023346F"/>
    <w:rsid w:val="00235BB5"/>
    <w:rsid w:val="00241D96"/>
    <w:rsid w:val="00260B90"/>
    <w:rsid w:val="002614F5"/>
    <w:rsid w:val="00266E8F"/>
    <w:rsid w:val="00270E00"/>
    <w:rsid w:val="00270EBC"/>
    <w:rsid w:val="00277FE6"/>
    <w:rsid w:val="00281D42"/>
    <w:rsid w:val="002879F4"/>
    <w:rsid w:val="00291961"/>
    <w:rsid w:val="0029223D"/>
    <w:rsid w:val="00292826"/>
    <w:rsid w:val="0029320C"/>
    <w:rsid w:val="00293CAA"/>
    <w:rsid w:val="002A2361"/>
    <w:rsid w:val="002A4974"/>
    <w:rsid w:val="002A6032"/>
    <w:rsid w:val="002A6911"/>
    <w:rsid w:val="002B0099"/>
    <w:rsid w:val="002B0CDB"/>
    <w:rsid w:val="002B1041"/>
    <w:rsid w:val="002B3D24"/>
    <w:rsid w:val="002B5822"/>
    <w:rsid w:val="002B7A6E"/>
    <w:rsid w:val="002D0A1B"/>
    <w:rsid w:val="002D0A22"/>
    <w:rsid w:val="002D4EFA"/>
    <w:rsid w:val="002E2628"/>
    <w:rsid w:val="002F032A"/>
    <w:rsid w:val="002F5080"/>
    <w:rsid w:val="002F53C2"/>
    <w:rsid w:val="00300DDF"/>
    <w:rsid w:val="00302076"/>
    <w:rsid w:val="00303E3E"/>
    <w:rsid w:val="003046D5"/>
    <w:rsid w:val="00304EE2"/>
    <w:rsid w:val="00310A1A"/>
    <w:rsid w:val="00320805"/>
    <w:rsid w:val="0032099F"/>
    <w:rsid w:val="00331FB8"/>
    <w:rsid w:val="0033237F"/>
    <w:rsid w:val="00334541"/>
    <w:rsid w:val="00351B44"/>
    <w:rsid w:val="003524B5"/>
    <w:rsid w:val="00355B21"/>
    <w:rsid w:val="003572AC"/>
    <w:rsid w:val="0037707F"/>
    <w:rsid w:val="00382016"/>
    <w:rsid w:val="00392251"/>
    <w:rsid w:val="003A0075"/>
    <w:rsid w:val="003B5517"/>
    <w:rsid w:val="003C3644"/>
    <w:rsid w:val="003D331E"/>
    <w:rsid w:val="003D7DE3"/>
    <w:rsid w:val="003E278D"/>
    <w:rsid w:val="003E7832"/>
    <w:rsid w:val="003F335A"/>
    <w:rsid w:val="003F3E7A"/>
    <w:rsid w:val="00400E83"/>
    <w:rsid w:val="004037AF"/>
    <w:rsid w:val="004044F7"/>
    <w:rsid w:val="0040724F"/>
    <w:rsid w:val="00410CD4"/>
    <w:rsid w:val="004110B4"/>
    <w:rsid w:val="00413A52"/>
    <w:rsid w:val="0041499D"/>
    <w:rsid w:val="00415029"/>
    <w:rsid w:val="00427E2C"/>
    <w:rsid w:val="00435ABC"/>
    <w:rsid w:val="00436900"/>
    <w:rsid w:val="0045028E"/>
    <w:rsid w:val="004656B7"/>
    <w:rsid w:val="004665AF"/>
    <w:rsid w:val="00466D45"/>
    <w:rsid w:val="00477EC6"/>
    <w:rsid w:val="00481783"/>
    <w:rsid w:val="00482DBC"/>
    <w:rsid w:val="0048714F"/>
    <w:rsid w:val="00491477"/>
    <w:rsid w:val="004A2A6C"/>
    <w:rsid w:val="004A71E7"/>
    <w:rsid w:val="004B166E"/>
    <w:rsid w:val="004B2594"/>
    <w:rsid w:val="004B4499"/>
    <w:rsid w:val="004C2E07"/>
    <w:rsid w:val="004C5725"/>
    <w:rsid w:val="004C5F80"/>
    <w:rsid w:val="004C67A4"/>
    <w:rsid w:val="004D0791"/>
    <w:rsid w:val="004D0CB7"/>
    <w:rsid w:val="004D4D38"/>
    <w:rsid w:val="004E5815"/>
    <w:rsid w:val="004E5D31"/>
    <w:rsid w:val="004E5DBD"/>
    <w:rsid w:val="00500D96"/>
    <w:rsid w:val="00503C01"/>
    <w:rsid w:val="00506741"/>
    <w:rsid w:val="0051132A"/>
    <w:rsid w:val="005117E0"/>
    <w:rsid w:val="005206F3"/>
    <w:rsid w:val="00523B1F"/>
    <w:rsid w:val="0053294D"/>
    <w:rsid w:val="0053345E"/>
    <w:rsid w:val="005358ED"/>
    <w:rsid w:val="00537AF1"/>
    <w:rsid w:val="005472A7"/>
    <w:rsid w:val="00550C94"/>
    <w:rsid w:val="00553CAC"/>
    <w:rsid w:val="00554E36"/>
    <w:rsid w:val="00566343"/>
    <w:rsid w:val="00570151"/>
    <w:rsid w:val="00574542"/>
    <w:rsid w:val="005758E8"/>
    <w:rsid w:val="00575C7D"/>
    <w:rsid w:val="00580F67"/>
    <w:rsid w:val="00582C73"/>
    <w:rsid w:val="00583432"/>
    <w:rsid w:val="00583587"/>
    <w:rsid w:val="0059463A"/>
    <w:rsid w:val="005A4C5D"/>
    <w:rsid w:val="005B016D"/>
    <w:rsid w:val="005C19A6"/>
    <w:rsid w:val="005D1983"/>
    <w:rsid w:val="005E4404"/>
    <w:rsid w:val="005E5155"/>
    <w:rsid w:val="005E5A55"/>
    <w:rsid w:val="005E758C"/>
    <w:rsid w:val="005F382F"/>
    <w:rsid w:val="005F6E51"/>
    <w:rsid w:val="006016A5"/>
    <w:rsid w:val="00601F5E"/>
    <w:rsid w:val="00602297"/>
    <w:rsid w:val="00603D7C"/>
    <w:rsid w:val="00605C5C"/>
    <w:rsid w:val="00612281"/>
    <w:rsid w:val="00622AB5"/>
    <w:rsid w:val="00622D8A"/>
    <w:rsid w:val="00623C12"/>
    <w:rsid w:val="00625270"/>
    <w:rsid w:val="0063343D"/>
    <w:rsid w:val="006338ED"/>
    <w:rsid w:val="0064062C"/>
    <w:rsid w:val="0064064A"/>
    <w:rsid w:val="0064716E"/>
    <w:rsid w:val="00652A57"/>
    <w:rsid w:val="00653916"/>
    <w:rsid w:val="00665E48"/>
    <w:rsid w:val="00673600"/>
    <w:rsid w:val="00674C61"/>
    <w:rsid w:val="00675C1F"/>
    <w:rsid w:val="00677214"/>
    <w:rsid w:val="00677287"/>
    <w:rsid w:val="006852C4"/>
    <w:rsid w:val="0069516C"/>
    <w:rsid w:val="006A2E19"/>
    <w:rsid w:val="006A459D"/>
    <w:rsid w:val="006A5BEC"/>
    <w:rsid w:val="006B34E6"/>
    <w:rsid w:val="006C4017"/>
    <w:rsid w:val="006D22EB"/>
    <w:rsid w:val="006D24FF"/>
    <w:rsid w:val="006D4028"/>
    <w:rsid w:val="006D7093"/>
    <w:rsid w:val="006F02CF"/>
    <w:rsid w:val="006F564A"/>
    <w:rsid w:val="006F5B5A"/>
    <w:rsid w:val="00700AE3"/>
    <w:rsid w:val="00706A30"/>
    <w:rsid w:val="00724DFF"/>
    <w:rsid w:val="0073033D"/>
    <w:rsid w:val="00730EA2"/>
    <w:rsid w:val="007326D3"/>
    <w:rsid w:val="007432E2"/>
    <w:rsid w:val="00745BD1"/>
    <w:rsid w:val="007509CC"/>
    <w:rsid w:val="007521C5"/>
    <w:rsid w:val="00766C4E"/>
    <w:rsid w:val="007672FC"/>
    <w:rsid w:val="007706E9"/>
    <w:rsid w:val="0077375A"/>
    <w:rsid w:val="00773E1C"/>
    <w:rsid w:val="00776170"/>
    <w:rsid w:val="007842C4"/>
    <w:rsid w:val="00785FDB"/>
    <w:rsid w:val="007913D7"/>
    <w:rsid w:val="00793117"/>
    <w:rsid w:val="00796098"/>
    <w:rsid w:val="007A503F"/>
    <w:rsid w:val="007A5C5D"/>
    <w:rsid w:val="007B6792"/>
    <w:rsid w:val="007B6B1B"/>
    <w:rsid w:val="007C2A64"/>
    <w:rsid w:val="007C2DC2"/>
    <w:rsid w:val="007C6452"/>
    <w:rsid w:val="007D785F"/>
    <w:rsid w:val="007F3876"/>
    <w:rsid w:val="00803F00"/>
    <w:rsid w:val="00804C2E"/>
    <w:rsid w:val="008102D7"/>
    <w:rsid w:val="00815FD9"/>
    <w:rsid w:val="00816838"/>
    <w:rsid w:val="00823368"/>
    <w:rsid w:val="00831ABD"/>
    <w:rsid w:val="008446FA"/>
    <w:rsid w:val="008473D9"/>
    <w:rsid w:val="00850C99"/>
    <w:rsid w:val="00850F63"/>
    <w:rsid w:val="00856872"/>
    <w:rsid w:val="0087085E"/>
    <w:rsid w:val="0087607E"/>
    <w:rsid w:val="00885462"/>
    <w:rsid w:val="00894EA9"/>
    <w:rsid w:val="008A16B3"/>
    <w:rsid w:val="008A2B8F"/>
    <w:rsid w:val="008A55C6"/>
    <w:rsid w:val="008A6A73"/>
    <w:rsid w:val="008B521D"/>
    <w:rsid w:val="008B6818"/>
    <w:rsid w:val="008C0582"/>
    <w:rsid w:val="008C17AC"/>
    <w:rsid w:val="008C1D84"/>
    <w:rsid w:val="008C3E22"/>
    <w:rsid w:val="008D1A0F"/>
    <w:rsid w:val="008D3542"/>
    <w:rsid w:val="008D53DD"/>
    <w:rsid w:val="008E24D8"/>
    <w:rsid w:val="008E534D"/>
    <w:rsid w:val="008F105A"/>
    <w:rsid w:val="008F708F"/>
    <w:rsid w:val="009156AD"/>
    <w:rsid w:val="009210A4"/>
    <w:rsid w:val="00925760"/>
    <w:rsid w:val="00931121"/>
    <w:rsid w:val="00932E9B"/>
    <w:rsid w:val="009338D0"/>
    <w:rsid w:val="00935899"/>
    <w:rsid w:val="00936278"/>
    <w:rsid w:val="00943B34"/>
    <w:rsid w:val="009457D8"/>
    <w:rsid w:val="0095239F"/>
    <w:rsid w:val="00952B40"/>
    <w:rsid w:val="009633AF"/>
    <w:rsid w:val="00963AC6"/>
    <w:rsid w:val="009676FF"/>
    <w:rsid w:val="009705B7"/>
    <w:rsid w:val="00971F5B"/>
    <w:rsid w:val="00975A1B"/>
    <w:rsid w:val="009771EB"/>
    <w:rsid w:val="009802E3"/>
    <w:rsid w:val="0098248A"/>
    <w:rsid w:val="009845B7"/>
    <w:rsid w:val="0098468C"/>
    <w:rsid w:val="0099292E"/>
    <w:rsid w:val="00993B99"/>
    <w:rsid w:val="009A4AC4"/>
    <w:rsid w:val="009A60D4"/>
    <w:rsid w:val="009A69F5"/>
    <w:rsid w:val="009B3F0E"/>
    <w:rsid w:val="009B69E5"/>
    <w:rsid w:val="009C08CE"/>
    <w:rsid w:val="009C645F"/>
    <w:rsid w:val="009C750F"/>
    <w:rsid w:val="009D4A32"/>
    <w:rsid w:val="009E576D"/>
    <w:rsid w:val="009F20E4"/>
    <w:rsid w:val="009F43FE"/>
    <w:rsid w:val="00A11D5A"/>
    <w:rsid w:val="00A1211C"/>
    <w:rsid w:val="00A136E7"/>
    <w:rsid w:val="00A13EF7"/>
    <w:rsid w:val="00A14BF5"/>
    <w:rsid w:val="00A15094"/>
    <w:rsid w:val="00A2241D"/>
    <w:rsid w:val="00A263E5"/>
    <w:rsid w:val="00A33037"/>
    <w:rsid w:val="00A335C0"/>
    <w:rsid w:val="00A35294"/>
    <w:rsid w:val="00A43426"/>
    <w:rsid w:val="00A53BED"/>
    <w:rsid w:val="00A53FB1"/>
    <w:rsid w:val="00A57051"/>
    <w:rsid w:val="00A62B3A"/>
    <w:rsid w:val="00A71D22"/>
    <w:rsid w:val="00A73A2D"/>
    <w:rsid w:val="00A806ED"/>
    <w:rsid w:val="00A84F53"/>
    <w:rsid w:val="00A94B43"/>
    <w:rsid w:val="00A95521"/>
    <w:rsid w:val="00AA17A4"/>
    <w:rsid w:val="00AA2492"/>
    <w:rsid w:val="00AA26DC"/>
    <w:rsid w:val="00AA4A27"/>
    <w:rsid w:val="00AB419D"/>
    <w:rsid w:val="00AC1A06"/>
    <w:rsid w:val="00AC2F02"/>
    <w:rsid w:val="00AC5C90"/>
    <w:rsid w:val="00AD4012"/>
    <w:rsid w:val="00AE1109"/>
    <w:rsid w:val="00AE3692"/>
    <w:rsid w:val="00AF3A2B"/>
    <w:rsid w:val="00AF669D"/>
    <w:rsid w:val="00B0110C"/>
    <w:rsid w:val="00B01950"/>
    <w:rsid w:val="00B02053"/>
    <w:rsid w:val="00B03476"/>
    <w:rsid w:val="00B0582E"/>
    <w:rsid w:val="00B05897"/>
    <w:rsid w:val="00B07E1E"/>
    <w:rsid w:val="00B24390"/>
    <w:rsid w:val="00B2563A"/>
    <w:rsid w:val="00B37A22"/>
    <w:rsid w:val="00B414BD"/>
    <w:rsid w:val="00B45449"/>
    <w:rsid w:val="00B51CA7"/>
    <w:rsid w:val="00B568A8"/>
    <w:rsid w:val="00B61F46"/>
    <w:rsid w:val="00B6249F"/>
    <w:rsid w:val="00B6667E"/>
    <w:rsid w:val="00B67B6C"/>
    <w:rsid w:val="00B93FCF"/>
    <w:rsid w:val="00BA019D"/>
    <w:rsid w:val="00BA3DB6"/>
    <w:rsid w:val="00BA4BCF"/>
    <w:rsid w:val="00BC43B3"/>
    <w:rsid w:val="00BC6073"/>
    <w:rsid w:val="00BD6B4F"/>
    <w:rsid w:val="00BE4870"/>
    <w:rsid w:val="00BF164B"/>
    <w:rsid w:val="00BF379D"/>
    <w:rsid w:val="00BF4807"/>
    <w:rsid w:val="00C0264E"/>
    <w:rsid w:val="00C14F2E"/>
    <w:rsid w:val="00C23D9E"/>
    <w:rsid w:val="00C30984"/>
    <w:rsid w:val="00C33CE8"/>
    <w:rsid w:val="00C36448"/>
    <w:rsid w:val="00C43107"/>
    <w:rsid w:val="00C4526B"/>
    <w:rsid w:val="00C45B0C"/>
    <w:rsid w:val="00C50B0B"/>
    <w:rsid w:val="00C610CE"/>
    <w:rsid w:val="00C64C7B"/>
    <w:rsid w:val="00C67A04"/>
    <w:rsid w:val="00C700AA"/>
    <w:rsid w:val="00C741A8"/>
    <w:rsid w:val="00C85B77"/>
    <w:rsid w:val="00C951E7"/>
    <w:rsid w:val="00C9526E"/>
    <w:rsid w:val="00C97EEE"/>
    <w:rsid w:val="00CB06DF"/>
    <w:rsid w:val="00CC1BA6"/>
    <w:rsid w:val="00CC37C9"/>
    <w:rsid w:val="00CC4CE9"/>
    <w:rsid w:val="00CC797F"/>
    <w:rsid w:val="00CD45EA"/>
    <w:rsid w:val="00CD50B3"/>
    <w:rsid w:val="00CD60F0"/>
    <w:rsid w:val="00CE13DB"/>
    <w:rsid w:val="00CF07F2"/>
    <w:rsid w:val="00CF489F"/>
    <w:rsid w:val="00CF6386"/>
    <w:rsid w:val="00CF69C8"/>
    <w:rsid w:val="00D03C30"/>
    <w:rsid w:val="00D108FE"/>
    <w:rsid w:val="00D12777"/>
    <w:rsid w:val="00D130BA"/>
    <w:rsid w:val="00D135D4"/>
    <w:rsid w:val="00D16E6D"/>
    <w:rsid w:val="00D2602E"/>
    <w:rsid w:val="00D306B7"/>
    <w:rsid w:val="00D42342"/>
    <w:rsid w:val="00D42709"/>
    <w:rsid w:val="00D435A6"/>
    <w:rsid w:val="00D47773"/>
    <w:rsid w:val="00D60B96"/>
    <w:rsid w:val="00D70A65"/>
    <w:rsid w:val="00D727BD"/>
    <w:rsid w:val="00D754D5"/>
    <w:rsid w:val="00D820E6"/>
    <w:rsid w:val="00D84B12"/>
    <w:rsid w:val="00D9427F"/>
    <w:rsid w:val="00D95F6B"/>
    <w:rsid w:val="00DA5FBF"/>
    <w:rsid w:val="00DB5A42"/>
    <w:rsid w:val="00DB5E4E"/>
    <w:rsid w:val="00DD085A"/>
    <w:rsid w:val="00DD189F"/>
    <w:rsid w:val="00DD39A9"/>
    <w:rsid w:val="00DD4D72"/>
    <w:rsid w:val="00DE1B45"/>
    <w:rsid w:val="00DE37B6"/>
    <w:rsid w:val="00DE5282"/>
    <w:rsid w:val="00DF37B3"/>
    <w:rsid w:val="00E031CC"/>
    <w:rsid w:val="00E04D45"/>
    <w:rsid w:val="00E04FA2"/>
    <w:rsid w:val="00E10671"/>
    <w:rsid w:val="00E133B2"/>
    <w:rsid w:val="00E311B1"/>
    <w:rsid w:val="00E31A09"/>
    <w:rsid w:val="00E32C9A"/>
    <w:rsid w:val="00E35F0E"/>
    <w:rsid w:val="00E363C9"/>
    <w:rsid w:val="00E41A09"/>
    <w:rsid w:val="00E47E70"/>
    <w:rsid w:val="00E506B1"/>
    <w:rsid w:val="00E53710"/>
    <w:rsid w:val="00E54E01"/>
    <w:rsid w:val="00E56635"/>
    <w:rsid w:val="00E569E2"/>
    <w:rsid w:val="00E575E6"/>
    <w:rsid w:val="00E6315D"/>
    <w:rsid w:val="00E63B90"/>
    <w:rsid w:val="00E65448"/>
    <w:rsid w:val="00E65525"/>
    <w:rsid w:val="00E70631"/>
    <w:rsid w:val="00E8017D"/>
    <w:rsid w:val="00E806C5"/>
    <w:rsid w:val="00E8319D"/>
    <w:rsid w:val="00E86493"/>
    <w:rsid w:val="00E96586"/>
    <w:rsid w:val="00EA14C9"/>
    <w:rsid w:val="00EB0520"/>
    <w:rsid w:val="00EB0CE9"/>
    <w:rsid w:val="00EB41B9"/>
    <w:rsid w:val="00EC4391"/>
    <w:rsid w:val="00EC43F7"/>
    <w:rsid w:val="00ED0134"/>
    <w:rsid w:val="00ED4C88"/>
    <w:rsid w:val="00EE0BCC"/>
    <w:rsid w:val="00EE1B50"/>
    <w:rsid w:val="00EE229A"/>
    <w:rsid w:val="00EE2A49"/>
    <w:rsid w:val="00EE3E76"/>
    <w:rsid w:val="00EF6A0A"/>
    <w:rsid w:val="00F0389E"/>
    <w:rsid w:val="00F039C3"/>
    <w:rsid w:val="00F043E1"/>
    <w:rsid w:val="00F066CA"/>
    <w:rsid w:val="00F07A4D"/>
    <w:rsid w:val="00F1567D"/>
    <w:rsid w:val="00F17820"/>
    <w:rsid w:val="00F20C40"/>
    <w:rsid w:val="00F233F5"/>
    <w:rsid w:val="00F2470B"/>
    <w:rsid w:val="00F25639"/>
    <w:rsid w:val="00F26E6E"/>
    <w:rsid w:val="00F30621"/>
    <w:rsid w:val="00F411FF"/>
    <w:rsid w:val="00F53B28"/>
    <w:rsid w:val="00F57D6C"/>
    <w:rsid w:val="00F606D3"/>
    <w:rsid w:val="00F660A8"/>
    <w:rsid w:val="00F76B80"/>
    <w:rsid w:val="00F81AE6"/>
    <w:rsid w:val="00F841D6"/>
    <w:rsid w:val="00F91E74"/>
    <w:rsid w:val="00F96FA9"/>
    <w:rsid w:val="00FB4C90"/>
    <w:rsid w:val="00FD1EC9"/>
    <w:rsid w:val="00FD352A"/>
    <w:rsid w:val="00FD4013"/>
    <w:rsid w:val="00FD49C0"/>
    <w:rsid w:val="00FE407B"/>
    <w:rsid w:val="00FF02BD"/>
    <w:rsid w:val="00FF4A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0C53D65"/>
  <w15:chartTrackingRefBased/>
  <w15:docId w15:val="{D988A50B-4613-43FD-A7DD-F539B431C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5" w:line="259" w:lineRule="auto"/>
      </w:pPr>
    </w:pPrDefault>
  </w:docDefaults>
  <w:latentStyles w:defLockedState="0" w:defUIPriority="99" w:defSemiHidden="0" w:defUnhideWhenUsed="0" w:defQFormat="0" w:count="371">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5F95"/>
    <w:pPr>
      <w:spacing w:after="120" w:line="256" w:lineRule="auto"/>
    </w:pPr>
    <w:rPr>
      <w:rFonts w:ascii="Segoe UI" w:hAnsi="Segoe UI"/>
      <w:sz w:val="19"/>
      <w:lang w:val="en-AU"/>
    </w:rPr>
  </w:style>
  <w:style w:type="paragraph" w:styleId="Heading1">
    <w:name w:val="heading 1"/>
    <w:basedOn w:val="Normal"/>
    <w:next w:val="Normal"/>
    <w:link w:val="Heading1Char"/>
    <w:uiPriority w:val="19"/>
    <w:qFormat/>
    <w:rsid w:val="00B07E1E"/>
    <w:pPr>
      <w:keepNext/>
      <w:pageBreakBefore/>
      <w:numPr>
        <w:numId w:val="5"/>
      </w:numPr>
      <w:spacing w:after="600" w:line="560" w:lineRule="exact"/>
      <w:outlineLvl w:val="0"/>
    </w:pPr>
    <w:rPr>
      <w:rFonts w:eastAsia="Times New Roman" w:cs="Times New Roman"/>
      <w:b/>
      <w:color w:val="00264D"/>
      <w:sz w:val="36"/>
      <w:szCs w:val="19"/>
      <w:lang w:eastAsia="en-AU"/>
    </w:rPr>
  </w:style>
  <w:style w:type="paragraph" w:styleId="Heading2">
    <w:name w:val="heading 2"/>
    <w:basedOn w:val="Normal"/>
    <w:next w:val="Normal"/>
    <w:link w:val="Heading2Char"/>
    <w:uiPriority w:val="19"/>
    <w:qFormat/>
    <w:rsid w:val="00351B44"/>
    <w:pPr>
      <w:keepNext/>
      <w:numPr>
        <w:ilvl w:val="1"/>
        <w:numId w:val="5"/>
      </w:numPr>
      <w:spacing w:before="480" w:after="180" w:line="380" w:lineRule="exact"/>
      <w:ind w:left="578" w:hanging="578"/>
      <w:outlineLvl w:val="1"/>
    </w:pPr>
    <w:rPr>
      <w:rFonts w:ascii="Segoe UI Semibold" w:eastAsia="Times New Roman" w:hAnsi="Segoe UI Semibold" w:cs="Times New Roman"/>
      <w:color w:val="00264D"/>
      <w:sz w:val="30"/>
      <w:szCs w:val="19"/>
      <w:lang w:eastAsia="en-AU"/>
    </w:rPr>
  </w:style>
  <w:style w:type="paragraph" w:styleId="Heading3">
    <w:name w:val="heading 3"/>
    <w:basedOn w:val="Normal"/>
    <w:next w:val="Normal"/>
    <w:link w:val="Heading3Char"/>
    <w:uiPriority w:val="19"/>
    <w:qFormat/>
    <w:rsid w:val="00DA5FBF"/>
    <w:pPr>
      <w:keepNext/>
      <w:numPr>
        <w:ilvl w:val="2"/>
        <w:numId w:val="5"/>
      </w:numPr>
      <w:spacing w:before="480" w:after="60"/>
      <w:outlineLvl w:val="2"/>
    </w:pPr>
    <w:rPr>
      <w:rFonts w:ascii="Segoe UI Semibold" w:eastAsia="Times New Roman" w:hAnsi="Segoe UI Semibold" w:cs="Times New Roman"/>
      <w:color w:val="00264D"/>
      <w:sz w:val="26"/>
      <w:szCs w:val="19"/>
      <w:lang w:eastAsia="en-AU"/>
    </w:rPr>
  </w:style>
  <w:style w:type="paragraph" w:styleId="Heading4">
    <w:name w:val="heading 4"/>
    <w:basedOn w:val="Normal"/>
    <w:next w:val="Normal"/>
    <w:link w:val="Heading4Char"/>
    <w:uiPriority w:val="19"/>
    <w:qFormat/>
    <w:rsid w:val="00DA5FBF"/>
    <w:pPr>
      <w:keepNext/>
      <w:spacing w:before="240" w:after="60"/>
      <w:outlineLvl w:val="3"/>
    </w:pPr>
    <w:rPr>
      <w:rFonts w:ascii="Segoe UI Semibold" w:eastAsia="Times New Roman" w:hAnsi="Segoe UI Semibold" w:cs="Times New Roman"/>
      <w:color w:val="00264D" w:themeColor="background2"/>
      <w:sz w:val="22"/>
      <w:szCs w:val="19"/>
      <w:lang w:eastAsia="en-AU"/>
    </w:rPr>
  </w:style>
  <w:style w:type="paragraph" w:styleId="Heading5">
    <w:name w:val="heading 5"/>
    <w:basedOn w:val="Normal"/>
    <w:next w:val="Normal"/>
    <w:link w:val="Heading5Char"/>
    <w:uiPriority w:val="19"/>
    <w:qFormat/>
    <w:rsid w:val="00DA5FBF"/>
    <w:pPr>
      <w:keepNext/>
      <w:numPr>
        <w:ilvl w:val="4"/>
        <w:numId w:val="5"/>
      </w:numPr>
      <w:spacing w:before="240"/>
      <w:outlineLvl w:val="4"/>
    </w:pPr>
    <w:rPr>
      <w:rFonts w:eastAsia="Times New Roman" w:cs="Times New Roman"/>
      <w:b/>
      <w:color w:val="000000" w:themeColor="text1"/>
      <w:sz w:val="20"/>
      <w:szCs w:val="24"/>
      <w:lang w:eastAsia="en-AU"/>
    </w:rPr>
  </w:style>
  <w:style w:type="paragraph" w:styleId="Heading6">
    <w:name w:val="heading 6"/>
    <w:basedOn w:val="Normal"/>
    <w:next w:val="Normal"/>
    <w:link w:val="Heading6Char"/>
    <w:uiPriority w:val="19"/>
    <w:qFormat/>
    <w:rsid w:val="00DA5FBF"/>
    <w:pPr>
      <w:keepNext/>
      <w:keepLines/>
      <w:numPr>
        <w:ilvl w:val="5"/>
        <w:numId w:val="5"/>
      </w:numPr>
      <w:spacing w:before="200" w:after="60"/>
      <w:outlineLvl w:val="5"/>
    </w:pPr>
    <w:rPr>
      <w:rFonts w:eastAsiaTheme="majorEastAsia" w:cstheme="majorBidi"/>
      <w:b/>
      <w:i/>
      <w:iCs/>
      <w:color w:val="000000" w:themeColor="text1"/>
      <w:szCs w:val="19"/>
      <w:lang w:eastAsia="en-AU"/>
    </w:rPr>
  </w:style>
  <w:style w:type="paragraph" w:styleId="Heading7">
    <w:name w:val="heading 7"/>
    <w:basedOn w:val="Normal"/>
    <w:next w:val="Normal"/>
    <w:link w:val="Heading7Char"/>
    <w:uiPriority w:val="19"/>
    <w:semiHidden/>
    <w:rsid w:val="006F5B5A"/>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6F5B5A"/>
    <w:pPr>
      <w:keepNext/>
      <w:keepLines/>
      <w:spacing w:before="200" w:after="0"/>
      <w:outlineLvl w:val="7"/>
    </w:pPr>
    <w:rPr>
      <w:rFonts w:eastAsiaTheme="majorEastAsia"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9"/>
    <w:rsid w:val="00B07E1E"/>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9"/>
    <w:rsid w:val="00351B44"/>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9"/>
    <w:rsid w:val="00DA5FBF"/>
    <w:rPr>
      <w:rFonts w:ascii="Segoe UI Semibold" w:eastAsia="Times New Roman" w:hAnsi="Segoe UI Semibold" w:cs="Times New Roman"/>
      <w:color w:val="00264D"/>
      <w:sz w:val="26"/>
      <w:szCs w:val="19"/>
      <w:lang w:val="en-AU" w:eastAsia="en-AU"/>
    </w:rPr>
  </w:style>
  <w:style w:type="character" w:customStyle="1" w:styleId="Heading4Char">
    <w:name w:val="Heading 4 Char"/>
    <w:basedOn w:val="DefaultParagraphFont"/>
    <w:link w:val="Heading4"/>
    <w:uiPriority w:val="19"/>
    <w:rsid w:val="00DA5FBF"/>
    <w:rPr>
      <w:rFonts w:ascii="Segoe UI Semibold" w:eastAsia="Times New Roman" w:hAnsi="Segoe UI Semibold" w:cs="Times New Roman"/>
      <w:color w:val="00264D" w:themeColor="background2"/>
      <w:szCs w:val="19"/>
      <w:lang w:val="en-AU" w:eastAsia="en-AU"/>
    </w:rPr>
  </w:style>
  <w:style w:type="character" w:customStyle="1" w:styleId="Heading5Char">
    <w:name w:val="Heading 5 Char"/>
    <w:basedOn w:val="DefaultParagraphFont"/>
    <w:link w:val="Heading5"/>
    <w:uiPriority w:val="19"/>
    <w:rsid w:val="00DA5FBF"/>
    <w:rPr>
      <w:rFonts w:ascii="Segoe UI" w:eastAsia="Times New Roman" w:hAnsi="Segoe UI" w:cs="Times New Roman"/>
      <w:b/>
      <w:color w:val="000000" w:themeColor="text1"/>
      <w:sz w:val="20"/>
      <w:szCs w:val="24"/>
      <w:lang w:val="en-AU" w:eastAsia="en-AU"/>
    </w:rPr>
  </w:style>
  <w:style w:type="character" w:customStyle="1" w:styleId="Heading6Char">
    <w:name w:val="Heading 6 Char"/>
    <w:basedOn w:val="DefaultParagraphFont"/>
    <w:link w:val="Heading6"/>
    <w:uiPriority w:val="19"/>
    <w:rsid w:val="00DA5FBF"/>
    <w:rPr>
      <w:rFonts w:ascii="Segoe UI" w:eastAsiaTheme="majorEastAsia" w:hAnsi="Segoe UI" w:cstheme="majorBidi"/>
      <w:b/>
      <w:i/>
      <w:iCs/>
      <w:color w:val="000000" w:themeColor="text1"/>
      <w:sz w:val="19"/>
      <w:szCs w:val="19"/>
      <w:lang w:val="en-AU" w:eastAsia="en-AU"/>
    </w:rPr>
  </w:style>
  <w:style w:type="paragraph" w:customStyle="1" w:styleId="Bullet">
    <w:name w:val="Bullet"/>
    <w:basedOn w:val="Normal"/>
    <w:link w:val="BulletChar"/>
    <w:uiPriority w:val="2"/>
    <w:qFormat/>
    <w:rsid w:val="00DA5FBF"/>
    <w:pPr>
      <w:numPr>
        <w:numId w:val="7"/>
      </w:numPr>
      <w:suppressAutoHyphens/>
    </w:pPr>
    <w:rPr>
      <w:rFonts w:eastAsia="Times New Roman" w:cs="Times New Roman"/>
      <w:szCs w:val="19"/>
      <w:lang w:eastAsia="en-AU"/>
    </w:rPr>
  </w:style>
  <w:style w:type="paragraph" w:customStyle="1" w:styleId="TableNheader">
    <w:name w:val="Table N header"/>
    <w:basedOn w:val="Normal"/>
    <w:uiPriority w:val="2"/>
    <w:qFormat/>
    <w:rsid w:val="00FD352A"/>
    <w:pPr>
      <w:spacing w:before="40" w:after="40" w:line="240" w:lineRule="auto"/>
    </w:pPr>
    <w:rPr>
      <w:rFonts w:ascii="Segoe UI Semibold" w:hAnsi="Segoe UI Semibold"/>
      <w:color w:val="00264D" w:themeColor="background2"/>
      <w:sz w:val="18"/>
    </w:rPr>
  </w:style>
  <w:style w:type="paragraph" w:customStyle="1" w:styleId="TableNText">
    <w:name w:val="Table N Text"/>
    <w:basedOn w:val="Normal"/>
    <w:link w:val="TableNTextChar"/>
    <w:uiPriority w:val="2"/>
    <w:qFormat/>
    <w:rsid w:val="00D47773"/>
    <w:pPr>
      <w:spacing w:before="60" w:after="60"/>
    </w:pPr>
    <w:rPr>
      <w:sz w:val="17"/>
    </w:rPr>
  </w:style>
  <w:style w:type="paragraph" w:styleId="Header">
    <w:name w:val="header"/>
    <w:basedOn w:val="Normal"/>
    <w:link w:val="HeaderChar"/>
    <w:uiPriority w:val="99"/>
    <w:unhideWhenUsed/>
    <w:rsid w:val="00302076"/>
    <w:pPr>
      <w:tabs>
        <w:tab w:val="center" w:pos="4513"/>
        <w:tab w:val="right" w:pos="9026"/>
      </w:tabs>
      <w:spacing w:after="0"/>
    </w:pPr>
  </w:style>
  <w:style w:type="character" w:customStyle="1" w:styleId="HeaderChar">
    <w:name w:val="Header Char"/>
    <w:basedOn w:val="DefaultParagraphFont"/>
    <w:link w:val="Header"/>
    <w:uiPriority w:val="99"/>
    <w:rsid w:val="00302076"/>
    <w:rPr>
      <w:rFonts w:ascii="Segoe UI" w:hAnsi="Segoe UI"/>
      <w:sz w:val="19"/>
    </w:rPr>
  </w:style>
  <w:style w:type="paragraph" w:styleId="Footer">
    <w:name w:val="footer"/>
    <w:aliases w:val="Foot note"/>
    <w:basedOn w:val="Normal"/>
    <w:link w:val="FooterChar"/>
    <w:uiPriority w:val="89"/>
    <w:unhideWhenUsed/>
    <w:rsid w:val="002B7A6E"/>
    <w:pPr>
      <w:tabs>
        <w:tab w:val="center" w:pos="4513"/>
        <w:tab w:val="right" w:pos="9026"/>
      </w:tabs>
      <w:spacing w:after="0"/>
    </w:pPr>
    <w:rPr>
      <w:sz w:val="15"/>
    </w:rPr>
  </w:style>
  <w:style w:type="character" w:customStyle="1" w:styleId="FooterChar">
    <w:name w:val="Footer Char"/>
    <w:aliases w:val="Foot note Char"/>
    <w:basedOn w:val="DefaultParagraphFont"/>
    <w:link w:val="Footer"/>
    <w:uiPriority w:val="89"/>
    <w:rsid w:val="002B7A6E"/>
    <w:rPr>
      <w:rFonts w:ascii="Segoe UI" w:hAnsi="Segoe UI"/>
      <w:sz w:val="15"/>
      <w:lang w:val="en-AU"/>
    </w:rPr>
  </w:style>
  <w:style w:type="paragraph" w:styleId="Caption">
    <w:name w:val="caption"/>
    <w:basedOn w:val="Normal"/>
    <w:next w:val="Normal"/>
    <w:uiPriority w:val="39"/>
    <w:qFormat/>
    <w:rsid w:val="00F53B28"/>
    <w:pPr>
      <w:keepNext/>
      <w:spacing w:before="240"/>
    </w:pPr>
    <w:rPr>
      <w:rFonts w:ascii="Segoe UI Semibold" w:hAnsi="Segoe UI Semibold"/>
      <w:bCs/>
      <w:color w:val="00264D" w:themeColor="background2"/>
      <w:szCs w:val="18"/>
    </w:rPr>
  </w:style>
  <w:style w:type="paragraph" w:customStyle="1" w:styleId="TableNBullet">
    <w:name w:val="Table N Bullet"/>
    <w:basedOn w:val="Bullet"/>
    <w:link w:val="TableNBulletChar"/>
    <w:uiPriority w:val="2"/>
    <w:qFormat/>
    <w:rsid w:val="005117E0"/>
    <w:pPr>
      <w:numPr>
        <w:numId w:val="6"/>
      </w:numPr>
      <w:spacing w:before="60" w:after="60"/>
    </w:pPr>
    <w:rPr>
      <w:sz w:val="17"/>
    </w:rPr>
  </w:style>
  <w:style w:type="paragraph" w:customStyle="1" w:styleId="TableNListnumbered">
    <w:name w:val="Table N List (numbered)"/>
    <w:basedOn w:val="TableNBullet"/>
    <w:uiPriority w:val="2"/>
    <w:qFormat/>
    <w:rsid w:val="005117E0"/>
    <w:pPr>
      <w:numPr>
        <w:numId w:val="30"/>
      </w:numPr>
    </w:pPr>
  </w:style>
  <w:style w:type="paragraph" w:customStyle="1" w:styleId="xAppendixLevel1">
    <w:name w:val="xAppendix Level 1"/>
    <w:basedOn w:val="Heading1"/>
    <w:next w:val="Normal"/>
    <w:uiPriority w:val="98"/>
    <w:qFormat/>
    <w:rsid w:val="00FD352A"/>
    <w:pPr>
      <w:numPr>
        <w:numId w:val="2"/>
      </w:numPr>
      <w:ind w:left="2693" w:hanging="2693"/>
    </w:pPr>
    <w:rPr>
      <w:bCs/>
      <w:sz w:val="44"/>
    </w:rPr>
  </w:style>
  <w:style w:type="paragraph" w:customStyle="1" w:styleId="xAppendixLevel2">
    <w:name w:val="xAppendix Level 2"/>
    <w:basedOn w:val="Heading2"/>
    <w:next w:val="Normal"/>
    <w:uiPriority w:val="98"/>
    <w:qFormat/>
    <w:rsid w:val="002B5822"/>
    <w:pPr>
      <w:numPr>
        <w:numId w:val="2"/>
      </w:numPr>
    </w:pPr>
    <w:rPr>
      <w:bCs/>
      <w:sz w:val="34"/>
    </w:rPr>
  </w:style>
  <w:style w:type="paragraph" w:customStyle="1" w:styleId="xAppendixLevel3">
    <w:name w:val="xAppendix Level 3"/>
    <w:basedOn w:val="Heading3"/>
    <w:next w:val="Normal"/>
    <w:uiPriority w:val="98"/>
    <w:qFormat/>
    <w:rsid w:val="002B5822"/>
    <w:pPr>
      <w:numPr>
        <w:numId w:val="2"/>
      </w:numPr>
    </w:pPr>
    <w:rPr>
      <w:bCs/>
    </w:rPr>
  </w:style>
  <w:style w:type="paragraph" w:customStyle="1" w:styleId="Listnumbered">
    <w:name w:val="List (numbered)"/>
    <w:basedOn w:val="Normal"/>
    <w:link w:val="ListnumberedChar"/>
    <w:uiPriority w:val="4"/>
    <w:qFormat/>
    <w:rsid w:val="005B016D"/>
    <w:pPr>
      <w:numPr>
        <w:numId w:val="29"/>
      </w:numPr>
    </w:pPr>
  </w:style>
  <w:style w:type="paragraph" w:customStyle="1" w:styleId="Source">
    <w:name w:val="Source"/>
    <w:basedOn w:val="Normal"/>
    <w:next w:val="Normal"/>
    <w:link w:val="SourceChar"/>
    <w:uiPriority w:val="39"/>
    <w:rsid w:val="00000A9B"/>
    <w:pPr>
      <w:spacing w:before="120" w:after="240"/>
    </w:pPr>
    <w:rPr>
      <w:rFonts w:eastAsia="Times New Roman" w:cs="Times New Roman"/>
      <w:i/>
      <w:sz w:val="17"/>
      <w:szCs w:val="19"/>
      <w:lang w:eastAsia="en-AU"/>
    </w:rPr>
  </w:style>
  <w:style w:type="character" w:customStyle="1" w:styleId="SourceChar">
    <w:name w:val="Source Char"/>
    <w:basedOn w:val="DefaultParagraphFont"/>
    <w:link w:val="Source"/>
    <w:uiPriority w:val="39"/>
    <w:rsid w:val="00000A9B"/>
    <w:rPr>
      <w:rFonts w:ascii="Segoe UI" w:eastAsia="Times New Roman" w:hAnsi="Segoe UI" w:cs="Times New Roman"/>
      <w:i/>
      <w:sz w:val="17"/>
      <w:szCs w:val="19"/>
      <w:lang w:val="en-AU" w:eastAsia="en-AU"/>
    </w:rPr>
  </w:style>
  <w:style w:type="paragraph" w:customStyle="1" w:styleId="TableExpbullet">
    <w:name w:val="Table Exp bullet"/>
    <w:basedOn w:val="Normal"/>
    <w:uiPriority w:val="3"/>
    <w:qFormat/>
    <w:rsid w:val="00F660A8"/>
    <w:pPr>
      <w:numPr>
        <w:numId w:val="26"/>
      </w:numPr>
      <w:spacing w:before="60" w:after="60"/>
      <w:ind w:left="227" w:hanging="227"/>
    </w:pPr>
    <w:rPr>
      <w:sz w:val="16"/>
    </w:rPr>
  </w:style>
  <w:style w:type="paragraph" w:customStyle="1" w:styleId="Tableexpheader">
    <w:name w:val="Table exp header"/>
    <w:basedOn w:val="Normal"/>
    <w:uiPriority w:val="3"/>
    <w:qFormat/>
    <w:rsid w:val="00DF37B3"/>
    <w:pPr>
      <w:spacing w:before="40" w:after="40" w:line="240" w:lineRule="auto"/>
    </w:pPr>
    <w:rPr>
      <w:rFonts w:ascii="Segoe UI Semibold" w:hAnsi="Segoe UI Semibold"/>
      <w:sz w:val="17"/>
    </w:rPr>
  </w:style>
  <w:style w:type="paragraph" w:customStyle="1" w:styleId="TableexpListnumbered">
    <w:name w:val="Table exp List (numbered)"/>
    <w:basedOn w:val="Normal"/>
    <w:uiPriority w:val="3"/>
    <w:qFormat/>
    <w:rsid w:val="00F660A8"/>
    <w:pPr>
      <w:numPr>
        <w:numId w:val="27"/>
      </w:numPr>
      <w:spacing w:before="60" w:after="60"/>
    </w:pPr>
    <w:rPr>
      <w:sz w:val="16"/>
    </w:rPr>
  </w:style>
  <w:style w:type="paragraph" w:customStyle="1" w:styleId="TableExpText">
    <w:name w:val="Table Exp Text"/>
    <w:basedOn w:val="Normal"/>
    <w:uiPriority w:val="3"/>
    <w:qFormat/>
    <w:rsid w:val="0029320C"/>
    <w:rPr>
      <w:sz w:val="16"/>
    </w:rPr>
  </w:style>
  <w:style w:type="character" w:customStyle="1" w:styleId="Heading7Char">
    <w:name w:val="Heading 7 Char"/>
    <w:basedOn w:val="DefaultParagraphFont"/>
    <w:link w:val="Heading7"/>
    <w:uiPriority w:val="19"/>
    <w:semiHidden/>
    <w:rsid w:val="006F5B5A"/>
    <w:rPr>
      <w:rFonts w:ascii="Segoe UI" w:eastAsiaTheme="majorEastAsia" w:hAnsi="Segoe UI" w:cstheme="majorBidi"/>
      <w:i/>
      <w:iCs/>
      <w:color w:val="404040" w:themeColor="text1" w:themeTint="BF"/>
      <w:sz w:val="19"/>
    </w:rPr>
  </w:style>
  <w:style w:type="paragraph" w:customStyle="1" w:styleId="BioName">
    <w:name w:val="Bio Name"/>
    <w:basedOn w:val="Normal"/>
    <w:uiPriority w:val="97"/>
    <w:qFormat/>
    <w:rsid w:val="00477EC6"/>
    <w:pPr>
      <w:spacing w:before="60" w:after="60" w:line="240" w:lineRule="auto"/>
      <w:jc w:val="center"/>
    </w:pPr>
    <w:rPr>
      <w:b/>
      <w:caps/>
      <w:color w:val="00264D" w:themeColor="background2"/>
      <w:szCs w:val="19"/>
    </w:rPr>
  </w:style>
  <w:style w:type="paragraph" w:customStyle="1" w:styleId="BioPosition">
    <w:name w:val="Bio Position"/>
    <w:basedOn w:val="Normal"/>
    <w:uiPriority w:val="97"/>
    <w:qFormat/>
    <w:rsid w:val="00477EC6"/>
    <w:pPr>
      <w:spacing w:line="240" w:lineRule="auto"/>
      <w:jc w:val="center"/>
    </w:pPr>
    <w:rPr>
      <w:color w:val="00264D" w:themeColor="background2"/>
      <w:szCs w:val="19"/>
    </w:rPr>
  </w:style>
  <w:style w:type="paragraph" w:styleId="BalloonText">
    <w:name w:val="Balloon Text"/>
    <w:basedOn w:val="Normal"/>
    <w:link w:val="BalloonTextChar"/>
    <w:uiPriority w:val="99"/>
    <w:semiHidden/>
    <w:unhideWhenUsed/>
    <w:rsid w:val="00B2563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63A"/>
    <w:rPr>
      <w:rFonts w:ascii="Tahoma" w:hAnsi="Tahoma" w:cs="Tahoma"/>
      <w:sz w:val="16"/>
      <w:szCs w:val="16"/>
    </w:rPr>
  </w:style>
  <w:style w:type="table" w:styleId="LightList-Accent5">
    <w:name w:val="Light List Accent 5"/>
    <w:basedOn w:val="TableNormal"/>
    <w:uiPriority w:val="61"/>
    <w:rsid w:val="0098248A"/>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98248A"/>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2"/>
    <w:rsid w:val="00477EC6"/>
    <w:rPr>
      <w:rFonts w:ascii="Segoe UI" w:eastAsia="Times New Roman" w:hAnsi="Segoe UI" w:cs="Times New Roman"/>
      <w:sz w:val="17"/>
      <w:szCs w:val="19"/>
      <w:lang w:val="en-AU" w:eastAsia="en-AU"/>
    </w:rPr>
  </w:style>
  <w:style w:type="table" w:styleId="TableGrid">
    <w:name w:val="Table Grid"/>
    <w:aliases w:val="Nous Table,Table,NOUS,NOUS Side Header"/>
    <w:basedOn w:val="TableNormal"/>
    <w:uiPriority w:val="39"/>
    <w:rsid w:val="00FD352A"/>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UI Semibold" w:hAnsi="Segoe UI Semibold"/>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egoe UI" w:hAnsi="Segoe UI"/>
        <w:sz w:val="17"/>
      </w:rPr>
    </w:tblStylePr>
    <w:tblStylePr w:type="band2Horz">
      <w:rPr>
        <w:rFonts w:ascii="Segoe UI" w:hAnsi="Segoe UI"/>
        <w:sz w:val="17"/>
      </w:rPr>
    </w:tblStylePr>
  </w:style>
  <w:style w:type="character" w:customStyle="1" w:styleId="BulletChar">
    <w:name w:val="Bullet Char"/>
    <w:basedOn w:val="DefaultParagraphFont"/>
    <w:link w:val="Bullet"/>
    <w:uiPriority w:val="2"/>
    <w:rsid w:val="00477EC6"/>
    <w:rPr>
      <w:rFonts w:ascii="Segoe UI" w:eastAsia="Times New Roman" w:hAnsi="Segoe UI" w:cs="Times New Roman"/>
      <w:sz w:val="19"/>
      <w:szCs w:val="19"/>
      <w:lang w:val="en-AU" w:eastAsia="en-AU"/>
    </w:rPr>
  </w:style>
  <w:style w:type="paragraph" w:customStyle="1" w:styleId="URL-groupcomau">
    <w:name w:val="URL - group.com.au"/>
    <w:basedOn w:val="Normal"/>
    <w:link w:val="URL-groupcomauChar"/>
    <w:uiPriority w:val="89"/>
    <w:semiHidden/>
    <w:qFormat/>
    <w:rsid w:val="000D4195"/>
    <w:pPr>
      <w:spacing w:after="0"/>
    </w:pPr>
    <w:rPr>
      <w:rFonts w:eastAsia="Times New Roman" w:cs="Times New Roman"/>
      <w:color w:val="2E368F"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0D4195"/>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0D4195"/>
    <w:pPr>
      <w:spacing w:after="0"/>
    </w:pPr>
    <w:rPr>
      <w:rFonts w:eastAsia="Times New Roman" w:cs="Times New Roman"/>
      <w:color w:val="FF3A40" w:themeColor="accent1"/>
      <w:spacing w:val="20"/>
      <w:sz w:val="14"/>
      <w:szCs w:val="19"/>
      <w:lang w:eastAsia="en-AU"/>
    </w:rPr>
  </w:style>
  <w:style w:type="character" w:customStyle="1" w:styleId="URL-nousChar">
    <w:name w:val="URL - nous Char"/>
    <w:basedOn w:val="DefaultParagraphFont"/>
    <w:link w:val="URL-nous"/>
    <w:uiPriority w:val="89"/>
    <w:semiHidden/>
    <w:rsid w:val="000D4195"/>
    <w:rPr>
      <w:rFonts w:ascii="Segoe UI" w:eastAsia="Times New Roman" w:hAnsi="Segoe UI" w:cs="Times New Roman"/>
      <w:color w:val="FF3A40" w:themeColor="accent1"/>
      <w:spacing w:val="20"/>
      <w:sz w:val="14"/>
      <w:szCs w:val="19"/>
      <w:lang w:val="en-AU" w:eastAsia="en-AU"/>
    </w:rPr>
  </w:style>
  <w:style w:type="table" w:customStyle="1" w:styleId="NousTableSide">
    <w:name w:val="Nous Table_Side"/>
    <w:basedOn w:val="TableNormal"/>
    <w:uiPriority w:val="99"/>
    <w:rsid w:val="00235BB5"/>
    <w:pPr>
      <w:spacing w:after="0" w:line="240" w:lineRule="auto"/>
    </w:pPr>
    <w:rPr>
      <w:rFonts w:ascii="Segoe UI" w:hAnsi="Segoe UI"/>
      <w:sz w:val="17"/>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blStylePr w:type="firstCol">
      <w:pPr>
        <w:jc w:val="left"/>
      </w:pPr>
      <w:rPr>
        <w:rFonts w:ascii="Segoe UI Semibold" w:hAnsi="Segoe UI Semibold"/>
        <w:b w:val="0"/>
        <w:color w:val="00264D" w:themeColor="background2"/>
        <w:sz w:val="17"/>
      </w:rPr>
      <w:tblPr/>
      <w:tcPr>
        <w:tcBorders>
          <w:top w:val="single" w:sz="12" w:space="0" w:color="FFFFFF" w:themeColor="background1"/>
          <w:left w:val="single" w:sz="18" w:space="0" w:color="F8981D"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6F5B5A"/>
    <w:rPr>
      <w:rFonts w:ascii="Segoe UI" w:eastAsiaTheme="majorEastAsia" w:hAnsi="Segoe UI" w:cstheme="majorBidi"/>
      <w:color w:val="404040" w:themeColor="text1" w:themeTint="BF"/>
      <w:sz w:val="20"/>
      <w:szCs w:val="20"/>
    </w:rPr>
  </w:style>
  <w:style w:type="character" w:styleId="Hyperlink">
    <w:name w:val="Hyperlink"/>
    <w:basedOn w:val="DefaultParagraphFont"/>
    <w:uiPriority w:val="99"/>
    <w:unhideWhenUsed/>
    <w:rsid w:val="00F066CA"/>
    <w:rPr>
      <w:color w:val="00264D" w:themeColor="background2"/>
      <w:u w:val="single"/>
    </w:rPr>
  </w:style>
  <w:style w:type="table" w:customStyle="1" w:styleId="NousTableTopandside">
    <w:name w:val="Nous Table_Top and side"/>
    <w:basedOn w:val="TableNormal"/>
    <w:uiPriority w:val="99"/>
    <w:rsid w:val="00C30984"/>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egoe UI Semibold" w:hAnsi="Segoe UI Semibold"/>
        <w:b w:val="0"/>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vAlign w:val="center"/>
      </w:tcPr>
    </w:tblStylePr>
    <w:tblStylePr w:type="firstCol">
      <w:pPr>
        <w:jc w:val="left"/>
      </w:pPr>
      <w:rPr>
        <w:rFonts w:ascii="Segoe UI Semibold" w:hAnsi="Segoe UI Semibold"/>
        <w:b w:val="0"/>
        <w:color w:val="00264D" w:themeColor="background2"/>
        <w:sz w:val="18"/>
      </w:rPr>
      <w:tblPr/>
      <w:tcPr>
        <w:tcBorders>
          <w:left w:val="nil"/>
        </w:tcBorders>
        <w:shd w:val="clear" w:color="auto" w:fill="E6E6E1" w:themeFill="accent5"/>
      </w:tcPr>
    </w:tblStylePr>
  </w:style>
  <w:style w:type="paragraph" w:customStyle="1" w:styleId="BioHeading">
    <w:name w:val="Bio Heading"/>
    <w:basedOn w:val="TableNText"/>
    <w:uiPriority w:val="97"/>
    <w:qFormat/>
    <w:rsid w:val="00477EC6"/>
    <w:pPr>
      <w:spacing w:before="240" w:after="120" w:line="240" w:lineRule="auto"/>
    </w:pPr>
    <w:rPr>
      <w:color w:val="00264D" w:themeColor="background2"/>
      <w:sz w:val="19"/>
      <w:szCs w:val="19"/>
    </w:rPr>
  </w:style>
  <w:style w:type="paragraph" w:customStyle="1" w:styleId="Sectionintroduction">
    <w:name w:val="Section introduction"/>
    <w:uiPriority w:val="21"/>
    <w:qFormat/>
    <w:rsid w:val="00815FD9"/>
    <w:pPr>
      <w:spacing w:before="120" w:after="120"/>
    </w:pPr>
    <w:rPr>
      <w:rFonts w:ascii="Segoe UI Semilight" w:hAnsi="Segoe UI Semilight"/>
      <w:color w:val="00264D" w:themeColor="background2"/>
      <w:sz w:val="21"/>
      <w:szCs w:val="21"/>
      <w:lang w:val="en-AU"/>
    </w:rPr>
  </w:style>
  <w:style w:type="paragraph" w:customStyle="1" w:styleId="Callout">
    <w:name w:val="Call out"/>
    <w:basedOn w:val="Normal"/>
    <w:uiPriority w:val="98"/>
    <w:qFormat/>
    <w:rsid w:val="00554E36"/>
    <w:pPr>
      <w:pBdr>
        <w:top w:val="single" w:sz="18" w:space="4" w:color="E6E6E1" w:themeColor="accent5"/>
      </w:pBdr>
    </w:pPr>
    <w:rPr>
      <w:rFonts w:ascii="Segoe UI Semilight" w:hAnsi="Segoe UI Semilight"/>
      <w:color w:val="F8981D" w:themeColor="accent3"/>
      <w:kern w:val="24"/>
      <w:sz w:val="22"/>
    </w:rPr>
  </w:style>
  <w:style w:type="paragraph" w:customStyle="1" w:styleId="Longformcallout">
    <w:name w:val="Long form callout"/>
    <w:basedOn w:val="Normal"/>
    <w:uiPriority w:val="20"/>
    <w:qFormat/>
    <w:rsid w:val="005F382F"/>
    <w:pPr>
      <w:spacing w:before="60" w:after="60" w:line="240" w:lineRule="auto"/>
    </w:pPr>
    <w:rPr>
      <w:color w:val="00264D" w:themeColor="background2"/>
      <w:szCs w:val="19"/>
      <w:lang w:eastAsia="en-AU"/>
    </w:rPr>
  </w:style>
  <w:style w:type="paragraph" w:customStyle="1" w:styleId="longformcalloutbullet">
    <w:name w:val="long form call out bullet"/>
    <w:basedOn w:val="Longformcallout"/>
    <w:uiPriority w:val="20"/>
    <w:qFormat/>
    <w:rsid w:val="005F382F"/>
    <w:pPr>
      <w:numPr>
        <w:numId w:val="8"/>
      </w:numPr>
      <w:ind w:left="340" w:hanging="340"/>
    </w:pPr>
  </w:style>
  <w:style w:type="paragraph" w:customStyle="1" w:styleId="longformcalloutnumber">
    <w:name w:val="long form callout number"/>
    <w:basedOn w:val="longformcalloutbullet"/>
    <w:uiPriority w:val="20"/>
    <w:qFormat/>
    <w:rsid w:val="005F382F"/>
    <w:pPr>
      <w:numPr>
        <w:numId w:val="9"/>
      </w:numPr>
      <w:ind w:left="340" w:hanging="340"/>
    </w:pPr>
  </w:style>
  <w:style w:type="paragraph" w:customStyle="1" w:styleId="NousFooter">
    <w:name w:val="Nous Footer"/>
    <w:basedOn w:val="Normal"/>
    <w:uiPriority w:val="96"/>
    <w:qFormat/>
    <w:rsid w:val="002B7A6E"/>
    <w:pPr>
      <w:spacing w:after="0"/>
    </w:pPr>
    <w:rPr>
      <w:color w:val="808080" w:themeColor="background1" w:themeShade="80"/>
      <w:sz w:val="15"/>
      <w:szCs w:val="15"/>
      <w:lang w:eastAsia="en-AU"/>
    </w:rPr>
  </w:style>
  <w:style w:type="paragraph" w:customStyle="1" w:styleId="ContentsHeading">
    <w:name w:val="Contents Heading"/>
    <w:basedOn w:val="Normal"/>
    <w:uiPriority w:val="19"/>
    <w:rsid w:val="00B07E1E"/>
    <w:pPr>
      <w:spacing w:before="360" w:after="600" w:line="560" w:lineRule="exact"/>
    </w:pPr>
    <w:rPr>
      <w:rFonts w:eastAsia="Times New Roman" w:cs="Segoe UI"/>
      <w:b/>
      <w:color w:val="00264D"/>
      <w:sz w:val="36"/>
      <w:szCs w:val="36"/>
      <w:lang w:eastAsia="en-AU"/>
    </w:rPr>
  </w:style>
  <w:style w:type="paragraph" w:styleId="TOC2">
    <w:name w:val="toc 2"/>
    <w:basedOn w:val="Normal"/>
    <w:next w:val="Normal"/>
    <w:autoRedefine/>
    <w:uiPriority w:val="39"/>
    <w:unhideWhenUsed/>
    <w:rsid w:val="00856872"/>
    <w:pPr>
      <w:tabs>
        <w:tab w:val="left" w:pos="851"/>
        <w:tab w:val="right" w:leader="dot" w:pos="8920"/>
      </w:tabs>
      <w:spacing w:after="100" w:line="240" w:lineRule="auto"/>
      <w:ind w:left="426"/>
    </w:pPr>
    <w:rPr>
      <w:lang w:val="en-US"/>
    </w:rPr>
  </w:style>
  <w:style w:type="paragraph" w:styleId="TOC1">
    <w:name w:val="toc 1"/>
    <w:basedOn w:val="Normal"/>
    <w:next w:val="Normal"/>
    <w:autoRedefine/>
    <w:uiPriority w:val="39"/>
    <w:unhideWhenUsed/>
    <w:rsid w:val="005C19A6"/>
    <w:pPr>
      <w:tabs>
        <w:tab w:val="left" w:pos="426"/>
        <w:tab w:val="left" w:pos="1134"/>
        <w:tab w:val="right" w:leader="dot" w:pos="8920"/>
      </w:tabs>
      <w:spacing w:after="100" w:line="240" w:lineRule="auto"/>
    </w:pPr>
    <w:rPr>
      <w:noProof/>
      <w:lang w:val="en-US"/>
    </w:rPr>
  </w:style>
  <w:style w:type="paragraph" w:customStyle="1" w:styleId="BioQualifications">
    <w:name w:val="Bio Qualifications"/>
    <w:basedOn w:val="Normal"/>
    <w:uiPriority w:val="97"/>
    <w:qFormat/>
    <w:rsid w:val="00625270"/>
    <w:pPr>
      <w:spacing w:before="240" w:after="60" w:line="240" w:lineRule="auto"/>
      <w:jc w:val="center"/>
    </w:pPr>
    <w:rPr>
      <w:b/>
      <w:color w:val="00264D" w:themeColor="background2"/>
      <w:szCs w:val="17"/>
    </w:rPr>
  </w:style>
  <w:style w:type="character" w:styleId="CommentReference">
    <w:name w:val="annotation reference"/>
    <w:basedOn w:val="DefaultParagraphFont"/>
    <w:uiPriority w:val="99"/>
    <w:semiHidden/>
    <w:unhideWhenUsed/>
    <w:rsid w:val="00EF6A0A"/>
    <w:rPr>
      <w:sz w:val="16"/>
      <w:szCs w:val="16"/>
    </w:rPr>
  </w:style>
  <w:style w:type="paragraph" w:styleId="CommentText">
    <w:name w:val="annotation text"/>
    <w:basedOn w:val="Normal"/>
    <w:link w:val="CommentTextChar"/>
    <w:uiPriority w:val="99"/>
    <w:semiHidden/>
    <w:unhideWhenUsed/>
    <w:rsid w:val="00EF6A0A"/>
    <w:pPr>
      <w:spacing w:line="240" w:lineRule="auto"/>
    </w:pPr>
    <w:rPr>
      <w:sz w:val="20"/>
      <w:szCs w:val="20"/>
    </w:rPr>
  </w:style>
  <w:style w:type="character" w:customStyle="1" w:styleId="CommentTextChar">
    <w:name w:val="Comment Text Char"/>
    <w:basedOn w:val="DefaultParagraphFont"/>
    <w:link w:val="CommentText"/>
    <w:uiPriority w:val="99"/>
    <w:semiHidden/>
    <w:rsid w:val="00EF6A0A"/>
    <w:rPr>
      <w:rFonts w:ascii="Segoe UI" w:hAnsi="Segoe UI"/>
      <w:sz w:val="20"/>
      <w:szCs w:val="20"/>
      <w:lang w:val="en-AU"/>
    </w:rPr>
  </w:style>
  <w:style w:type="paragraph" w:customStyle="1" w:styleId="introductionlist">
    <w:name w:val="introduction list"/>
    <w:basedOn w:val="Sectionintroduction"/>
    <w:uiPriority w:val="21"/>
    <w:qFormat/>
    <w:rsid w:val="00093FA9"/>
    <w:pPr>
      <w:numPr>
        <w:numId w:val="12"/>
      </w:numPr>
      <w:spacing w:before="60"/>
    </w:pPr>
  </w:style>
  <w:style w:type="paragraph" w:customStyle="1" w:styleId="intoductionbullet">
    <w:name w:val="intoduction bullet"/>
    <w:basedOn w:val="Sectionintroduction"/>
    <w:uiPriority w:val="21"/>
    <w:qFormat/>
    <w:rsid w:val="009A69F5"/>
    <w:pPr>
      <w:numPr>
        <w:numId w:val="14"/>
      </w:numPr>
    </w:pPr>
  </w:style>
  <w:style w:type="paragraph" w:customStyle="1" w:styleId="BioQualificationsText">
    <w:name w:val="Bio Qualifications Text"/>
    <w:basedOn w:val="Normal"/>
    <w:uiPriority w:val="97"/>
    <w:qFormat/>
    <w:rsid w:val="00625270"/>
    <w:pPr>
      <w:spacing w:line="240" w:lineRule="auto"/>
      <w:jc w:val="center"/>
    </w:pPr>
  </w:style>
  <w:style w:type="paragraph" w:customStyle="1" w:styleId="Covertitle">
    <w:name w:val="Cover title"/>
    <w:basedOn w:val="Normal"/>
    <w:link w:val="CovertitleChar"/>
    <w:uiPriority w:val="99"/>
    <w:semiHidden/>
    <w:rsid w:val="00C50B0B"/>
    <w:pPr>
      <w:suppressAutoHyphens/>
      <w:spacing w:after="0" w:line="720" w:lineRule="exact"/>
    </w:pPr>
    <w:rPr>
      <w:rFonts w:eastAsia="Times New Roman" w:cs="Times New Roman"/>
      <w:color w:val="2E368F" w:themeColor="text2"/>
      <w:sz w:val="84"/>
      <w:szCs w:val="19"/>
      <w:lang w:eastAsia="en-AU"/>
    </w:rPr>
  </w:style>
  <w:style w:type="character" w:customStyle="1" w:styleId="CovertitleChar">
    <w:name w:val="Cover title Char"/>
    <w:basedOn w:val="DefaultParagraphFont"/>
    <w:link w:val="Covertitle"/>
    <w:uiPriority w:val="99"/>
    <w:semiHidden/>
    <w:rsid w:val="00C50B0B"/>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C50B0B"/>
    <w:pPr>
      <w:suppressAutoHyphens/>
      <w:spacing w:before="480" w:after="0" w:line="380" w:lineRule="exact"/>
    </w:pPr>
    <w:rPr>
      <w:rFonts w:eastAsia="Times New Roman" w:cs="Times New Roman"/>
      <w:color w:val="2E368F" w:themeColor="text2"/>
      <w:sz w:val="36"/>
      <w:szCs w:val="19"/>
      <w:lang w:eastAsia="en-AU"/>
    </w:rPr>
  </w:style>
  <w:style w:type="character" w:customStyle="1" w:styleId="CoverPage-ClientChar">
    <w:name w:val="Cover Page - Client Char"/>
    <w:basedOn w:val="DefaultParagraphFont"/>
    <w:link w:val="CoverPage-Client"/>
    <w:uiPriority w:val="99"/>
    <w:semiHidden/>
    <w:rsid w:val="00C50B0B"/>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C50B0B"/>
    <w:pPr>
      <w:suppressAutoHyphens/>
      <w:spacing w:before="320" w:after="0" w:line="280" w:lineRule="exact"/>
    </w:pPr>
    <w:rPr>
      <w:rFonts w:eastAsia="Times New Roman" w:cs="Times New Roman"/>
      <w:color w:val="00264D" w:themeColor="background2"/>
      <w:sz w:val="24"/>
      <w:szCs w:val="19"/>
      <w:lang w:eastAsia="en-AU"/>
    </w:rPr>
  </w:style>
  <w:style w:type="character" w:customStyle="1" w:styleId="CoverPage-DateChar">
    <w:name w:val="Cover Page - Date Char"/>
    <w:basedOn w:val="DefaultParagraphFont"/>
    <w:link w:val="CoverPage-Date"/>
    <w:uiPriority w:val="99"/>
    <w:semiHidden/>
    <w:rsid w:val="00C50B0B"/>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C50B0B"/>
    <w:rPr>
      <w:color w:val="808080"/>
    </w:rPr>
  </w:style>
  <w:style w:type="table" w:customStyle="1" w:styleId="Sectionintroductiontable">
    <w:name w:val="Section introduction table"/>
    <w:basedOn w:val="TableNormal"/>
    <w:uiPriority w:val="99"/>
    <w:rsid w:val="00815FD9"/>
    <w:pPr>
      <w:spacing w:after="0" w:line="240" w:lineRule="auto"/>
    </w:p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Segoe UI Semilight" w:hAnsi="Segoe UI Semilight"/>
        <w:color w:val="00264D" w:themeColor="background2"/>
        <w:sz w:val="21"/>
      </w:rPr>
      <w:tblPr/>
      <w:tcPr>
        <w:tcBorders>
          <w:top w:val="single" w:sz="8" w:space="0" w:color="00264D" w:themeColor="background2"/>
          <w:left w:val="nil"/>
          <w:bottom w:val="single" w:sz="8" w:space="0" w:color="00264D" w:themeColor="background2"/>
          <w:right w:val="nil"/>
        </w:tcBorders>
      </w:tcPr>
    </w:tblStylePr>
  </w:style>
  <w:style w:type="numbering" w:customStyle="1" w:styleId="Listnumberedmultilevel">
    <w:name w:val="List (numbered)_multilevel"/>
    <w:uiPriority w:val="99"/>
    <w:rsid w:val="00F660A8"/>
    <w:pPr>
      <w:numPr>
        <w:numId w:val="31"/>
      </w:numPr>
    </w:pPr>
  </w:style>
  <w:style w:type="numbering" w:customStyle="1" w:styleId="TableexpListnumberedmultilevel">
    <w:name w:val="Table exp List (numbered) multilevel"/>
    <w:uiPriority w:val="99"/>
    <w:rsid w:val="00F660A8"/>
    <w:pPr>
      <w:numPr>
        <w:numId w:val="25"/>
      </w:numPr>
    </w:pPr>
  </w:style>
  <w:style w:type="numbering" w:customStyle="1" w:styleId="TableNListnumberedmultilevel">
    <w:name w:val="Table N List (numbered) multilevel"/>
    <w:uiPriority w:val="99"/>
    <w:rsid w:val="00F660A8"/>
    <w:pPr>
      <w:numPr>
        <w:numId w:val="30"/>
      </w:numPr>
    </w:pPr>
  </w:style>
  <w:style w:type="table" w:customStyle="1" w:styleId="NousLongformcallout">
    <w:name w:val="Nous_Long form call out"/>
    <w:basedOn w:val="TableNormal"/>
    <w:uiPriority w:val="99"/>
    <w:rsid w:val="005F382F"/>
    <w:pPr>
      <w:spacing w:after="0" w:line="240" w:lineRule="auto"/>
    </w:pPr>
    <w:rPr>
      <w:color w:val="00264D" w:themeColor="background2"/>
    </w:rPr>
    <w:tblPr>
      <w:tblBorders>
        <w:left w:val="single" w:sz="18" w:space="0" w:color="F8981D" w:themeColor="accent3"/>
      </w:tblBorders>
      <w:tblCellMar>
        <w:top w:w="113" w:type="dxa"/>
        <w:bottom w:w="113" w:type="dxa"/>
      </w:tblCellMar>
    </w:tblPr>
    <w:tcPr>
      <w:shd w:val="clear" w:color="auto" w:fill="E6E6E1" w:themeFill="accent5"/>
    </w:tcPr>
  </w:style>
  <w:style w:type="paragraph" w:styleId="FootnoteText">
    <w:name w:val="footnote text"/>
    <w:basedOn w:val="Normal"/>
    <w:link w:val="FootnoteTextChar"/>
    <w:uiPriority w:val="99"/>
    <w:unhideWhenUsed/>
    <w:rsid w:val="00503C01"/>
    <w:pPr>
      <w:spacing w:after="0" w:line="240" w:lineRule="auto"/>
    </w:pPr>
    <w:rPr>
      <w:sz w:val="15"/>
      <w:szCs w:val="20"/>
    </w:rPr>
  </w:style>
  <w:style w:type="character" w:customStyle="1" w:styleId="FootnoteTextChar">
    <w:name w:val="Footnote Text Char"/>
    <w:basedOn w:val="DefaultParagraphFont"/>
    <w:link w:val="FootnoteText"/>
    <w:uiPriority w:val="99"/>
    <w:rsid w:val="00503C01"/>
    <w:rPr>
      <w:rFonts w:ascii="Segoe UI" w:hAnsi="Segoe UI"/>
      <w:sz w:val="15"/>
      <w:szCs w:val="20"/>
      <w:lang w:val="en-AU"/>
    </w:rPr>
  </w:style>
  <w:style w:type="paragraph" w:customStyle="1" w:styleId="CaseStudytitle">
    <w:name w:val="Case Study title"/>
    <w:basedOn w:val="Normal"/>
    <w:uiPriority w:val="98"/>
    <w:qFormat/>
    <w:rsid w:val="00AC2F02"/>
    <w:pPr>
      <w:spacing w:line="240" w:lineRule="auto"/>
    </w:pPr>
    <w:rPr>
      <w:rFonts w:asciiTheme="majorHAnsi" w:hAnsiTheme="majorHAnsi"/>
      <w:caps/>
      <w:color w:val="F25E21" w:themeColor="accent2"/>
      <w:sz w:val="24"/>
    </w:rPr>
  </w:style>
  <w:style w:type="character" w:customStyle="1" w:styleId="TableNTextChar">
    <w:name w:val="Table N Text Char"/>
    <w:basedOn w:val="DefaultParagraphFont"/>
    <w:link w:val="TableNText"/>
    <w:uiPriority w:val="2"/>
    <w:rsid w:val="00D47773"/>
    <w:rPr>
      <w:rFonts w:ascii="Segoe UI" w:hAnsi="Segoe UI"/>
      <w:sz w:val="17"/>
      <w:lang w:val="en-AU"/>
    </w:rPr>
  </w:style>
  <w:style w:type="character" w:styleId="FootnoteReference">
    <w:name w:val="footnote reference"/>
    <w:basedOn w:val="DefaultParagraphFont"/>
    <w:uiPriority w:val="99"/>
    <w:unhideWhenUsed/>
    <w:rsid w:val="00BD6B4F"/>
    <w:rPr>
      <w:vertAlign w:val="superscript"/>
    </w:rPr>
  </w:style>
  <w:style w:type="character" w:customStyle="1" w:styleId="ListnumberedChar">
    <w:name w:val="List (numbered) Char"/>
    <w:basedOn w:val="DefaultParagraphFont"/>
    <w:link w:val="Listnumbered"/>
    <w:uiPriority w:val="1"/>
    <w:rsid w:val="00D435A6"/>
    <w:rPr>
      <w:rFonts w:ascii="Segoe UI" w:hAnsi="Segoe UI"/>
      <w:sz w:val="19"/>
      <w:lang w:val="en-AU"/>
    </w:rPr>
  </w:style>
  <w:style w:type="table" w:customStyle="1" w:styleId="NOUSSideHeader1">
    <w:name w:val="NOUS Side Header1"/>
    <w:basedOn w:val="TableNormal"/>
    <w:next w:val="TableGrid"/>
    <w:uiPriority w:val="39"/>
    <w:rsid w:val="00D435A6"/>
    <w:pPr>
      <w:spacing w:after="0" w:line="240" w:lineRule="auto"/>
    </w:pPr>
    <w:rPr>
      <w:rFonts w:ascii="Segoe UI" w:hAnsi="Segoe UI"/>
      <w:sz w:val="18"/>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Theme="majorHAnsi" w:hAnsiTheme="majorHAnsi"/>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style>
  <w:style w:type="table" w:customStyle="1" w:styleId="NousTable1">
    <w:name w:val="Nous Table1"/>
    <w:basedOn w:val="TableNormal"/>
    <w:next w:val="TableGrid"/>
    <w:uiPriority w:val="39"/>
    <w:rsid w:val="009A60D4"/>
    <w:pPr>
      <w:spacing w:after="0" w:line="240" w:lineRule="auto"/>
    </w:pPr>
    <w:rPr>
      <w:rFonts w:ascii="Segoe UI" w:eastAsia="Calibri" w:hAnsi="Segoe UI" w:cs="Arial"/>
      <w:sz w:val="18"/>
    </w:rPr>
    <w:tblPr>
      <w:tblInd w:w="0" w:type="nil"/>
      <w:tblBorders>
        <w:top w:val="single" w:sz="8" w:space="0" w:color="E6E6E1"/>
        <w:bottom w:val="single" w:sz="8" w:space="0" w:color="E6E6E1"/>
        <w:insideH w:val="single" w:sz="8" w:space="0" w:color="E6E6E1"/>
      </w:tblBorders>
      <w:tblCellMar>
        <w:top w:w="57" w:type="dxa"/>
        <w:left w:w="85" w:type="dxa"/>
        <w:bottom w:w="57" w:type="dxa"/>
        <w:right w:w="85" w:type="dxa"/>
      </w:tblCellMar>
    </w:tblPr>
    <w:tcPr>
      <w:vAlign w:val="center"/>
    </w:tcPr>
    <w:tblStylePr w:type="firstRow">
      <w:pPr>
        <w:jc w:val="left"/>
      </w:pPr>
      <w:rPr>
        <w:rFonts w:ascii="Segoe UI" w:hAnsi="Segoe UI" w:cs="Segoe UI" w:hint="default"/>
        <w:b/>
        <w:color w:val="00264D"/>
        <w:sz w:val="18"/>
        <w:szCs w:val="18"/>
      </w:rPr>
      <w:tblPr/>
      <w:tcPr>
        <w:tcBorders>
          <w:top w:val="single" w:sz="24" w:space="0" w:color="F8981D"/>
          <w:left w:val="nil"/>
          <w:bottom w:val="nil"/>
          <w:right w:val="nil"/>
          <w:insideH w:val="nil"/>
          <w:insideV w:val="single" w:sz="8" w:space="0" w:color="FFFFFF"/>
          <w:tl2br w:val="nil"/>
          <w:tr2bl w:val="nil"/>
        </w:tcBorders>
        <w:shd w:val="clear" w:color="auto" w:fill="E6E6E1"/>
      </w:tcPr>
    </w:tblStylePr>
  </w:style>
  <w:style w:type="table" w:customStyle="1" w:styleId="SideTitle">
    <w:name w:val="Side Title"/>
    <w:basedOn w:val="TableNormal"/>
    <w:uiPriority w:val="99"/>
    <w:rsid w:val="00993B99"/>
    <w:pPr>
      <w:spacing w:after="0" w:line="240" w:lineRule="auto"/>
    </w:pPr>
    <w:rPr>
      <w:rFonts w:ascii="Segoe UI" w:hAnsi="Segoe UI"/>
      <w:sz w:val="18"/>
    </w:rPr>
    <w:tblPr>
      <w:tblInd w:w="0" w:type="nil"/>
      <w:tblBorders>
        <w:insideH w:val="single" w:sz="8" w:space="0" w:color="E6E6E1" w:themeColor="accent5"/>
      </w:tblBorders>
      <w:tblCellMar>
        <w:top w:w="57" w:type="dxa"/>
        <w:left w:w="85" w:type="dxa"/>
        <w:bottom w:w="57" w:type="dxa"/>
        <w:right w:w="85" w:type="dxa"/>
      </w:tblCellMar>
    </w:tblPr>
  </w:style>
  <w:style w:type="paragraph" w:styleId="ListParagraph">
    <w:name w:val="List Paragraph"/>
    <w:basedOn w:val="Normal"/>
    <w:uiPriority w:val="34"/>
    <w:qFormat/>
    <w:rsid w:val="00652A57"/>
    <w:pPr>
      <w:spacing w:line="240" w:lineRule="auto"/>
      <w:ind w:left="720"/>
      <w:contextualSpacing/>
    </w:pPr>
  </w:style>
  <w:style w:type="table" w:customStyle="1" w:styleId="NOUSSideHeader2">
    <w:name w:val="NOUS Side Header2"/>
    <w:basedOn w:val="TableNormal"/>
    <w:next w:val="TableGrid"/>
    <w:uiPriority w:val="39"/>
    <w:rsid w:val="00C700AA"/>
    <w:pPr>
      <w:spacing w:after="0" w:line="240" w:lineRule="auto"/>
    </w:pPr>
    <w:rPr>
      <w:rFonts w:ascii="Segoe UI" w:eastAsia="Segoe UI" w:hAnsi="Segoe UI" w:cs="Times New Roman"/>
      <w:sz w:val="17"/>
    </w:rPr>
    <w:tblPr>
      <w:tblStyleRowBandSize w:val="1"/>
      <w:tblInd w:w="0" w:type="nil"/>
      <w:tblBorders>
        <w:top w:val="single" w:sz="8" w:space="0" w:color="E6E6E1"/>
        <w:bottom w:val="single" w:sz="8" w:space="0" w:color="E6E6E1"/>
        <w:insideH w:val="single" w:sz="8" w:space="0" w:color="E6E6E1"/>
      </w:tblBorders>
      <w:tblCellMar>
        <w:top w:w="57" w:type="dxa"/>
        <w:left w:w="85" w:type="dxa"/>
        <w:bottom w:w="57" w:type="dxa"/>
        <w:right w:w="85" w:type="dxa"/>
      </w:tblCellMar>
    </w:tblPr>
    <w:tcPr>
      <w:vAlign w:val="center"/>
    </w:tcPr>
    <w:tblStylePr w:type="firstRow">
      <w:pPr>
        <w:jc w:val="left"/>
      </w:pPr>
      <w:rPr>
        <w:rFonts w:ascii="Segoe UI Semibold" w:hAnsi="Segoe UI Semibold" w:cs="Segoe UI Semibold" w:hint="default"/>
        <w:b w:val="0"/>
        <w:color w:val="00264D"/>
        <w:sz w:val="18"/>
        <w:szCs w:val="18"/>
      </w:rPr>
      <w:tblPr/>
      <w:tcPr>
        <w:tcBorders>
          <w:top w:val="single" w:sz="24" w:space="0" w:color="F8981D"/>
          <w:left w:val="nil"/>
          <w:bottom w:val="nil"/>
          <w:right w:val="nil"/>
          <w:insideH w:val="nil"/>
          <w:insideV w:val="single" w:sz="8" w:space="0" w:color="FFFFFF"/>
          <w:tl2br w:val="nil"/>
          <w:tr2bl w:val="nil"/>
        </w:tcBorders>
        <w:shd w:val="clear" w:color="auto" w:fill="E6E6E1"/>
      </w:tcPr>
    </w:tblStylePr>
    <w:tblStylePr w:type="band1Horz">
      <w:rPr>
        <w:rFonts w:ascii="Segoe UI" w:hAnsi="Segoe UI" w:cs="Segoe UI" w:hint="default"/>
        <w:sz w:val="17"/>
        <w:szCs w:val="17"/>
      </w:rPr>
    </w:tblStylePr>
    <w:tblStylePr w:type="band2Horz">
      <w:rPr>
        <w:rFonts w:ascii="Segoe UI" w:hAnsi="Segoe UI" w:cs="Segoe UI" w:hint="default"/>
        <w:sz w:val="17"/>
        <w:szCs w:val="17"/>
      </w:rPr>
    </w:tblStylePr>
  </w:style>
  <w:style w:type="paragraph" w:styleId="TableofFigures">
    <w:name w:val="table of figures"/>
    <w:basedOn w:val="Normal"/>
    <w:next w:val="Normal"/>
    <w:uiPriority w:val="99"/>
    <w:unhideWhenUsed/>
    <w:rsid w:val="0002153B"/>
    <w:pPr>
      <w:spacing w:after="0"/>
    </w:pPr>
  </w:style>
  <w:style w:type="paragraph" w:styleId="CommentSubject">
    <w:name w:val="annotation subject"/>
    <w:basedOn w:val="CommentText"/>
    <w:next w:val="CommentText"/>
    <w:link w:val="CommentSubjectChar"/>
    <w:uiPriority w:val="99"/>
    <w:semiHidden/>
    <w:unhideWhenUsed/>
    <w:rsid w:val="00E65448"/>
    <w:rPr>
      <w:b/>
      <w:bCs/>
    </w:rPr>
  </w:style>
  <w:style w:type="character" w:customStyle="1" w:styleId="CommentSubjectChar">
    <w:name w:val="Comment Subject Char"/>
    <w:basedOn w:val="CommentTextChar"/>
    <w:link w:val="CommentSubject"/>
    <w:uiPriority w:val="99"/>
    <w:semiHidden/>
    <w:rsid w:val="00E65448"/>
    <w:rPr>
      <w:rFonts w:ascii="Segoe UI" w:hAnsi="Segoe UI"/>
      <w:b/>
      <w:bCs/>
      <w:sz w:val="20"/>
      <w:szCs w:val="20"/>
      <w:lang w:val="en-AU"/>
    </w:rPr>
  </w:style>
  <w:style w:type="character" w:customStyle="1" w:styleId="UnresolvedMention">
    <w:name w:val="Unresolved Mention"/>
    <w:basedOn w:val="DefaultParagraphFont"/>
    <w:uiPriority w:val="99"/>
    <w:unhideWhenUsed/>
    <w:rsid w:val="004E5815"/>
    <w:rPr>
      <w:color w:val="605E5C"/>
      <w:shd w:val="clear" w:color="auto" w:fill="E1DFDD"/>
    </w:rPr>
  </w:style>
  <w:style w:type="character" w:customStyle="1" w:styleId="Mention">
    <w:name w:val="Mention"/>
    <w:basedOn w:val="DefaultParagraphFont"/>
    <w:uiPriority w:val="99"/>
    <w:unhideWhenUsed/>
    <w:rsid w:val="004E581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908541">
      <w:bodyDiv w:val="1"/>
      <w:marLeft w:val="0"/>
      <w:marRight w:val="0"/>
      <w:marTop w:val="0"/>
      <w:marBottom w:val="0"/>
      <w:divBdr>
        <w:top w:val="none" w:sz="0" w:space="0" w:color="auto"/>
        <w:left w:val="none" w:sz="0" w:space="0" w:color="auto"/>
        <w:bottom w:val="none" w:sz="0" w:space="0" w:color="auto"/>
        <w:right w:val="none" w:sz="0" w:space="0" w:color="auto"/>
      </w:divBdr>
    </w:div>
    <w:div w:id="153033696">
      <w:bodyDiv w:val="1"/>
      <w:marLeft w:val="0"/>
      <w:marRight w:val="0"/>
      <w:marTop w:val="0"/>
      <w:marBottom w:val="0"/>
      <w:divBdr>
        <w:top w:val="none" w:sz="0" w:space="0" w:color="auto"/>
        <w:left w:val="none" w:sz="0" w:space="0" w:color="auto"/>
        <w:bottom w:val="none" w:sz="0" w:space="0" w:color="auto"/>
        <w:right w:val="none" w:sz="0" w:space="0" w:color="auto"/>
      </w:divBdr>
    </w:div>
    <w:div w:id="238178669">
      <w:bodyDiv w:val="1"/>
      <w:marLeft w:val="0"/>
      <w:marRight w:val="0"/>
      <w:marTop w:val="0"/>
      <w:marBottom w:val="0"/>
      <w:divBdr>
        <w:top w:val="none" w:sz="0" w:space="0" w:color="auto"/>
        <w:left w:val="none" w:sz="0" w:space="0" w:color="auto"/>
        <w:bottom w:val="none" w:sz="0" w:space="0" w:color="auto"/>
        <w:right w:val="none" w:sz="0" w:space="0" w:color="auto"/>
      </w:divBdr>
    </w:div>
    <w:div w:id="357125997">
      <w:bodyDiv w:val="1"/>
      <w:marLeft w:val="0"/>
      <w:marRight w:val="0"/>
      <w:marTop w:val="0"/>
      <w:marBottom w:val="0"/>
      <w:divBdr>
        <w:top w:val="none" w:sz="0" w:space="0" w:color="auto"/>
        <w:left w:val="none" w:sz="0" w:space="0" w:color="auto"/>
        <w:bottom w:val="none" w:sz="0" w:space="0" w:color="auto"/>
        <w:right w:val="none" w:sz="0" w:space="0" w:color="auto"/>
      </w:divBdr>
    </w:div>
    <w:div w:id="392656964">
      <w:bodyDiv w:val="1"/>
      <w:marLeft w:val="0"/>
      <w:marRight w:val="0"/>
      <w:marTop w:val="0"/>
      <w:marBottom w:val="0"/>
      <w:divBdr>
        <w:top w:val="none" w:sz="0" w:space="0" w:color="auto"/>
        <w:left w:val="none" w:sz="0" w:space="0" w:color="auto"/>
        <w:bottom w:val="none" w:sz="0" w:space="0" w:color="auto"/>
        <w:right w:val="none" w:sz="0" w:space="0" w:color="auto"/>
      </w:divBdr>
    </w:div>
    <w:div w:id="465707027">
      <w:bodyDiv w:val="1"/>
      <w:marLeft w:val="0"/>
      <w:marRight w:val="0"/>
      <w:marTop w:val="0"/>
      <w:marBottom w:val="0"/>
      <w:divBdr>
        <w:top w:val="none" w:sz="0" w:space="0" w:color="auto"/>
        <w:left w:val="none" w:sz="0" w:space="0" w:color="auto"/>
        <w:bottom w:val="none" w:sz="0" w:space="0" w:color="auto"/>
        <w:right w:val="none" w:sz="0" w:space="0" w:color="auto"/>
      </w:divBdr>
    </w:div>
    <w:div w:id="500122266">
      <w:bodyDiv w:val="1"/>
      <w:marLeft w:val="0"/>
      <w:marRight w:val="0"/>
      <w:marTop w:val="0"/>
      <w:marBottom w:val="0"/>
      <w:divBdr>
        <w:top w:val="none" w:sz="0" w:space="0" w:color="auto"/>
        <w:left w:val="none" w:sz="0" w:space="0" w:color="auto"/>
        <w:bottom w:val="none" w:sz="0" w:space="0" w:color="auto"/>
        <w:right w:val="none" w:sz="0" w:space="0" w:color="auto"/>
      </w:divBdr>
    </w:div>
    <w:div w:id="557087268">
      <w:bodyDiv w:val="1"/>
      <w:marLeft w:val="0"/>
      <w:marRight w:val="0"/>
      <w:marTop w:val="0"/>
      <w:marBottom w:val="0"/>
      <w:divBdr>
        <w:top w:val="none" w:sz="0" w:space="0" w:color="auto"/>
        <w:left w:val="none" w:sz="0" w:space="0" w:color="auto"/>
        <w:bottom w:val="none" w:sz="0" w:space="0" w:color="auto"/>
        <w:right w:val="none" w:sz="0" w:space="0" w:color="auto"/>
      </w:divBdr>
    </w:div>
    <w:div w:id="585958404">
      <w:bodyDiv w:val="1"/>
      <w:marLeft w:val="0"/>
      <w:marRight w:val="0"/>
      <w:marTop w:val="0"/>
      <w:marBottom w:val="0"/>
      <w:divBdr>
        <w:top w:val="none" w:sz="0" w:space="0" w:color="auto"/>
        <w:left w:val="none" w:sz="0" w:space="0" w:color="auto"/>
        <w:bottom w:val="none" w:sz="0" w:space="0" w:color="auto"/>
        <w:right w:val="none" w:sz="0" w:space="0" w:color="auto"/>
      </w:divBdr>
    </w:div>
    <w:div w:id="608244851">
      <w:bodyDiv w:val="1"/>
      <w:marLeft w:val="0"/>
      <w:marRight w:val="0"/>
      <w:marTop w:val="0"/>
      <w:marBottom w:val="0"/>
      <w:divBdr>
        <w:top w:val="none" w:sz="0" w:space="0" w:color="auto"/>
        <w:left w:val="none" w:sz="0" w:space="0" w:color="auto"/>
        <w:bottom w:val="none" w:sz="0" w:space="0" w:color="auto"/>
        <w:right w:val="none" w:sz="0" w:space="0" w:color="auto"/>
      </w:divBdr>
    </w:div>
    <w:div w:id="722408566">
      <w:bodyDiv w:val="1"/>
      <w:marLeft w:val="0"/>
      <w:marRight w:val="0"/>
      <w:marTop w:val="0"/>
      <w:marBottom w:val="0"/>
      <w:divBdr>
        <w:top w:val="none" w:sz="0" w:space="0" w:color="auto"/>
        <w:left w:val="none" w:sz="0" w:space="0" w:color="auto"/>
        <w:bottom w:val="none" w:sz="0" w:space="0" w:color="auto"/>
        <w:right w:val="none" w:sz="0" w:space="0" w:color="auto"/>
      </w:divBdr>
    </w:div>
    <w:div w:id="730344517">
      <w:bodyDiv w:val="1"/>
      <w:marLeft w:val="0"/>
      <w:marRight w:val="0"/>
      <w:marTop w:val="0"/>
      <w:marBottom w:val="0"/>
      <w:divBdr>
        <w:top w:val="none" w:sz="0" w:space="0" w:color="auto"/>
        <w:left w:val="none" w:sz="0" w:space="0" w:color="auto"/>
        <w:bottom w:val="none" w:sz="0" w:space="0" w:color="auto"/>
        <w:right w:val="none" w:sz="0" w:space="0" w:color="auto"/>
      </w:divBdr>
    </w:div>
    <w:div w:id="785580268">
      <w:bodyDiv w:val="1"/>
      <w:marLeft w:val="0"/>
      <w:marRight w:val="0"/>
      <w:marTop w:val="0"/>
      <w:marBottom w:val="0"/>
      <w:divBdr>
        <w:top w:val="none" w:sz="0" w:space="0" w:color="auto"/>
        <w:left w:val="none" w:sz="0" w:space="0" w:color="auto"/>
        <w:bottom w:val="none" w:sz="0" w:space="0" w:color="auto"/>
        <w:right w:val="none" w:sz="0" w:space="0" w:color="auto"/>
      </w:divBdr>
    </w:div>
    <w:div w:id="825319323">
      <w:bodyDiv w:val="1"/>
      <w:marLeft w:val="0"/>
      <w:marRight w:val="0"/>
      <w:marTop w:val="0"/>
      <w:marBottom w:val="0"/>
      <w:divBdr>
        <w:top w:val="none" w:sz="0" w:space="0" w:color="auto"/>
        <w:left w:val="none" w:sz="0" w:space="0" w:color="auto"/>
        <w:bottom w:val="none" w:sz="0" w:space="0" w:color="auto"/>
        <w:right w:val="none" w:sz="0" w:space="0" w:color="auto"/>
      </w:divBdr>
    </w:div>
    <w:div w:id="905996827">
      <w:bodyDiv w:val="1"/>
      <w:marLeft w:val="0"/>
      <w:marRight w:val="0"/>
      <w:marTop w:val="0"/>
      <w:marBottom w:val="0"/>
      <w:divBdr>
        <w:top w:val="none" w:sz="0" w:space="0" w:color="auto"/>
        <w:left w:val="none" w:sz="0" w:space="0" w:color="auto"/>
        <w:bottom w:val="none" w:sz="0" w:space="0" w:color="auto"/>
        <w:right w:val="none" w:sz="0" w:space="0" w:color="auto"/>
      </w:divBdr>
    </w:div>
    <w:div w:id="921913840">
      <w:bodyDiv w:val="1"/>
      <w:marLeft w:val="0"/>
      <w:marRight w:val="0"/>
      <w:marTop w:val="0"/>
      <w:marBottom w:val="0"/>
      <w:divBdr>
        <w:top w:val="none" w:sz="0" w:space="0" w:color="auto"/>
        <w:left w:val="none" w:sz="0" w:space="0" w:color="auto"/>
        <w:bottom w:val="none" w:sz="0" w:space="0" w:color="auto"/>
        <w:right w:val="none" w:sz="0" w:space="0" w:color="auto"/>
      </w:divBdr>
    </w:div>
    <w:div w:id="985938680">
      <w:bodyDiv w:val="1"/>
      <w:marLeft w:val="0"/>
      <w:marRight w:val="0"/>
      <w:marTop w:val="0"/>
      <w:marBottom w:val="0"/>
      <w:divBdr>
        <w:top w:val="none" w:sz="0" w:space="0" w:color="auto"/>
        <w:left w:val="none" w:sz="0" w:space="0" w:color="auto"/>
        <w:bottom w:val="none" w:sz="0" w:space="0" w:color="auto"/>
        <w:right w:val="none" w:sz="0" w:space="0" w:color="auto"/>
      </w:divBdr>
    </w:div>
    <w:div w:id="1009259404">
      <w:bodyDiv w:val="1"/>
      <w:marLeft w:val="0"/>
      <w:marRight w:val="0"/>
      <w:marTop w:val="0"/>
      <w:marBottom w:val="0"/>
      <w:divBdr>
        <w:top w:val="none" w:sz="0" w:space="0" w:color="auto"/>
        <w:left w:val="none" w:sz="0" w:space="0" w:color="auto"/>
        <w:bottom w:val="none" w:sz="0" w:space="0" w:color="auto"/>
        <w:right w:val="none" w:sz="0" w:space="0" w:color="auto"/>
      </w:divBdr>
    </w:div>
    <w:div w:id="1045526836">
      <w:bodyDiv w:val="1"/>
      <w:marLeft w:val="0"/>
      <w:marRight w:val="0"/>
      <w:marTop w:val="0"/>
      <w:marBottom w:val="0"/>
      <w:divBdr>
        <w:top w:val="none" w:sz="0" w:space="0" w:color="auto"/>
        <w:left w:val="none" w:sz="0" w:space="0" w:color="auto"/>
        <w:bottom w:val="none" w:sz="0" w:space="0" w:color="auto"/>
        <w:right w:val="none" w:sz="0" w:space="0" w:color="auto"/>
      </w:divBdr>
    </w:div>
    <w:div w:id="1068267666">
      <w:bodyDiv w:val="1"/>
      <w:marLeft w:val="0"/>
      <w:marRight w:val="0"/>
      <w:marTop w:val="0"/>
      <w:marBottom w:val="0"/>
      <w:divBdr>
        <w:top w:val="none" w:sz="0" w:space="0" w:color="auto"/>
        <w:left w:val="none" w:sz="0" w:space="0" w:color="auto"/>
        <w:bottom w:val="none" w:sz="0" w:space="0" w:color="auto"/>
        <w:right w:val="none" w:sz="0" w:space="0" w:color="auto"/>
      </w:divBdr>
    </w:div>
    <w:div w:id="1098210186">
      <w:bodyDiv w:val="1"/>
      <w:marLeft w:val="0"/>
      <w:marRight w:val="0"/>
      <w:marTop w:val="0"/>
      <w:marBottom w:val="0"/>
      <w:divBdr>
        <w:top w:val="none" w:sz="0" w:space="0" w:color="auto"/>
        <w:left w:val="none" w:sz="0" w:space="0" w:color="auto"/>
        <w:bottom w:val="none" w:sz="0" w:space="0" w:color="auto"/>
        <w:right w:val="none" w:sz="0" w:space="0" w:color="auto"/>
      </w:divBdr>
    </w:div>
    <w:div w:id="1113475886">
      <w:bodyDiv w:val="1"/>
      <w:marLeft w:val="0"/>
      <w:marRight w:val="0"/>
      <w:marTop w:val="0"/>
      <w:marBottom w:val="0"/>
      <w:divBdr>
        <w:top w:val="none" w:sz="0" w:space="0" w:color="auto"/>
        <w:left w:val="none" w:sz="0" w:space="0" w:color="auto"/>
        <w:bottom w:val="none" w:sz="0" w:space="0" w:color="auto"/>
        <w:right w:val="none" w:sz="0" w:space="0" w:color="auto"/>
      </w:divBdr>
    </w:div>
    <w:div w:id="1138258241">
      <w:bodyDiv w:val="1"/>
      <w:marLeft w:val="0"/>
      <w:marRight w:val="0"/>
      <w:marTop w:val="0"/>
      <w:marBottom w:val="0"/>
      <w:divBdr>
        <w:top w:val="none" w:sz="0" w:space="0" w:color="auto"/>
        <w:left w:val="none" w:sz="0" w:space="0" w:color="auto"/>
        <w:bottom w:val="none" w:sz="0" w:space="0" w:color="auto"/>
        <w:right w:val="none" w:sz="0" w:space="0" w:color="auto"/>
      </w:divBdr>
    </w:div>
    <w:div w:id="1234511044">
      <w:bodyDiv w:val="1"/>
      <w:marLeft w:val="0"/>
      <w:marRight w:val="0"/>
      <w:marTop w:val="0"/>
      <w:marBottom w:val="0"/>
      <w:divBdr>
        <w:top w:val="none" w:sz="0" w:space="0" w:color="auto"/>
        <w:left w:val="none" w:sz="0" w:space="0" w:color="auto"/>
        <w:bottom w:val="none" w:sz="0" w:space="0" w:color="auto"/>
        <w:right w:val="none" w:sz="0" w:space="0" w:color="auto"/>
      </w:divBdr>
    </w:div>
    <w:div w:id="1272124695">
      <w:bodyDiv w:val="1"/>
      <w:marLeft w:val="0"/>
      <w:marRight w:val="0"/>
      <w:marTop w:val="0"/>
      <w:marBottom w:val="0"/>
      <w:divBdr>
        <w:top w:val="none" w:sz="0" w:space="0" w:color="auto"/>
        <w:left w:val="none" w:sz="0" w:space="0" w:color="auto"/>
        <w:bottom w:val="none" w:sz="0" w:space="0" w:color="auto"/>
        <w:right w:val="none" w:sz="0" w:space="0" w:color="auto"/>
      </w:divBdr>
    </w:div>
    <w:div w:id="1327628938">
      <w:bodyDiv w:val="1"/>
      <w:marLeft w:val="0"/>
      <w:marRight w:val="0"/>
      <w:marTop w:val="0"/>
      <w:marBottom w:val="0"/>
      <w:divBdr>
        <w:top w:val="none" w:sz="0" w:space="0" w:color="auto"/>
        <w:left w:val="none" w:sz="0" w:space="0" w:color="auto"/>
        <w:bottom w:val="none" w:sz="0" w:space="0" w:color="auto"/>
        <w:right w:val="none" w:sz="0" w:space="0" w:color="auto"/>
      </w:divBdr>
    </w:div>
    <w:div w:id="1376392793">
      <w:bodyDiv w:val="1"/>
      <w:marLeft w:val="0"/>
      <w:marRight w:val="0"/>
      <w:marTop w:val="0"/>
      <w:marBottom w:val="0"/>
      <w:divBdr>
        <w:top w:val="none" w:sz="0" w:space="0" w:color="auto"/>
        <w:left w:val="none" w:sz="0" w:space="0" w:color="auto"/>
        <w:bottom w:val="none" w:sz="0" w:space="0" w:color="auto"/>
        <w:right w:val="none" w:sz="0" w:space="0" w:color="auto"/>
      </w:divBdr>
    </w:div>
    <w:div w:id="1408382664">
      <w:bodyDiv w:val="1"/>
      <w:marLeft w:val="0"/>
      <w:marRight w:val="0"/>
      <w:marTop w:val="0"/>
      <w:marBottom w:val="0"/>
      <w:divBdr>
        <w:top w:val="none" w:sz="0" w:space="0" w:color="auto"/>
        <w:left w:val="none" w:sz="0" w:space="0" w:color="auto"/>
        <w:bottom w:val="none" w:sz="0" w:space="0" w:color="auto"/>
        <w:right w:val="none" w:sz="0" w:space="0" w:color="auto"/>
      </w:divBdr>
    </w:div>
    <w:div w:id="1418820973">
      <w:bodyDiv w:val="1"/>
      <w:marLeft w:val="0"/>
      <w:marRight w:val="0"/>
      <w:marTop w:val="0"/>
      <w:marBottom w:val="0"/>
      <w:divBdr>
        <w:top w:val="none" w:sz="0" w:space="0" w:color="auto"/>
        <w:left w:val="none" w:sz="0" w:space="0" w:color="auto"/>
        <w:bottom w:val="none" w:sz="0" w:space="0" w:color="auto"/>
        <w:right w:val="none" w:sz="0" w:space="0" w:color="auto"/>
      </w:divBdr>
    </w:div>
    <w:div w:id="1430393648">
      <w:bodyDiv w:val="1"/>
      <w:marLeft w:val="0"/>
      <w:marRight w:val="0"/>
      <w:marTop w:val="0"/>
      <w:marBottom w:val="0"/>
      <w:divBdr>
        <w:top w:val="none" w:sz="0" w:space="0" w:color="auto"/>
        <w:left w:val="none" w:sz="0" w:space="0" w:color="auto"/>
        <w:bottom w:val="none" w:sz="0" w:space="0" w:color="auto"/>
        <w:right w:val="none" w:sz="0" w:space="0" w:color="auto"/>
      </w:divBdr>
    </w:div>
    <w:div w:id="1477183560">
      <w:bodyDiv w:val="1"/>
      <w:marLeft w:val="0"/>
      <w:marRight w:val="0"/>
      <w:marTop w:val="0"/>
      <w:marBottom w:val="0"/>
      <w:divBdr>
        <w:top w:val="none" w:sz="0" w:space="0" w:color="auto"/>
        <w:left w:val="none" w:sz="0" w:space="0" w:color="auto"/>
        <w:bottom w:val="none" w:sz="0" w:space="0" w:color="auto"/>
        <w:right w:val="none" w:sz="0" w:space="0" w:color="auto"/>
      </w:divBdr>
    </w:div>
    <w:div w:id="1503205126">
      <w:bodyDiv w:val="1"/>
      <w:marLeft w:val="0"/>
      <w:marRight w:val="0"/>
      <w:marTop w:val="0"/>
      <w:marBottom w:val="0"/>
      <w:divBdr>
        <w:top w:val="none" w:sz="0" w:space="0" w:color="auto"/>
        <w:left w:val="none" w:sz="0" w:space="0" w:color="auto"/>
        <w:bottom w:val="none" w:sz="0" w:space="0" w:color="auto"/>
        <w:right w:val="none" w:sz="0" w:space="0" w:color="auto"/>
      </w:divBdr>
    </w:div>
    <w:div w:id="1515613794">
      <w:bodyDiv w:val="1"/>
      <w:marLeft w:val="0"/>
      <w:marRight w:val="0"/>
      <w:marTop w:val="0"/>
      <w:marBottom w:val="0"/>
      <w:divBdr>
        <w:top w:val="none" w:sz="0" w:space="0" w:color="auto"/>
        <w:left w:val="none" w:sz="0" w:space="0" w:color="auto"/>
        <w:bottom w:val="none" w:sz="0" w:space="0" w:color="auto"/>
        <w:right w:val="none" w:sz="0" w:space="0" w:color="auto"/>
      </w:divBdr>
    </w:div>
    <w:div w:id="1560165963">
      <w:bodyDiv w:val="1"/>
      <w:marLeft w:val="0"/>
      <w:marRight w:val="0"/>
      <w:marTop w:val="0"/>
      <w:marBottom w:val="0"/>
      <w:divBdr>
        <w:top w:val="none" w:sz="0" w:space="0" w:color="auto"/>
        <w:left w:val="none" w:sz="0" w:space="0" w:color="auto"/>
        <w:bottom w:val="none" w:sz="0" w:space="0" w:color="auto"/>
        <w:right w:val="none" w:sz="0" w:space="0" w:color="auto"/>
      </w:divBdr>
    </w:div>
    <w:div w:id="1628075342">
      <w:bodyDiv w:val="1"/>
      <w:marLeft w:val="0"/>
      <w:marRight w:val="0"/>
      <w:marTop w:val="0"/>
      <w:marBottom w:val="0"/>
      <w:divBdr>
        <w:top w:val="none" w:sz="0" w:space="0" w:color="auto"/>
        <w:left w:val="none" w:sz="0" w:space="0" w:color="auto"/>
        <w:bottom w:val="none" w:sz="0" w:space="0" w:color="auto"/>
        <w:right w:val="none" w:sz="0" w:space="0" w:color="auto"/>
      </w:divBdr>
    </w:div>
    <w:div w:id="1674987657">
      <w:bodyDiv w:val="1"/>
      <w:marLeft w:val="0"/>
      <w:marRight w:val="0"/>
      <w:marTop w:val="0"/>
      <w:marBottom w:val="0"/>
      <w:divBdr>
        <w:top w:val="none" w:sz="0" w:space="0" w:color="auto"/>
        <w:left w:val="none" w:sz="0" w:space="0" w:color="auto"/>
        <w:bottom w:val="none" w:sz="0" w:space="0" w:color="auto"/>
        <w:right w:val="none" w:sz="0" w:space="0" w:color="auto"/>
      </w:divBdr>
    </w:div>
    <w:div w:id="1705710904">
      <w:bodyDiv w:val="1"/>
      <w:marLeft w:val="0"/>
      <w:marRight w:val="0"/>
      <w:marTop w:val="0"/>
      <w:marBottom w:val="0"/>
      <w:divBdr>
        <w:top w:val="none" w:sz="0" w:space="0" w:color="auto"/>
        <w:left w:val="none" w:sz="0" w:space="0" w:color="auto"/>
        <w:bottom w:val="none" w:sz="0" w:space="0" w:color="auto"/>
        <w:right w:val="none" w:sz="0" w:space="0" w:color="auto"/>
      </w:divBdr>
    </w:div>
    <w:div w:id="1715160132">
      <w:bodyDiv w:val="1"/>
      <w:marLeft w:val="0"/>
      <w:marRight w:val="0"/>
      <w:marTop w:val="0"/>
      <w:marBottom w:val="0"/>
      <w:divBdr>
        <w:top w:val="none" w:sz="0" w:space="0" w:color="auto"/>
        <w:left w:val="none" w:sz="0" w:space="0" w:color="auto"/>
        <w:bottom w:val="none" w:sz="0" w:space="0" w:color="auto"/>
        <w:right w:val="none" w:sz="0" w:space="0" w:color="auto"/>
      </w:divBdr>
    </w:div>
    <w:div w:id="1780562795">
      <w:bodyDiv w:val="1"/>
      <w:marLeft w:val="0"/>
      <w:marRight w:val="0"/>
      <w:marTop w:val="0"/>
      <w:marBottom w:val="0"/>
      <w:divBdr>
        <w:top w:val="none" w:sz="0" w:space="0" w:color="auto"/>
        <w:left w:val="none" w:sz="0" w:space="0" w:color="auto"/>
        <w:bottom w:val="none" w:sz="0" w:space="0" w:color="auto"/>
        <w:right w:val="none" w:sz="0" w:space="0" w:color="auto"/>
      </w:divBdr>
    </w:div>
    <w:div w:id="1873416460">
      <w:bodyDiv w:val="1"/>
      <w:marLeft w:val="0"/>
      <w:marRight w:val="0"/>
      <w:marTop w:val="0"/>
      <w:marBottom w:val="0"/>
      <w:divBdr>
        <w:top w:val="none" w:sz="0" w:space="0" w:color="auto"/>
        <w:left w:val="none" w:sz="0" w:space="0" w:color="auto"/>
        <w:bottom w:val="none" w:sz="0" w:space="0" w:color="auto"/>
        <w:right w:val="none" w:sz="0" w:space="0" w:color="auto"/>
      </w:divBdr>
    </w:div>
    <w:div w:id="1936010599">
      <w:bodyDiv w:val="1"/>
      <w:marLeft w:val="0"/>
      <w:marRight w:val="0"/>
      <w:marTop w:val="0"/>
      <w:marBottom w:val="0"/>
      <w:divBdr>
        <w:top w:val="none" w:sz="0" w:space="0" w:color="auto"/>
        <w:left w:val="none" w:sz="0" w:space="0" w:color="auto"/>
        <w:bottom w:val="none" w:sz="0" w:space="0" w:color="auto"/>
        <w:right w:val="none" w:sz="0" w:space="0" w:color="auto"/>
      </w:divBdr>
    </w:div>
    <w:div w:id="1971394655">
      <w:bodyDiv w:val="1"/>
      <w:marLeft w:val="0"/>
      <w:marRight w:val="0"/>
      <w:marTop w:val="0"/>
      <w:marBottom w:val="0"/>
      <w:divBdr>
        <w:top w:val="none" w:sz="0" w:space="0" w:color="auto"/>
        <w:left w:val="none" w:sz="0" w:space="0" w:color="auto"/>
        <w:bottom w:val="none" w:sz="0" w:space="0" w:color="auto"/>
        <w:right w:val="none" w:sz="0" w:space="0" w:color="auto"/>
      </w:divBdr>
    </w:div>
    <w:div w:id="2059279426">
      <w:bodyDiv w:val="1"/>
      <w:marLeft w:val="0"/>
      <w:marRight w:val="0"/>
      <w:marTop w:val="0"/>
      <w:marBottom w:val="0"/>
      <w:divBdr>
        <w:top w:val="none" w:sz="0" w:space="0" w:color="auto"/>
        <w:left w:val="none" w:sz="0" w:space="0" w:color="auto"/>
        <w:bottom w:val="none" w:sz="0" w:space="0" w:color="auto"/>
        <w:right w:val="none" w:sz="0" w:space="0" w:color="auto"/>
      </w:divBdr>
    </w:div>
    <w:div w:id="2067071284">
      <w:bodyDiv w:val="1"/>
      <w:marLeft w:val="0"/>
      <w:marRight w:val="0"/>
      <w:marTop w:val="0"/>
      <w:marBottom w:val="0"/>
      <w:divBdr>
        <w:top w:val="none" w:sz="0" w:space="0" w:color="auto"/>
        <w:left w:val="none" w:sz="0" w:space="0" w:color="auto"/>
        <w:bottom w:val="none" w:sz="0" w:space="0" w:color="auto"/>
        <w:right w:val="none" w:sz="0" w:space="0" w:color="auto"/>
      </w:divBdr>
    </w:div>
    <w:div w:id="2097288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Default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Nous Font">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3"/>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5400" cap="rnd">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2021-03-29T00:00:00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jd1c641577414dfdab1686c9d5d0dbd0 xmlns="166541c0-0594-4e6a-9105-c24d4b6de6f7">
      <Terms xmlns="http://schemas.microsoft.com/office/infopath/2007/PartnerControls"/>
    </jd1c641577414dfdab1686c9d5d0dbd0>
    <hc4a8f51d7584793bcee84017ea96cb3 xmlns="166541c0-0594-4e6a-9105-c24d4b6de6f7">
      <Terms xmlns="http://schemas.microsoft.com/office/infopath/2007/PartnerControls">
        <TermInfo xmlns="http://schemas.microsoft.com/office/infopath/2007/PartnerControls">
          <TermName xmlns="http://schemas.microsoft.com/office/infopath/2007/PartnerControls">Cabinet</TermName>
          <TermId xmlns="http://schemas.microsoft.com/office/infopath/2007/PartnerControls">84cba657-17c1-4642-9e59-a0df180c2be5</TermId>
        </TermInfo>
      </Terms>
    </hc4a8f51d7584793bcee84017ea96cb3>
    <ShareHubID xmlns="166541c0-0594-4e6a-9105-c24d4b6de6f7">DOC22-213</ShareHubID>
    <TaxCatchAll xmlns="166541c0-0594-4e6a-9105-c24d4b6de6f7">
      <Value>18</Value>
      <Value>57</Value>
    </TaxCatchAll>
    <PMCNotes xmlns="166541c0-0594-4e6a-9105-c24d4b6de6f7" xsi:nil="true"/>
    <NonRecordJustification xmlns="685f9fda-bd71-4433-b331-92feb9553089">None</NonRecordJustification>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95CC6C1-163D-42D8-A042-00D5E43954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541c0-0594-4e6a-9105-c24d4b6de6f7"/>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1B4A30-4335-4615-B531-124E826026D8}">
  <ds:schemaRefs>
    <ds:schemaRef ds:uri="http://schemas.microsoft.com/sharepoint/v3/contenttype/forms"/>
  </ds:schemaRefs>
</ds:datastoreItem>
</file>

<file path=customXml/itemProps4.xml><?xml version="1.0" encoding="utf-8"?>
<ds:datastoreItem xmlns:ds="http://schemas.openxmlformats.org/officeDocument/2006/customXml" ds:itemID="{6CB462EA-10A7-4754-94DC-A6846B7C0C55}">
  <ds:schemaRefs>
    <ds:schemaRef ds:uri="http://purl.org/dc/dcmitype/"/>
    <ds:schemaRef ds:uri="http://schemas.openxmlformats.org/package/2006/metadata/core-properties"/>
    <ds:schemaRef ds:uri="http://schemas.microsoft.com/office/2006/documentManagement/types"/>
    <ds:schemaRef ds:uri="http://schemas.microsoft.com/office/2006/metadata/properties"/>
    <ds:schemaRef ds:uri="http://schemas.microsoft.com/office/infopath/2007/PartnerControls"/>
    <ds:schemaRef ds:uri="685f9fda-bd71-4433-b331-92feb9553089"/>
    <ds:schemaRef ds:uri="http://purl.org/dc/terms/"/>
    <ds:schemaRef ds:uri="166541c0-0594-4e6a-9105-c24d4b6de6f7"/>
    <ds:schemaRef ds:uri="http://www.w3.org/XML/1998/namespace"/>
    <ds:schemaRef ds:uri="http://purl.org/dc/elements/1.1/"/>
  </ds:schemaRefs>
</ds:datastoreItem>
</file>

<file path=customXml/itemProps5.xml><?xml version="1.0" encoding="utf-8"?>
<ds:datastoreItem xmlns:ds="http://schemas.openxmlformats.org/officeDocument/2006/customXml" ds:itemID="{1433E35C-0D53-4280-891A-4D4B95FE5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22</Pages>
  <Words>6187</Words>
  <Characters>35269</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Review of Performance as a Native Title Representative Body: Central Land Council</vt:lpstr>
    </vt:vector>
  </TitlesOfParts>
  <Company>Nous Group</Company>
  <LinksUpToDate>false</LinksUpToDate>
  <CharactersWithSpaces>41374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Performance as a Native Title Representative Body: Central Land Council</dc:title>
  <dc:subject>Summary Report</dc:subject>
  <dc:creator>Taliah King</dc:creator>
  <cp:keywords/>
  <dc:description/>
  <cp:lastModifiedBy>Cameron, Suzana</cp:lastModifiedBy>
  <cp:revision>3</cp:revision>
  <cp:lastPrinted>2021-03-29T04:23:00Z</cp:lastPrinted>
  <dcterms:created xsi:type="dcterms:W3CDTF">2021-12-15T21:30:00Z</dcterms:created>
  <dcterms:modified xsi:type="dcterms:W3CDTF">2022-01-04T23:42:00Z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0x0101002825A64A6E1845A99A9D8EE8A5686ECB009B58D7D72C3ED54C851955501673F8AC</vt:lpwstr>
  </property>
  <property fmtid="{D5CDD505-2E9C-101B-9397-08002B2CF9AE}" pid="3" name="HPRMSecurityLevel">
    <vt:lpwstr>57;#OFFICIAL|11463c70-78df-4e3b-b0ff-f66cd3cb26ec</vt:lpwstr>
  </property>
  <property fmtid="{D5CDD505-2E9C-101B-9397-08002B2CF9AE}" pid="4" name="ESearchTags">
    <vt:lpwstr>18;#Cabinet|84cba657-17c1-4642-9e59-a0df180c2be5</vt:lpwstr>
  </property>
  <property fmtid="{D5CDD505-2E9C-101B-9397-08002B2CF9AE}" pid="5" name="PMC.ESearch.TagGeneratedTime">
    <vt:lpwstr>2022-02-23T15:02:21</vt:lpwstr>
  </property>
  <property fmtid="{D5CDD505-2E9C-101B-9397-08002B2CF9AE}" pid="6" name="HPRMSecurityCaveat">
    <vt:lpwstr/>
  </property>
</Properties>
</file>