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F21B82" w14:textId="78FAED04" w:rsidR="000A7531" w:rsidRPr="00E36891" w:rsidRDefault="000A7531" w:rsidP="000A7531">
      <w:pPr>
        <w:pStyle w:val="Covertitle"/>
        <w:rPr>
          <w:rFonts w:cs="Segoe UI"/>
          <w:b/>
          <w:color w:val="FFFFFF" w:themeColor="background1"/>
          <w:sz w:val="64"/>
          <w:szCs w:val="64"/>
        </w:rPr>
      </w:pPr>
      <w:bookmarkStart w:id="0" w:name="_Hlk37147267"/>
      <w:bookmarkEnd w:id="0"/>
      <w:r>
        <w:rPr>
          <w:noProof/>
        </w:rPr>
        <w:drawing>
          <wp:anchor distT="0" distB="0" distL="114300" distR="114300" simplePos="0" relativeHeight="251658240" behindDoc="1" locked="0" layoutInCell="1" allowOverlap="1" wp14:anchorId="21BF928D" wp14:editId="6B4563C3">
            <wp:simplePos x="0" y="0"/>
            <wp:positionH relativeFrom="column">
              <wp:posOffset>-986922</wp:posOffset>
            </wp:positionH>
            <wp:positionV relativeFrom="paragraph">
              <wp:posOffset>-3060700</wp:posOffset>
            </wp:positionV>
            <wp:extent cx="7546602" cy="10674792"/>
            <wp:effectExtent l="0" t="0" r="0" b="0"/>
            <wp:wrapNone/>
            <wp:docPr id="14" name="Picture 14"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1#y1"/>
                    <pic:cNvPicPr/>
                  </pic:nvPicPr>
                  <pic:blipFill>
                    <a:blip r:embed="rId12">
                      <a:extLst>
                        <a:ext uri="{28A0092B-C50C-407E-A947-70E740481C1C}">
                          <a14:useLocalDpi xmlns:a14="http://schemas.microsoft.com/office/drawing/2010/main" val="0"/>
                        </a:ext>
                      </a:extLst>
                    </a:blip>
                    <a:stretch>
                      <a:fillRect/>
                    </a:stretch>
                  </pic:blipFill>
                  <pic:spPr>
                    <a:xfrm>
                      <a:off x="0" y="0"/>
                      <a:ext cx="7546602" cy="10674792"/>
                    </a:xfrm>
                    <a:prstGeom prst="rect">
                      <a:avLst/>
                    </a:prstGeom>
                  </pic:spPr>
                </pic:pic>
              </a:graphicData>
            </a:graphic>
            <wp14:sizeRelH relativeFrom="page">
              <wp14:pctWidth>0</wp14:pctWidth>
            </wp14:sizeRelH>
            <wp14:sizeRelV relativeFrom="page">
              <wp14:pctHeight>0</wp14:pctHeight>
            </wp14:sizeRelV>
          </wp:anchor>
        </w:drawing>
      </w:r>
      <w:bookmarkStart w:id="1" w:name="_Ref502845333"/>
      <w:bookmarkEnd w:id="1"/>
      <w:sdt>
        <w:sdtPr>
          <w:rPr>
            <w:rFonts w:cs="Segoe UI"/>
            <w:b/>
            <w:color w:val="FFFFFF" w:themeColor="background1"/>
            <w:sz w:val="64"/>
            <w:szCs w:val="64"/>
          </w:rPr>
          <w:id w:val="-403298040"/>
          <w:docPartObj>
            <w:docPartGallery w:val="Cover Pages"/>
            <w:docPartUnique/>
          </w:docPartObj>
        </w:sdtPr>
        <w:sdtEndPr>
          <w:rPr>
            <w:sz w:val="36"/>
            <w:szCs w:val="36"/>
          </w:rPr>
        </w:sdtEndPr>
        <w:sdtContent>
          <w:sdt>
            <w:sdtPr>
              <w:rPr>
                <w:rFonts w:cs="Segoe UI"/>
                <w:b/>
                <w:color w:val="FFFFFF" w:themeColor="background1"/>
                <w:sz w:val="64"/>
                <w:szCs w:val="64"/>
              </w:rPr>
              <w:alias w:val="Title"/>
              <w:tag w:val=""/>
              <w:id w:val="1842583531"/>
              <w:dataBinding w:prefixMappings="xmlns:ns0='http://purl.org/dc/elements/1.1/' xmlns:ns1='http://schemas.openxmlformats.org/package/2006/metadata/core-properties' " w:xpath="/ns1:coreProperties[1]/ns0:title[1]" w:storeItemID="{6C3C8BC8-F283-45AE-878A-BAB7291924A1}"/>
              <w:text/>
            </w:sdtPr>
            <w:sdtEndPr/>
            <w:sdtContent>
              <w:r w:rsidR="001C1B01" w:rsidRPr="001C1B01">
                <w:rPr>
                  <w:rFonts w:cs="Segoe UI"/>
                  <w:b/>
                  <w:color w:val="FFFFFF" w:themeColor="background1"/>
                  <w:sz w:val="64"/>
                  <w:szCs w:val="64"/>
                </w:rPr>
                <w:t>Review of Performance as a Native Title Service Provider: First Nations Legal and Research Services</w:t>
              </w:r>
            </w:sdtContent>
          </w:sdt>
        </w:sdtContent>
      </w:sdt>
    </w:p>
    <w:p w14:paraId="6215FE9A" w14:textId="2DAF7D23" w:rsidR="000A7531" w:rsidRPr="00F75386" w:rsidRDefault="002E3063" w:rsidP="000A7531">
      <w:pPr>
        <w:pStyle w:val="CoverPage-Client"/>
        <w:spacing w:before="360"/>
        <w:rPr>
          <w:rFonts w:cs="Segoe UI"/>
          <w:color w:val="F8981D" w:themeColor="accent3"/>
        </w:rPr>
      </w:pPr>
      <w:sdt>
        <w:sdtPr>
          <w:rPr>
            <w:rStyle w:val="CoverPage-ClientChar"/>
            <w:rFonts w:cs="Segoe UI"/>
            <w:color w:val="F8981D" w:themeColor="accent3"/>
          </w:rPr>
          <w:alias w:val="Subject"/>
          <w:tag w:val=""/>
          <w:id w:val="1921753657"/>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sidR="0021098F">
            <w:rPr>
              <w:rStyle w:val="CoverPage-ClientChar"/>
              <w:rFonts w:cs="Segoe UI"/>
              <w:color w:val="F8981D" w:themeColor="accent3"/>
            </w:rPr>
            <w:t>Summary Report</w:t>
          </w:r>
        </w:sdtContent>
      </w:sdt>
    </w:p>
    <w:p w14:paraId="7A1F8918" w14:textId="5571AFC0" w:rsidR="009F248D" w:rsidRDefault="00F20764" w:rsidP="000A7531">
      <w:pPr>
        <w:pStyle w:val="CoverPage-Date"/>
        <w:spacing w:before="240"/>
        <w:rPr>
          <w:rStyle w:val="CoverPage-DateChar"/>
          <w:rFonts w:cs="Segoe UI"/>
          <w:color w:val="FFFFFF" w:themeColor="background1"/>
          <w:sz w:val="20"/>
          <w:szCs w:val="20"/>
        </w:rPr>
      </w:pPr>
      <w:r>
        <w:rPr>
          <w:rStyle w:val="CoverPage-DateChar"/>
          <w:rFonts w:cs="Segoe UI"/>
          <w:color w:val="FFFFFF" w:themeColor="background1"/>
          <w:sz w:val="20"/>
          <w:szCs w:val="20"/>
        </w:rPr>
        <w:t>March 2021</w:t>
      </w:r>
    </w:p>
    <w:p w14:paraId="0DFF99E5" w14:textId="77777777" w:rsidR="000A7531" w:rsidRDefault="000A7531" w:rsidP="000A7531">
      <w:pPr>
        <w:suppressAutoHyphens/>
        <w:spacing w:after="0" w:line="680" w:lineRule="exact"/>
        <w:sectPr w:rsidR="000A7531" w:rsidSect="000A7531">
          <w:headerReference w:type="default" r:id="rId13"/>
          <w:footerReference w:type="default" r:id="rId14"/>
          <w:headerReference w:type="first" r:id="rId15"/>
          <w:pgSz w:w="11907" w:h="16839" w:code="9"/>
          <w:pgMar w:top="4820" w:right="1418" w:bottom="1701" w:left="1559" w:header="737" w:footer="567" w:gutter="0"/>
          <w:pgNumType w:start="0"/>
          <w:cols w:space="720"/>
          <w:titlePg/>
          <w:docGrid w:linePitch="360"/>
        </w:sectPr>
      </w:pPr>
    </w:p>
    <w:sdt>
      <w:sdtPr>
        <w:id w:val="-422653185"/>
        <w:docPartObj>
          <w:docPartGallery w:val="Table of Contents"/>
          <w:docPartUnique/>
        </w:docPartObj>
      </w:sdtPr>
      <w:sdtEndPr>
        <w:rPr>
          <w:b/>
          <w:bCs/>
          <w:noProof/>
        </w:rPr>
      </w:sdtEndPr>
      <w:sdtContent>
        <w:p w14:paraId="1B882AF0" w14:textId="48F26647" w:rsidR="00AA5FFB" w:rsidRDefault="00AA5FFB" w:rsidP="00AA5FFB"/>
        <w:p w14:paraId="51E3E758" w14:textId="77777777" w:rsidR="00AA5FFB" w:rsidRDefault="00AA5FFB" w:rsidP="00AA5FFB"/>
        <w:p w14:paraId="2F2EF09D" w14:textId="77777777" w:rsidR="00AA5FFB" w:rsidRDefault="00AA5FFB" w:rsidP="00AA5FFB"/>
        <w:p w14:paraId="36D1821D" w14:textId="77777777" w:rsidR="00AA5FFB" w:rsidRDefault="00AA5FFB" w:rsidP="00AA5FFB"/>
        <w:p w14:paraId="1E796C87" w14:textId="77777777" w:rsidR="00AA5FFB" w:rsidRDefault="00AA5FFB" w:rsidP="00AA5FFB"/>
        <w:p w14:paraId="3345304A" w14:textId="77777777" w:rsidR="00AA5FFB" w:rsidRDefault="00AA5FFB" w:rsidP="00AA5FFB"/>
        <w:p w14:paraId="005A5809" w14:textId="77777777" w:rsidR="00AA5FFB" w:rsidRDefault="00AA5FFB" w:rsidP="00AA5FFB"/>
        <w:p w14:paraId="24EFF9E2" w14:textId="77777777" w:rsidR="00AA5FFB" w:rsidRDefault="00AA5FFB" w:rsidP="00AA5FFB"/>
        <w:p w14:paraId="255217D0" w14:textId="77777777" w:rsidR="00AA5FFB" w:rsidRDefault="00AA5FFB" w:rsidP="00AA5FFB"/>
        <w:p w14:paraId="59685E14" w14:textId="77777777" w:rsidR="00AA5FFB" w:rsidRDefault="00AA5FFB" w:rsidP="00AA5FFB"/>
        <w:p w14:paraId="13EE051A" w14:textId="77777777" w:rsidR="00AA5FFB" w:rsidRDefault="00AA5FFB" w:rsidP="00AA5FFB">
          <w:pPr>
            <w:rPr>
              <w:i/>
            </w:rPr>
          </w:pPr>
        </w:p>
        <w:p w14:paraId="2D467623" w14:textId="77777777" w:rsidR="00AA5FFB" w:rsidRDefault="00AA5FFB" w:rsidP="00AA5FFB">
          <w:pPr>
            <w:rPr>
              <w:i/>
            </w:rPr>
          </w:pPr>
        </w:p>
        <w:p w14:paraId="032EDF55" w14:textId="77777777" w:rsidR="00AA5FFB" w:rsidRDefault="00AA5FFB" w:rsidP="00AA5FFB">
          <w:pPr>
            <w:rPr>
              <w:i/>
            </w:rPr>
          </w:pPr>
        </w:p>
        <w:p w14:paraId="383A5F59" w14:textId="77777777" w:rsidR="00AA5FFB" w:rsidRDefault="00AA5FFB" w:rsidP="00AA5FFB">
          <w:pPr>
            <w:rPr>
              <w:i/>
            </w:rPr>
          </w:pPr>
        </w:p>
        <w:p w14:paraId="3268BE44" w14:textId="77777777" w:rsidR="00AA5FFB" w:rsidRDefault="00AA5FFB" w:rsidP="00AA5FFB">
          <w:pPr>
            <w:rPr>
              <w:i/>
            </w:rPr>
          </w:pPr>
        </w:p>
        <w:p w14:paraId="7757F484" w14:textId="77777777" w:rsidR="00AA5FFB" w:rsidRDefault="00AA5FFB" w:rsidP="00AA5FFB">
          <w:pPr>
            <w:rPr>
              <w:i/>
            </w:rPr>
          </w:pPr>
        </w:p>
        <w:p w14:paraId="044C668A" w14:textId="77777777" w:rsidR="00AA5FFB" w:rsidRDefault="00AA5FFB" w:rsidP="00AA5FFB">
          <w:pPr>
            <w:rPr>
              <w:i/>
            </w:rPr>
          </w:pPr>
        </w:p>
        <w:p w14:paraId="020675E8" w14:textId="77777777" w:rsidR="00AA5FFB" w:rsidRDefault="00AA5FFB" w:rsidP="00AA5FFB">
          <w:pPr>
            <w:rPr>
              <w:i/>
            </w:rPr>
          </w:pPr>
        </w:p>
        <w:p w14:paraId="4CE5FA7B" w14:textId="77777777" w:rsidR="00AA5FFB" w:rsidRDefault="00AA5FFB" w:rsidP="00AA5FFB">
          <w:pPr>
            <w:rPr>
              <w:i/>
            </w:rPr>
          </w:pPr>
        </w:p>
        <w:p w14:paraId="2DC7192D" w14:textId="77777777" w:rsidR="00AA5FFB" w:rsidRDefault="00AA5FFB" w:rsidP="00AA5FFB">
          <w:pPr>
            <w:rPr>
              <w:i/>
            </w:rPr>
          </w:pPr>
        </w:p>
        <w:p w14:paraId="4A1DB1AF" w14:textId="77777777" w:rsidR="00AA5FFB" w:rsidRDefault="00AA5FFB" w:rsidP="00AA5FFB">
          <w:pPr>
            <w:rPr>
              <w:i/>
            </w:rPr>
          </w:pPr>
        </w:p>
        <w:p w14:paraId="70365459" w14:textId="77777777" w:rsidR="00AA5FFB" w:rsidRDefault="00AA5FFB" w:rsidP="00AA5FFB">
          <w:pPr>
            <w:rPr>
              <w:i/>
            </w:rPr>
          </w:pPr>
        </w:p>
        <w:p w14:paraId="6F4EC900" w14:textId="77777777" w:rsidR="00AA5FFB" w:rsidRDefault="00AA5FFB" w:rsidP="00AA5FFB">
          <w:pPr>
            <w:rPr>
              <w:i/>
            </w:rPr>
          </w:pPr>
        </w:p>
        <w:p w14:paraId="12E58298" w14:textId="77777777" w:rsidR="00AA5FFB" w:rsidRDefault="00AA5FFB" w:rsidP="00AA5FFB">
          <w:pPr>
            <w:rPr>
              <w:i/>
            </w:rPr>
          </w:pPr>
        </w:p>
        <w:p w14:paraId="006AE14E" w14:textId="77777777" w:rsidR="00AA5FFB" w:rsidRPr="00D55E77" w:rsidRDefault="00AA5FFB" w:rsidP="00AA5FFB">
          <w:pPr>
            <w:rPr>
              <w:i/>
            </w:rPr>
          </w:pPr>
        </w:p>
        <w:p w14:paraId="0D4EBA73" w14:textId="77777777" w:rsidR="00F64BB4" w:rsidRPr="00D55E77" w:rsidRDefault="00F64BB4" w:rsidP="00F64BB4">
          <w:pPr>
            <w:rPr>
              <w:b/>
              <w:i/>
            </w:rPr>
          </w:pPr>
          <w:r w:rsidRPr="00D55E77">
            <w:rPr>
              <w:b/>
              <w:i/>
            </w:rPr>
            <w:t xml:space="preserve">Disclaimer: </w:t>
          </w:r>
        </w:p>
        <w:p w14:paraId="29464017" w14:textId="77777777" w:rsidR="0021098F" w:rsidRDefault="0021098F" w:rsidP="0021098F">
          <w:pPr>
            <w:rPr>
              <w:i/>
            </w:rPr>
          </w:pPr>
          <w:r w:rsidRPr="00D55E77">
            <w:rPr>
              <w:i/>
            </w:rPr>
            <w:t>Nous Group (</w:t>
          </w:r>
          <w:r w:rsidRPr="008461BE">
            <w:rPr>
              <w:b/>
              <w:i/>
            </w:rPr>
            <w:t>Nous</w:t>
          </w:r>
          <w:r w:rsidRPr="00D55E77">
            <w:rPr>
              <w:i/>
            </w:rPr>
            <w:t>) has prepared this report for the benefit of</w:t>
          </w:r>
          <w:r>
            <w:rPr>
              <w:i/>
            </w:rPr>
            <w:t xml:space="preserve"> the</w:t>
          </w:r>
          <w:r w:rsidRPr="008B1C39">
            <w:rPr>
              <w:i/>
            </w:rPr>
            <w:t xml:space="preserve"> National Indigenous Australians Agenc</w:t>
          </w:r>
          <w:r>
            <w:rPr>
              <w:i/>
            </w:rPr>
            <w:t xml:space="preserve">y </w:t>
          </w:r>
          <w:r w:rsidRPr="00D55E77">
            <w:rPr>
              <w:i/>
            </w:rPr>
            <w:t xml:space="preserve">(the </w:t>
          </w:r>
          <w:r w:rsidRPr="00031684">
            <w:rPr>
              <w:b/>
              <w:i/>
            </w:rPr>
            <w:t>Client</w:t>
          </w:r>
          <w:r w:rsidRPr="00D55E77">
            <w:rPr>
              <w:i/>
            </w:rPr>
            <w:t>).</w:t>
          </w:r>
          <w:r>
            <w:rPr>
              <w:i/>
            </w:rPr>
            <w:t xml:space="preserve"> </w:t>
          </w:r>
        </w:p>
        <w:p w14:paraId="41D406C8" w14:textId="77777777" w:rsidR="00F64BB4" w:rsidRDefault="00F64BB4" w:rsidP="00F64BB4">
          <w:pPr>
            <w:rPr>
              <w:i/>
            </w:rPr>
          </w:pPr>
          <w:r w:rsidRPr="00D55E77">
            <w:rPr>
              <w:i/>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 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765D59D3" w14:textId="31A94925" w:rsidR="00AA5FFB" w:rsidRDefault="00F64BB4" w:rsidP="00F64BB4">
          <w:pPr>
            <w:rPr>
              <w:i/>
            </w:rPr>
          </w:pPr>
          <w:r>
            <w:rPr>
              <w:i/>
            </w:rPr>
            <w:t xml:space="preserve">This review covered the period from </w:t>
          </w:r>
          <w:r w:rsidRPr="00DB1DB1">
            <w:rPr>
              <w:i/>
            </w:rPr>
            <w:t>July 2014 to June 2017</w:t>
          </w:r>
          <w:r>
            <w:rPr>
              <w:i/>
            </w:rPr>
            <w:t>. Findings relate to this time period unless otherwise stated. Nous conducted the review between June 2017 and March 2018.</w:t>
          </w:r>
          <w:r w:rsidR="0021098F">
            <w:rPr>
              <w:i/>
            </w:rPr>
            <w:t xml:space="preserve"> This summary document was prepared in 2020 and includes responses to recommendations by the NTRB-SP in 2020.</w:t>
          </w:r>
          <w:r w:rsidR="00AA5FFB">
            <w:rPr>
              <w:i/>
            </w:rPr>
            <w:br w:type="page"/>
          </w:r>
        </w:p>
        <w:p w14:paraId="2B7211A7" w14:textId="2E7C6C8E" w:rsidR="000A7531" w:rsidRPr="000A7531" w:rsidRDefault="000A7531" w:rsidP="00AA5FFB">
          <w:pPr>
            <w:rPr>
              <w:rFonts w:ascii="Segoe UI Semibold" w:hAnsi="Segoe UI Semibold"/>
              <w:color w:val="00264D" w:themeColor="background2"/>
              <w:sz w:val="36"/>
              <w:szCs w:val="36"/>
            </w:rPr>
          </w:pPr>
          <w:r w:rsidRPr="00C846A6">
            <w:rPr>
              <w:rFonts w:ascii="Segoe UI Semibold" w:hAnsi="Segoe UI Semibold"/>
              <w:color w:val="00264D" w:themeColor="background2"/>
              <w:sz w:val="36"/>
              <w:szCs w:val="36"/>
            </w:rPr>
            <w:lastRenderedPageBreak/>
            <w:t>Contents</w:t>
          </w:r>
        </w:p>
        <w:p w14:paraId="38DCA026" w14:textId="19E5C908" w:rsidR="006F430C" w:rsidRDefault="000A7531">
          <w:pPr>
            <w:pStyle w:val="TOC1"/>
            <w:tabs>
              <w:tab w:val="left" w:pos="380"/>
              <w:tab w:val="right" w:leader="dot" w:pos="8920"/>
            </w:tabs>
            <w:rPr>
              <w:rFonts w:asciiTheme="minorHAnsi" w:eastAsiaTheme="minorEastAsia" w:hAnsiTheme="minorHAnsi"/>
              <w:noProof/>
              <w:sz w:val="22"/>
              <w:lang w:eastAsia="en-AU"/>
            </w:rPr>
          </w:pPr>
          <w:r>
            <w:fldChar w:fldCharType="begin"/>
          </w:r>
          <w:r>
            <w:instrText xml:space="preserve"> TOC \o "1-3" \h \z \u </w:instrText>
          </w:r>
          <w:r>
            <w:fldChar w:fldCharType="separate"/>
          </w:r>
          <w:hyperlink w:anchor="_Toc68070599" w:history="1">
            <w:r w:rsidR="006F430C" w:rsidRPr="00431F8D">
              <w:rPr>
                <w:rStyle w:val="Hyperlink"/>
                <w:noProof/>
              </w:rPr>
              <w:t>1</w:t>
            </w:r>
            <w:r w:rsidR="006F430C">
              <w:rPr>
                <w:rFonts w:asciiTheme="minorHAnsi" w:eastAsiaTheme="minorEastAsia" w:hAnsiTheme="minorHAnsi"/>
                <w:noProof/>
                <w:sz w:val="22"/>
                <w:lang w:eastAsia="en-AU"/>
              </w:rPr>
              <w:tab/>
            </w:r>
            <w:r w:rsidR="006F430C" w:rsidRPr="00431F8D">
              <w:rPr>
                <w:rStyle w:val="Hyperlink"/>
                <w:noProof/>
              </w:rPr>
              <w:t>About the Review</w:t>
            </w:r>
            <w:r w:rsidR="006F430C">
              <w:rPr>
                <w:noProof/>
                <w:webHidden/>
              </w:rPr>
              <w:tab/>
            </w:r>
            <w:r w:rsidR="006F430C">
              <w:rPr>
                <w:noProof/>
                <w:webHidden/>
              </w:rPr>
              <w:fldChar w:fldCharType="begin"/>
            </w:r>
            <w:r w:rsidR="006F430C">
              <w:rPr>
                <w:noProof/>
                <w:webHidden/>
              </w:rPr>
              <w:instrText xml:space="preserve"> PAGEREF _Toc68070599 \h </w:instrText>
            </w:r>
            <w:r w:rsidR="006F430C">
              <w:rPr>
                <w:noProof/>
                <w:webHidden/>
              </w:rPr>
            </w:r>
            <w:r w:rsidR="006F430C">
              <w:rPr>
                <w:noProof/>
                <w:webHidden/>
              </w:rPr>
              <w:fldChar w:fldCharType="separate"/>
            </w:r>
            <w:r w:rsidR="00E13460">
              <w:rPr>
                <w:noProof/>
                <w:webHidden/>
              </w:rPr>
              <w:t>3</w:t>
            </w:r>
            <w:r w:rsidR="006F430C">
              <w:rPr>
                <w:noProof/>
                <w:webHidden/>
              </w:rPr>
              <w:fldChar w:fldCharType="end"/>
            </w:r>
          </w:hyperlink>
        </w:p>
        <w:p w14:paraId="02F8A355" w14:textId="130D361F" w:rsidR="006F430C" w:rsidRDefault="002E3063">
          <w:pPr>
            <w:pStyle w:val="TOC1"/>
            <w:tabs>
              <w:tab w:val="left" w:pos="380"/>
              <w:tab w:val="right" w:leader="dot" w:pos="8920"/>
            </w:tabs>
            <w:rPr>
              <w:rFonts w:asciiTheme="minorHAnsi" w:eastAsiaTheme="minorEastAsia" w:hAnsiTheme="minorHAnsi"/>
              <w:noProof/>
              <w:sz w:val="22"/>
              <w:lang w:eastAsia="en-AU"/>
            </w:rPr>
          </w:pPr>
          <w:hyperlink w:anchor="_Toc68070600" w:history="1">
            <w:r w:rsidR="006F430C" w:rsidRPr="00431F8D">
              <w:rPr>
                <w:rStyle w:val="Hyperlink"/>
                <w:noProof/>
              </w:rPr>
              <w:t>2</w:t>
            </w:r>
            <w:r w:rsidR="006F430C">
              <w:rPr>
                <w:rFonts w:asciiTheme="minorHAnsi" w:eastAsiaTheme="minorEastAsia" w:hAnsiTheme="minorHAnsi"/>
                <w:noProof/>
                <w:sz w:val="22"/>
                <w:lang w:eastAsia="en-AU"/>
              </w:rPr>
              <w:tab/>
            </w:r>
            <w:r w:rsidR="006F430C" w:rsidRPr="00431F8D">
              <w:rPr>
                <w:rStyle w:val="Hyperlink"/>
                <w:noProof/>
              </w:rPr>
              <w:t>Profile of FNLRS at a glance</w:t>
            </w:r>
            <w:r w:rsidR="006F430C">
              <w:rPr>
                <w:noProof/>
                <w:webHidden/>
              </w:rPr>
              <w:tab/>
            </w:r>
            <w:r w:rsidR="006F430C">
              <w:rPr>
                <w:noProof/>
                <w:webHidden/>
              </w:rPr>
              <w:fldChar w:fldCharType="begin"/>
            </w:r>
            <w:r w:rsidR="006F430C">
              <w:rPr>
                <w:noProof/>
                <w:webHidden/>
              </w:rPr>
              <w:instrText xml:space="preserve"> PAGEREF _Toc68070600 \h </w:instrText>
            </w:r>
            <w:r w:rsidR="006F430C">
              <w:rPr>
                <w:noProof/>
                <w:webHidden/>
              </w:rPr>
            </w:r>
            <w:r w:rsidR="006F430C">
              <w:rPr>
                <w:noProof/>
                <w:webHidden/>
              </w:rPr>
              <w:fldChar w:fldCharType="separate"/>
            </w:r>
            <w:r w:rsidR="00E13460">
              <w:rPr>
                <w:noProof/>
                <w:webHidden/>
              </w:rPr>
              <w:t>4</w:t>
            </w:r>
            <w:r w:rsidR="006F430C">
              <w:rPr>
                <w:noProof/>
                <w:webHidden/>
              </w:rPr>
              <w:fldChar w:fldCharType="end"/>
            </w:r>
          </w:hyperlink>
        </w:p>
        <w:p w14:paraId="179E98F9" w14:textId="066CC3B0" w:rsidR="006F430C" w:rsidRDefault="002E3063">
          <w:pPr>
            <w:pStyle w:val="TOC1"/>
            <w:tabs>
              <w:tab w:val="left" w:pos="380"/>
              <w:tab w:val="right" w:leader="dot" w:pos="8920"/>
            </w:tabs>
            <w:rPr>
              <w:rFonts w:asciiTheme="minorHAnsi" w:eastAsiaTheme="minorEastAsia" w:hAnsiTheme="minorHAnsi"/>
              <w:noProof/>
              <w:sz w:val="22"/>
              <w:lang w:eastAsia="en-AU"/>
            </w:rPr>
          </w:pPr>
          <w:hyperlink w:anchor="_Toc68070601" w:history="1">
            <w:r w:rsidR="006F430C" w:rsidRPr="00431F8D">
              <w:rPr>
                <w:rStyle w:val="Hyperlink"/>
                <w:noProof/>
              </w:rPr>
              <w:t>3</w:t>
            </w:r>
            <w:r w:rsidR="006F430C">
              <w:rPr>
                <w:rFonts w:asciiTheme="minorHAnsi" w:eastAsiaTheme="minorEastAsia" w:hAnsiTheme="minorHAnsi"/>
                <w:noProof/>
                <w:sz w:val="22"/>
                <w:lang w:eastAsia="en-AU"/>
              </w:rPr>
              <w:tab/>
            </w:r>
            <w:r w:rsidR="006F430C" w:rsidRPr="00431F8D">
              <w:rPr>
                <w:rStyle w:val="Hyperlink"/>
                <w:noProof/>
              </w:rPr>
              <w:t>Findings and recommendations by Terms of Reference</w:t>
            </w:r>
            <w:r w:rsidR="006F430C">
              <w:rPr>
                <w:noProof/>
                <w:webHidden/>
              </w:rPr>
              <w:tab/>
            </w:r>
            <w:r w:rsidR="006F430C">
              <w:rPr>
                <w:noProof/>
                <w:webHidden/>
              </w:rPr>
              <w:fldChar w:fldCharType="begin"/>
            </w:r>
            <w:r w:rsidR="006F430C">
              <w:rPr>
                <w:noProof/>
                <w:webHidden/>
              </w:rPr>
              <w:instrText xml:space="preserve"> PAGEREF _Toc68070601 \h </w:instrText>
            </w:r>
            <w:r w:rsidR="006F430C">
              <w:rPr>
                <w:noProof/>
                <w:webHidden/>
              </w:rPr>
            </w:r>
            <w:r w:rsidR="006F430C">
              <w:rPr>
                <w:noProof/>
                <w:webHidden/>
              </w:rPr>
              <w:fldChar w:fldCharType="separate"/>
            </w:r>
            <w:r w:rsidR="00E13460">
              <w:rPr>
                <w:noProof/>
                <w:webHidden/>
              </w:rPr>
              <w:t>5</w:t>
            </w:r>
            <w:r w:rsidR="006F430C">
              <w:rPr>
                <w:noProof/>
                <w:webHidden/>
              </w:rPr>
              <w:fldChar w:fldCharType="end"/>
            </w:r>
          </w:hyperlink>
        </w:p>
        <w:p w14:paraId="3A5F3890" w14:textId="16CAD538" w:rsidR="006F430C" w:rsidRDefault="002E3063">
          <w:pPr>
            <w:pStyle w:val="TOC1"/>
            <w:tabs>
              <w:tab w:val="left" w:pos="1320"/>
              <w:tab w:val="right" w:leader="dot" w:pos="8920"/>
            </w:tabs>
            <w:rPr>
              <w:rFonts w:asciiTheme="minorHAnsi" w:eastAsiaTheme="minorEastAsia" w:hAnsiTheme="minorHAnsi"/>
              <w:noProof/>
              <w:sz w:val="22"/>
              <w:lang w:eastAsia="en-AU"/>
            </w:rPr>
          </w:pPr>
          <w:hyperlink w:anchor="_Toc68070602" w:history="1">
            <w:r w:rsidR="006F430C" w:rsidRPr="00431F8D">
              <w:rPr>
                <w:rStyle w:val="Hyperlink"/>
                <w:noProof/>
              </w:rPr>
              <w:t>Appendix A</w:t>
            </w:r>
            <w:r w:rsidR="006F430C">
              <w:rPr>
                <w:rFonts w:asciiTheme="minorHAnsi" w:eastAsiaTheme="minorEastAsia" w:hAnsiTheme="minorHAnsi"/>
                <w:noProof/>
                <w:sz w:val="22"/>
                <w:lang w:eastAsia="en-AU"/>
              </w:rPr>
              <w:tab/>
            </w:r>
            <w:r w:rsidR="006F430C" w:rsidRPr="00431F8D">
              <w:rPr>
                <w:rStyle w:val="Hyperlink"/>
                <w:noProof/>
              </w:rPr>
              <w:t>Terms of Reference</w:t>
            </w:r>
            <w:r w:rsidR="006F430C">
              <w:rPr>
                <w:noProof/>
                <w:webHidden/>
              </w:rPr>
              <w:tab/>
            </w:r>
            <w:r w:rsidR="006F430C">
              <w:rPr>
                <w:noProof/>
                <w:webHidden/>
              </w:rPr>
              <w:fldChar w:fldCharType="begin"/>
            </w:r>
            <w:r w:rsidR="006F430C">
              <w:rPr>
                <w:noProof/>
                <w:webHidden/>
              </w:rPr>
              <w:instrText xml:space="preserve"> PAGEREF _Toc68070602 \h </w:instrText>
            </w:r>
            <w:r w:rsidR="006F430C">
              <w:rPr>
                <w:noProof/>
                <w:webHidden/>
              </w:rPr>
            </w:r>
            <w:r w:rsidR="006F430C">
              <w:rPr>
                <w:noProof/>
                <w:webHidden/>
              </w:rPr>
              <w:fldChar w:fldCharType="separate"/>
            </w:r>
            <w:r w:rsidR="00E13460">
              <w:rPr>
                <w:noProof/>
                <w:webHidden/>
              </w:rPr>
              <w:t>16</w:t>
            </w:r>
            <w:r w:rsidR="006F430C">
              <w:rPr>
                <w:noProof/>
                <w:webHidden/>
              </w:rPr>
              <w:fldChar w:fldCharType="end"/>
            </w:r>
          </w:hyperlink>
        </w:p>
        <w:p w14:paraId="7209CE51" w14:textId="272E6F02" w:rsidR="006F430C" w:rsidRDefault="002E3063">
          <w:pPr>
            <w:pStyle w:val="TOC1"/>
            <w:tabs>
              <w:tab w:val="left" w:pos="1320"/>
              <w:tab w:val="right" w:leader="dot" w:pos="8920"/>
            </w:tabs>
            <w:rPr>
              <w:rFonts w:asciiTheme="minorHAnsi" w:eastAsiaTheme="minorEastAsia" w:hAnsiTheme="minorHAnsi"/>
              <w:noProof/>
              <w:sz w:val="22"/>
              <w:lang w:eastAsia="en-AU"/>
            </w:rPr>
          </w:pPr>
          <w:hyperlink w:anchor="_Toc68070603" w:history="1">
            <w:r w:rsidR="006F430C" w:rsidRPr="00431F8D">
              <w:rPr>
                <w:rStyle w:val="Hyperlink"/>
                <w:noProof/>
              </w:rPr>
              <w:t>Appendix B</w:t>
            </w:r>
            <w:r w:rsidR="006F430C">
              <w:rPr>
                <w:rFonts w:asciiTheme="minorHAnsi" w:eastAsiaTheme="minorEastAsia" w:hAnsiTheme="minorHAnsi"/>
                <w:noProof/>
                <w:sz w:val="22"/>
                <w:lang w:eastAsia="en-AU"/>
              </w:rPr>
              <w:tab/>
            </w:r>
            <w:r w:rsidR="006F430C" w:rsidRPr="00431F8D">
              <w:rPr>
                <w:rStyle w:val="Hyperlink"/>
                <w:noProof/>
              </w:rPr>
              <w:t>NTRB-SPs under review</w:t>
            </w:r>
            <w:r w:rsidR="006F430C">
              <w:rPr>
                <w:noProof/>
                <w:webHidden/>
              </w:rPr>
              <w:tab/>
            </w:r>
            <w:r w:rsidR="006F430C">
              <w:rPr>
                <w:noProof/>
                <w:webHidden/>
              </w:rPr>
              <w:fldChar w:fldCharType="begin"/>
            </w:r>
            <w:r w:rsidR="006F430C">
              <w:rPr>
                <w:noProof/>
                <w:webHidden/>
              </w:rPr>
              <w:instrText xml:space="preserve"> PAGEREF _Toc68070603 \h </w:instrText>
            </w:r>
            <w:r w:rsidR="006F430C">
              <w:rPr>
                <w:noProof/>
                <w:webHidden/>
              </w:rPr>
            </w:r>
            <w:r w:rsidR="006F430C">
              <w:rPr>
                <w:noProof/>
                <w:webHidden/>
              </w:rPr>
              <w:fldChar w:fldCharType="separate"/>
            </w:r>
            <w:r w:rsidR="00E13460">
              <w:rPr>
                <w:noProof/>
                <w:webHidden/>
              </w:rPr>
              <w:t>17</w:t>
            </w:r>
            <w:r w:rsidR="006F430C">
              <w:rPr>
                <w:noProof/>
                <w:webHidden/>
              </w:rPr>
              <w:fldChar w:fldCharType="end"/>
            </w:r>
          </w:hyperlink>
        </w:p>
        <w:p w14:paraId="7D3CE9BD" w14:textId="3D071798" w:rsidR="006F430C" w:rsidRDefault="002E3063">
          <w:pPr>
            <w:pStyle w:val="TOC1"/>
            <w:tabs>
              <w:tab w:val="left" w:pos="1320"/>
              <w:tab w:val="right" w:leader="dot" w:pos="8920"/>
            </w:tabs>
            <w:rPr>
              <w:rFonts w:asciiTheme="minorHAnsi" w:eastAsiaTheme="minorEastAsia" w:hAnsiTheme="minorHAnsi"/>
              <w:noProof/>
              <w:sz w:val="22"/>
              <w:lang w:eastAsia="en-AU"/>
            </w:rPr>
          </w:pPr>
          <w:hyperlink w:anchor="_Toc68070604" w:history="1">
            <w:r w:rsidR="006F430C" w:rsidRPr="00431F8D">
              <w:rPr>
                <w:rStyle w:val="Hyperlink"/>
                <w:noProof/>
              </w:rPr>
              <w:t>Appendix C</w:t>
            </w:r>
            <w:r w:rsidR="006F430C">
              <w:rPr>
                <w:rFonts w:asciiTheme="minorHAnsi" w:eastAsiaTheme="minorEastAsia" w:hAnsiTheme="minorHAnsi"/>
                <w:noProof/>
                <w:sz w:val="22"/>
                <w:lang w:eastAsia="en-AU"/>
              </w:rPr>
              <w:tab/>
            </w:r>
            <w:r w:rsidR="006F430C" w:rsidRPr="00431F8D">
              <w:rPr>
                <w:rStyle w:val="Hyperlink"/>
                <w:noProof/>
              </w:rPr>
              <w:t>Stakeholders consulted</w:t>
            </w:r>
            <w:r w:rsidR="006F430C">
              <w:rPr>
                <w:noProof/>
                <w:webHidden/>
              </w:rPr>
              <w:tab/>
            </w:r>
            <w:r w:rsidR="006F430C">
              <w:rPr>
                <w:noProof/>
                <w:webHidden/>
              </w:rPr>
              <w:fldChar w:fldCharType="begin"/>
            </w:r>
            <w:r w:rsidR="006F430C">
              <w:rPr>
                <w:noProof/>
                <w:webHidden/>
              </w:rPr>
              <w:instrText xml:space="preserve"> PAGEREF _Toc68070604 \h </w:instrText>
            </w:r>
            <w:r w:rsidR="006F430C">
              <w:rPr>
                <w:noProof/>
                <w:webHidden/>
              </w:rPr>
            </w:r>
            <w:r w:rsidR="006F430C">
              <w:rPr>
                <w:noProof/>
                <w:webHidden/>
              </w:rPr>
              <w:fldChar w:fldCharType="separate"/>
            </w:r>
            <w:r w:rsidR="00E13460">
              <w:rPr>
                <w:noProof/>
                <w:webHidden/>
              </w:rPr>
              <w:t>18</w:t>
            </w:r>
            <w:r w:rsidR="006F430C">
              <w:rPr>
                <w:noProof/>
                <w:webHidden/>
              </w:rPr>
              <w:fldChar w:fldCharType="end"/>
            </w:r>
          </w:hyperlink>
        </w:p>
        <w:p w14:paraId="24E002A7" w14:textId="0D5F008F" w:rsidR="006F430C" w:rsidRDefault="002E3063">
          <w:pPr>
            <w:pStyle w:val="TOC1"/>
            <w:tabs>
              <w:tab w:val="left" w:pos="1320"/>
              <w:tab w:val="right" w:leader="dot" w:pos="8920"/>
            </w:tabs>
            <w:rPr>
              <w:rFonts w:asciiTheme="minorHAnsi" w:eastAsiaTheme="minorEastAsia" w:hAnsiTheme="minorHAnsi"/>
              <w:noProof/>
              <w:sz w:val="22"/>
              <w:lang w:eastAsia="en-AU"/>
            </w:rPr>
          </w:pPr>
          <w:hyperlink w:anchor="_Toc68070605" w:history="1">
            <w:r w:rsidR="006F430C" w:rsidRPr="00431F8D">
              <w:rPr>
                <w:rStyle w:val="Hyperlink"/>
                <w:noProof/>
              </w:rPr>
              <w:t>Appendix D</w:t>
            </w:r>
            <w:r w:rsidR="006F430C">
              <w:rPr>
                <w:rFonts w:asciiTheme="minorHAnsi" w:eastAsiaTheme="minorEastAsia" w:hAnsiTheme="minorHAnsi"/>
                <w:noProof/>
                <w:sz w:val="22"/>
                <w:lang w:eastAsia="en-AU"/>
              </w:rPr>
              <w:tab/>
            </w:r>
            <w:r w:rsidR="006F430C" w:rsidRPr="00431F8D">
              <w:rPr>
                <w:rStyle w:val="Hyperlink"/>
                <w:noProof/>
              </w:rPr>
              <w:t>Methodology</w:t>
            </w:r>
            <w:r w:rsidR="006F430C">
              <w:rPr>
                <w:noProof/>
                <w:webHidden/>
              </w:rPr>
              <w:tab/>
            </w:r>
            <w:r w:rsidR="006F430C">
              <w:rPr>
                <w:noProof/>
                <w:webHidden/>
              </w:rPr>
              <w:fldChar w:fldCharType="begin"/>
            </w:r>
            <w:r w:rsidR="006F430C">
              <w:rPr>
                <w:noProof/>
                <w:webHidden/>
              </w:rPr>
              <w:instrText xml:space="preserve"> PAGEREF _Toc68070605 \h </w:instrText>
            </w:r>
            <w:r w:rsidR="006F430C">
              <w:rPr>
                <w:noProof/>
                <w:webHidden/>
              </w:rPr>
            </w:r>
            <w:r w:rsidR="006F430C">
              <w:rPr>
                <w:noProof/>
                <w:webHidden/>
              </w:rPr>
              <w:fldChar w:fldCharType="separate"/>
            </w:r>
            <w:r w:rsidR="00E13460">
              <w:rPr>
                <w:noProof/>
                <w:webHidden/>
              </w:rPr>
              <w:t>19</w:t>
            </w:r>
            <w:r w:rsidR="006F430C">
              <w:rPr>
                <w:noProof/>
                <w:webHidden/>
              </w:rPr>
              <w:fldChar w:fldCharType="end"/>
            </w:r>
          </w:hyperlink>
        </w:p>
        <w:p w14:paraId="40D29869" w14:textId="2C6D0856" w:rsidR="006F430C" w:rsidRDefault="002E3063">
          <w:pPr>
            <w:pStyle w:val="TOC1"/>
            <w:tabs>
              <w:tab w:val="left" w:pos="1320"/>
              <w:tab w:val="right" w:leader="dot" w:pos="8920"/>
            </w:tabs>
            <w:rPr>
              <w:rFonts w:asciiTheme="minorHAnsi" w:eastAsiaTheme="minorEastAsia" w:hAnsiTheme="minorHAnsi"/>
              <w:noProof/>
              <w:sz w:val="22"/>
              <w:lang w:eastAsia="en-AU"/>
            </w:rPr>
          </w:pPr>
          <w:hyperlink w:anchor="_Toc68070606" w:history="1">
            <w:r w:rsidR="006F430C" w:rsidRPr="00431F8D">
              <w:rPr>
                <w:rStyle w:val="Hyperlink"/>
                <w:noProof/>
              </w:rPr>
              <w:t>Appendix E</w:t>
            </w:r>
            <w:r w:rsidR="006F430C">
              <w:rPr>
                <w:rFonts w:asciiTheme="minorHAnsi" w:eastAsiaTheme="minorEastAsia" w:hAnsiTheme="minorHAnsi"/>
                <w:noProof/>
                <w:sz w:val="22"/>
                <w:lang w:eastAsia="en-AU"/>
              </w:rPr>
              <w:tab/>
            </w:r>
            <w:r w:rsidR="006F430C" w:rsidRPr="00431F8D">
              <w:rPr>
                <w:rStyle w:val="Hyperlink"/>
                <w:noProof/>
              </w:rPr>
              <w:t>Glossary</w:t>
            </w:r>
            <w:r w:rsidR="006F430C">
              <w:rPr>
                <w:noProof/>
                <w:webHidden/>
              </w:rPr>
              <w:tab/>
            </w:r>
            <w:r w:rsidR="006F430C">
              <w:rPr>
                <w:noProof/>
                <w:webHidden/>
              </w:rPr>
              <w:fldChar w:fldCharType="begin"/>
            </w:r>
            <w:r w:rsidR="006F430C">
              <w:rPr>
                <w:noProof/>
                <w:webHidden/>
              </w:rPr>
              <w:instrText xml:space="preserve"> PAGEREF _Toc68070606 \h </w:instrText>
            </w:r>
            <w:r w:rsidR="006F430C">
              <w:rPr>
                <w:noProof/>
                <w:webHidden/>
              </w:rPr>
            </w:r>
            <w:r w:rsidR="006F430C">
              <w:rPr>
                <w:noProof/>
                <w:webHidden/>
              </w:rPr>
              <w:fldChar w:fldCharType="separate"/>
            </w:r>
            <w:r w:rsidR="00E13460">
              <w:rPr>
                <w:noProof/>
                <w:webHidden/>
              </w:rPr>
              <w:t>20</w:t>
            </w:r>
            <w:r w:rsidR="006F430C">
              <w:rPr>
                <w:noProof/>
                <w:webHidden/>
              </w:rPr>
              <w:fldChar w:fldCharType="end"/>
            </w:r>
          </w:hyperlink>
        </w:p>
        <w:p w14:paraId="521BFFDF" w14:textId="6A2DC284" w:rsidR="000A7531" w:rsidRDefault="000A7531">
          <w:r>
            <w:rPr>
              <w:b/>
              <w:bCs/>
              <w:noProof/>
            </w:rPr>
            <w:fldChar w:fldCharType="end"/>
          </w:r>
        </w:p>
      </w:sdtContent>
    </w:sdt>
    <w:p w14:paraId="12FB0C8D" w14:textId="77777777" w:rsidR="000A7531" w:rsidRDefault="000A7531" w:rsidP="000A7531">
      <w:pPr>
        <w:rPr>
          <w:rFonts w:eastAsia="Times New Roman" w:cs="Times New Roman"/>
          <w:b/>
          <w:color w:val="00264D"/>
          <w:sz w:val="36"/>
          <w:szCs w:val="19"/>
          <w:lang w:eastAsia="en-AU"/>
        </w:rPr>
      </w:pPr>
      <w:r>
        <w:br w:type="page"/>
      </w:r>
    </w:p>
    <w:p w14:paraId="0381B7F5" w14:textId="7B3F4F7B" w:rsidR="00525012" w:rsidRDefault="00E5318B" w:rsidP="009F248D">
      <w:pPr>
        <w:pStyle w:val="Heading1"/>
        <w:numPr>
          <w:ilvl w:val="0"/>
          <w:numId w:val="7"/>
        </w:numPr>
      </w:pPr>
      <w:bookmarkStart w:id="2" w:name="_Toc68070599"/>
      <w:r>
        <w:lastRenderedPageBreak/>
        <w:t>About the Review</w:t>
      </w:r>
      <w:bookmarkEnd w:id="2"/>
    </w:p>
    <w:p w14:paraId="06651E86" w14:textId="7AB5BDC7" w:rsidR="001C1B01" w:rsidRDefault="001C1B01" w:rsidP="001C1B01">
      <w:pPr>
        <w:rPr>
          <w:lang w:eastAsia="en-AU"/>
        </w:rPr>
      </w:pPr>
      <w:bookmarkStart w:id="3" w:name="_Toc502668013"/>
      <w:bookmarkStart w:id="4" w:name="_Toc502839775"/>
      <w:bookmarkStart w:id="5" w:name="_Toc502843251"/>
      <w:bookmarkStart w:id="6" w:name="_Toc502847614"/>
      <w:bookmarkStart w:id="7" w:name="_Toc502850758"/>
      <w:bookmarkStart w:id="8" w:name="_Toc502855190"/>
      <w:bookmarkStart w:id="9" w:name="_Toc503117089"/>
      <w:bookmarkStart w:id="10" w:name="_Toc505259166"/>
      <w:bookmarkStart w:id="11" w:name="_Toc505256233"/>
      <w:bookmarkStart w:id="12" w:name="_Toc505618276"/>
      <w:r>
        <w:rPr>
          <w:lang w:eastAsia="en-AU"/>
        </w:rPr>
        <w:t>The Department of the Prime Minister and Cabinet</w:t>
      </w:r>
      <w:r w:rsidR="00E13460">
        <w:rPr>
          <w:rFonts w:ascii="ZWAdobeF" w:hAnsi="ZWAdobeF" w:cs="ZWAdobeF"/>
          <w:sz w:val="2"/>
          <w:szCs w:val="2"/>
          <w:lang w:eastAsia="en-AU"/>
        </w:rPr>
        <w:t>0F</w:t>
      </w:r>
      <w:r>
        <w:rPr>
          <w:rStyle w:val="FootnoteReference"/>
          <w:lang w:eastAsia="en-AU"/>
        </w:rPr>
        <w:footnoteReference w:id="2"/>
      </w:r>
      <w:r>
        <w:rPr>
          <w:lang w:eastAsia="en-AU"/>
        </w:rPr>
        <w:t xml:space="preserve"> commissioned this Review as part of a series of reviews to assess the efficiency and effectiveness of </w:t>
      </w:r>
      <w:r w:rsidR="009E01DA">
        <w:rPr>
          <w:lang w:eastAsia="en-AU"/>
        </w:rPr>
        <w:t>14</w:t>
      </w:r>
      <w:r>
        <w:rPr>
          <w:lang w:eastAsia="en-AU"/>
        </w:rPr>
        <w:t xml:space="preserve"> Native Title Representative Bodies and Service Providers (NTRB-SPs) in carrying out their functions under the </w:t>
      </w:r>
      <w:r w:rsidRPr="00EA47FA">
        <w:rPr>
          <w:i/>
          <w:iCs/>
          <w:lang w:eastAsia="en-AU"/>
        </w:rPr>
        <w:t>Native Title Act 1993</w:t>
      </w:r>
      <w:r>
        <w:rPr>
          <w:i/>
          <w:iCs/>
          <w:lang w:eastAsia="en-AU"/>
        </w:rPr>
        <w:t xml:space="preserve"> (Cth) </w:t>
      </w:r>
      <w:r w:rsidRPr="00BB7B00">
        <w:t>(</w:t>
      </w:r>
      <w:r w:rsidRPr="005124CF">
        <w:t>her</w:t>
      </w:r>
      <w:r>
        <w:t>e</w:t>
      </w:r>
      <w:r w:rsidRPr="005124CF">
        <w:t>in</w:t>
      </w:r>
      <w:r>
        <w:rPr>
          <w:i/>
        </w:rPr>
        <w:t xml:space="preserve"> </w:t>
      </w:r>
      <w:r w:rsidRPr="000B2AA2">
        <w:rPr>
          <w:iCs/>
        </w:rPr>
        <w:t>NTA</w:t>
      </w:r>
      <w:r w:rsidRPr="00BB7B00">
        <w:t>)</w:t>
      </w:r>
      <w:r>
        <w:rPr>
          <w:lang w:eastAsia="en-AU"/>
        </w:rPr>
        <w:t xml:space="preserve">. </w:t>
      </w:r>
      <w:r w:rsidRPr="00AC1574">
        <w:rPr>
          <w:lang w:eastAsia="en-AU"/>
        </w:rPr>
        <w:t xml:space="preserve">The </w:t>
      </w:r>
      <w:r>
        <w:rPr>
          <w:lang w:eastAsia="en-AU"/>
        </w:rPr>
        <w:t xml:space="preserve">complete </w:t>
      </w:r>
      <w:r w:rsidRPr="00AC1574">
        <w:rPr>
          <w:lang w:eastAsia="en-AU"/>
        </w:rPr>
        <w:t>Terms of Reference</w:t>
      </w:r>
      <w:r>
        <w:rPr>
          <w:lang w:eastAsia="en-AU"/>
        </w:rPr>
        <w:t xml:space="preserve"> (TOR)</w:t>
      </w:r>
      <w:r w:rsidRPr="00AC1574">
        <w:rPr>
          <w:lang w:eastAsia="en-AU"/>
        </w:rPr>
        <w:t xml:space="preserve"> provided </w:t>
      </w:r>
      <w:r>
        <w:rPr>
          <w:lang w:eastAsia="en-AU"/>
        </w:rPr>
        <w:t>f</w:t>
      </w:r>
      <w:r w:rsidRPr="00AC1574">
        <w:rPr>
          <w:lang w:eastAsia="en-AU"/>
        </w:rPr>
        <w:t>or the Review are</w:t>
      </w:r>
      <w:r>
        <w:rPr>
          <w:lang w:eastAsia="en-AU"/>
        </w:rPr>
        <w:t xml:space="preserve"> included in </w:t>
      </w:r>
      <w:r>
        <w:rPr>
          <w:lang w:eastAsia="en-AU"/>
        </w:rPr>
        <w:fldChar w:fldCharType="begin" w:fldLock="1"/>
      </w:r>
      <w:r>
        <w:rPr>
          <w:lang w:eastAsia="en-AU"/>
        </w:rPr>
        <w:instrText xml:space="preserve"> REF _Ref500494833 \r \h </w:instrText>
      </w:r>
      <w:r>
        <w:rPr>
          <w:lang w:eastAsia="en-AU"/>
        </w:rPr>
      </w:r>
      <w:r>
        <w:rPr>
          <w:lang w:eastAsia="en-AU"/>
        </w:rPr>
        <w:fldChar w:fldCharType="separate"/>
      </w:r>
      <w:r w:rsidR="006F430C">
        <w:rPr>
          <w:lang w:eastAsia="en-AU"/>
        </w:rPr>
        <w:t>Appendix A</w:t>
      </w:r>
      <w:r>
        <w:rPr>
          <w:lang w:eastAsia="en-AU"/>
        </w:rPr>
        <w:fldChar w:fldCharType="end"/>
      </w:r>
      <w:r>
        <w:rPr>
          <w:lang w:eastAsia="en-AU"/>
        </w:rPr>
        <w:t xml:space="preserve">. The </w:t>
      </w:r>
      <w:r w:rsidR="00AB3D6B">
        <w:rPr>
          <w:lang w:eastAsia="en-AU"/>
        </w:rPr>
        <w:t>1</w:t>
      </w:r>
      <w:r w:rsidR="002A1E2F">
        <w:rPr>
          <w:lang w:eastAsia="en-AU"/>
        </w:rPr>
        <w:t xml:space="preserve">4 </w:t>
      </w:r>
      <w:r>
        <w:rPr>
          <w:lang w:eastAsia="en-AU"/>
        </w:rPr>
        <w:t xml:space="preserve">organisations reviewed are listed in </w:t>
      </w:r>
      <w:r w:rsidR="00AB3D6B">
        <w:rPr>
          <w:lang w:eastAsia="en-AU"/>
        </w:rPr>
        <w:fldChar w:fldCharType="begin" w:fldLock="1"/>
      </w:r>
      <w:r w:rsidR="00AB3D6B">
        <w:rPr>
          <w:lang w:eastAsia="en-AU"/>
        </w:rPr>
        <w:instrText xml:space="preserve"> REF _Ref37158240 \n \h </w:instrText>
      </w:r>
      <w:r w:rsidR="00AB3D6B">
        <w:rPr>
          <w:lang w:eastAsia="en-AU"/>
        </w:rPr>
      </w:r>
      <w:r w:rsidR="00AB3D6B">
        <w:rPr>
          <w:lang w:eastAsia="en-AU"/>
        </w:rPr>
        <w:fldChar w:fldCharType="separate"/>
      </w:r>
      <w:r w:rsidR="006F430C">
        <w:rPr>
          <w:lang w:eastAsia="en-AU"/>
        </w:rPr>
        <w:t>Appendix B</w:t>
      </w:r>
      <w:r w:rsidR="00AB3D6B">
        <w:rPr>
          <w:lang w:eastAsia="en-AU"/>
        </w:rPr>
        <w:fldChar w:fldCharType="end"/>
      </w:r>
      <w:r>
        <w:rPr>
          <w:lang w:eastAsia="en-AU"/>
        </w:rPr>
        <w:t xml:space="preserve">. </w:t>
      </w:r>
    </w:p>
    <w:p w14:paraId="429F569D" w14:textId="67EC836F" w:rsidR="00C0422E" w:rsidRDefault="00303170" w:rsidP="00B5372C">
      <w:pPr>
        <w:rPr>
          <w:b/>
          <w:lang w:eastAsia="en-AU"/>
        </w:rPr>
      </w:pPr>
      <w:r>
        <w:rPr>
          <w:b/>
          <w:lang w:eastAsia="en-AU"/>
        </w:rPr>
        <w:t>First Nations Legal and Research</w:t>
      </w:r>
      <w:r w:rsidR="00FA4902" w:rsidRPr="006A40AF">
        <w:rPr>
          <w:b/>
          <w:lang w:eastAsia="en-AU"/>
        </w:rPr>
        <w:t xml:space="preserve"> Services (</w:t>
      </w:r>
      <w:r>
        <w:rPr>
          <w:b/>
          <w:lang w:eastAsia="en-AU"/>
        </w:rPr>
        <w:t>FNLR</w:t>
      </w:r>
      <w:r w:rsidR="00FA4902" w:rsidRPr="006A40AF">
        <w:rPr>
          <w:b/>
          <w:lang w:eastAsia="en-AU"/>
        </w:rPr>
        <w:t>S)</w:t>
      </w:r>
      <w:r w:rsidR="00FA4902">
        <w:rPr>
          <w:lang w:eastAsia="en-AU"/>
        </w:rPr>
        <w:t xml:space="preserve"> </w:t>
      </w:r>
      <w:r w:rsidR="0070030A">
        <w:rPr>
          <w:lang w:eastAsia="en-AU"/>
        </w:rPr>
        <w:t xml:space="preserve">was </w:t>
      </w:r>
      <w:r w:rsidR="000F6ED7">
        <w:rPr>
          <w:lang w:eastAsia="en-AU"/>
        </w:rPr>
        <w:t xml:space="preserve">reviewed </w:t>
      </w:r>
      <w:r w:rsidR="00672723">
        <w:rPr>
          <w:lang w:eastAsia="en-AU"/>
        </w:rPr>
        <w:t>from</w:t>
      </w:r>
      <w:r w:rsidR="006A40AF" w:rsidRPr="006A40AF">
        <w:rPr>
          <w:b/>
          <w:lang w:eastAsia="en-AU"/>
        </w:rPr>
        <w:t xml:space="preserve"> </w:t>
      </w:r>
      <w:r w:rsidR="006A40AF" w:rsidRPr="002836EF">
        <w:rPr>
          <w:bCs/>
          <w:lang w:eastAsia="en-AU"/>
        </w:rPr>
        <w:t>June 2017 to March 2018</w:t>
      </w:r>
      <w:r w:rsidR="002836EF">
        <w:rPr>
          <w:b/>
          <w:lang w:eastAsia="en-AU"/>
        </w:rPr>
        <w:t xml:space="preserve"> </w:t>
      </w:r>
      <w:r w:rsidR="002836EF" w:rsidRPr="002836EF">
        <w:rPr>
          <w:b/>
          <w:lang w:eastAsia="en-AU"/>
        </w:rPr>
        <w:t>in relation to the previous three-year period (</w:t>
      </w:r>
      <w:r w:rsidR="00C0422E" w:rsidRPr="002836EF">
        <w:rPr>
          <w:b/>
          <w:lang w:eastAsia="en-AU"/>
        </w:rPr>
        <w:t>July 2014 to June 2017</w:t>
      </w:r>
      <w:r w:rsidR="002836EF" w:rsidRPr="002836EF">
        <w:rPr>
          <w:b/>
          <w:lang w:eastAsia="en-AU"/>
        </w:rPr>
        <w:t>)</w:t>
      </w:r>
      <w:r w:rsidR="00C0422E" w:rsidRPr="002836EF">
        <w:rPr>
          <w:b/>
          <w:lang w:eastAsia="en-AU"/>
        </w:rPr>
        <w:t>.</w:t>
      </w:r>
      <w:r w:rsidR="002836EF" w:rsidRPr="002836EF">
        <w:rPr>
          <w:b/>
          <w:lang w:eastAsia="en-AU"/>
        </w:rPr>
        <w:t xml:space="preserve"> </w:t>
      </w:r>
      <w:r w:rsidR="002836EF">
        <w:rPr>
          <w:b/>
          <w:lang w:eastAsia="en-AU"/>
        </w:rPr>
        <w:t>This document contains a summary of the Review’s overarching findings and recommendations for FNLRS. It also includes FNLRS’s responses to the recommendations made by the Review.</w:t>
      </w:r>
    </w:p>
    <w:p w14:paraId="6426AC99" w14:textId="41441DBD" w:rsidR="000408A6" w:rsidRPr="000408A6" w:rsidRDefault="000408A6" w:rsidP="00B5372C">
      <w:pPr>
        <w:rPr>
          <w:lang w:eastAsia="en-AU"/>
        </w:rPr>
      </w:pPr>
      <w:r w:rsidRPr="000408A6">
        <w:rPr>
          <w:b/>
          <w:lang w:eastAsia="en-AU"/>
        </w:rPr>
        <w:t>Findings and recommendations represent an assessment of performance at the time of the review and have not been subsequently amended or updated.</w:t>
      </w:r>
    </w:p>
    <w:p w14:paraId="5A9F9666" w14:textId="7B63468B" w:rsidR="00F64BB4" w:rsidRDefault="00FA1EB1" w:rsidP="00BB5C42">
      <w:pPr>
        <w:rPr>
          <w:lang w:eastAsia="en-AU"/>
        </w:rPr>
      </w:pPr>
      <w:r w:rsidRPr="00FA1EB1">
        <w:rPr>
          <w:lang w:eastAsia="en-AU"/>
        </w:rPr>
        <w:t>In addition to the individual reports, Nous</w:t>
      </w:r>
      <w:r w:rsidR="000E073E">
        <w:rPr>
          <w:lang w:eastAsia="en-AU"/>
        </w:rPr>
        <w:t xml:space="preserve"> Group (Nous)</w:t>
      </w:r>
      <w:r w:rsidRPr="00FA1EB1">
        <w:rPr>
          <w:lang w:eastAsia="en-AU"/>
        </w:rPr>
        <w:t xml:space="preserve"> has developed a de-identified comparative report which considers the performance of </w:t>
      </w:r>
      <w:r w:rsidR="000408A6">
        <w:rPr>
          <w:lang w:eastAsia="en-AU"/>
        </w:rPr>
        <w:t xml:space="preserve">all </w:t>
      </w:r>
      <w:r w:rsidRPr="00FA1EB1">
        <w:rPr>
          <w:lang w:eastAsia="en-AU"/>
        </w:rPr>
        <w:t>the organisations across the TORs</w:t>
      </w:r>
      <w:r w:rsidR="00CD3774">
        <w:rPr>
          <w:lang w:eastAsia="en-AU"/>
        </w:rPr>
        <w:t xml:space="preserve">. The report presents </w:t>
      </w:r>
      <w:r w:rsidR="002D067D" w:rsidRPr="00C4471D">
        <w:t xml:space="preserve">a discussion of </w:t>
      </w:r>
      <w:r w:rsidR="002D067D">
        <w:t xml:space="preserve">systemic issues within each TOR </w:t>
      </w:r>
      <w:r w:rsidR="002D067D" w:rsidRPr="00C4471D">
        <w:t xml:space="preserve">that </w:t>
      </w:r>
      <w:r w:rsidR="002D067D">
        <w:t xml:space="preserve">arose in all or most of the organisations across </w:t>
      </w:r>
      <w:r w:rsidR="00351DEB">
        <w:t>all</w:t>
      </w:r>
      <w:r w:rsidR="002D067D">
        <w:t xml:space="preserve"> tranches of the Review and that are pertinent to the broader native title system.</w:t>
      </w:r>
    </w:p>
    <w:p w14:paraId="6641EF8A" w14:textId="4A455C4C" w:rsidR="00672723" w:rsidRDefault="00F64BB4" w:rsidP="00F64BB4">
      <w:pPr>
        <w:rPr>
          <w:lang w:eastAsia="en-AU"/>
        </w:rPr>
      </w:pPr>
      <w:r>
        <w:rPr>
          <w:lang w:eastAsia="en-AU"/>
        </w:rPr>
        <w:t xml:space="preserve">Nous has used a consistent </w:t>
      </w:r>
      <w:r w:rsidRPr="00537AF0">
        <w:rPr>
          <w:lang w:eastAsia="en-AU"/>
        </w:rPr>
        <w:t>methodology</w:t>
      </w:r>
      <w:r w:rsidRPr="00D47620">
        <w:rPr>
          <w:lang w:eastAsia="en-AU"/>
        </w:rPr>
        <w:t xml:space="preserve"> </w:t>
      </w:r>
      <w:r w:rsidR="000408A6">
        <w:rPr>
          <w:lang w:eastAsia="en-AU"/>
        </w:rPr>
        <w:t xml:space="preserve">for all the Reviews </w:t>
      </w:r>
      <w:r w:rsidRPr="00D47620">
        <w:rPr>
          <w:lang w:eastAsia="en-AU"/>
        </w:rPr>
        <w:t xml:space="preserve">to support a comparative and transparent assessment of </w:t>
      </w:r>
      <w:r w:rsidR="00961DCB">
        <w:rPr>
          <w:lang w:eastAsia="en-AU"/>
        </w:rPr>
        <w:t>FNLRS</w:t>
      </w:r>
      <w:r>
        <w:rPr>
          <w:lang w:eastAsia="en-AU"/>
        </w:rPr>
        <w:t xml:space="preserve"> and </w:t>
      </w:r>
      <w:r w:rsidRPr="00D47620">
        <w:rPr>
          <w:lang w:eastAsia="en-AU"/>
        </w:rPr>
        <w:t xml:space="preserve">the </w:t>
      </w:r>
      <w:r>
        <w:rPr>
          <w:lang w:eastAsia="en-AU"/>
        </w:rPr>
        <w:t>other NTRB-SPs</w:t>
      </w:r>
      <w:r w:rsidRPr="00D47620">
        <w:rPr>
          <w:lang w:eastAsia="en-AU"/>
        </w:rPr>
        <w:t xml:space="preserve">. </w:t>
      </w:r>
      <w:r w:rsidR="000408A6">
        <w:rPr>
          <w:lang w:eastAsia="en-AU"/>
        </w:rPr>
        <w:t>The methodology</w:t>
      </w:r>
      <w:r w:rsidR="001C1B01">
        <w:rPr>
          <w:lang w:eastAsia="en-AU"/>
        </w:rPr>
        <w:t xml:space="preserve"> </w:t>
      </w:r>
      <w:r>
        <w:rPr>
          <w:lang w:eastAsia="en-AU"/>
        </w:rPr>
        <w:t xml:space="preserve">used a mixed method approach including quantitative data on the progress of claims, future acts and Indigenous Land Use Agreements (ILUAs), performance against milestones, budgetary performance, staffing, and broader social and geographical factors that impact performance. The quantitative analytics was complemented by </w:t>
      </w:r>
      <w:r w:rsidR="00FD643F" w:rsidRPr="007F19C1">
        <w:rPr>
          <w:lang w:eastAsia="en-AU"/>
        </w:rPr>
        <w:t xml:space="preserve">interviews and </w:t>
      </w:r>
      <w:r w:rsidR="00FD643F" w:rsidRPr="0039688C">
        <w:rPr>
          <w:lang w:eastAsia="en-AU"/>
        </w:rPr>
        <w:t>a survey</w:t>
      </w:r>
      <w:r w:rsidR="00FD643F" w:rsidRPr="007F19C1">
        <w:rPr>
          <w:lang w:eastAsia="en-AU"/>
        </w:rPr>
        <w:t xml:space="preserve"> with Traditional Owners, staff, the Federal Court, the National Native Title Tribunal (NNTT),</w:t>
      </w:r>
      <w:r w:rsidR="00FD643F">
        <w:rPr>
          <w:lang w:eastAsia="en-AU"/>
        </w:rPr>
        <w:t xml:space="preserve"> Board Directors and the Victorian Government. </w:t>
      </w:r>
      <w:r w:rsidR="00FD1501">
        <w:rPr>
          <w:lang w:eastAsia="en-AU"/>
        </w:rPr>
        <w:t xml:space="preserve">A list of stakeholders consulted is included </w:t>
      </w:r>
      <w:r w:rsidR="005B0290">
        <w:rPr>
          <w:lang w:eastAsia="en-AU"/>
        </w:rPr>
        <w:t>in</w:t>
      </w:r>
      <w:r w:rsidR="00FD1501">
        <w:rPr>
          <w:lang w:eastAsia="en-AU"/>
        </w:rPr>
        <w:t xml:space="preserve"> </w:t>
      </w:r>
      <w:r w:rsidR="00075CF8">
        <w:rPr>
          <w:lang w:eastAsia="en-AU"/>
        </w:rPr>
        <w:fldChar w:fldCharType="begin" w:fldLock="1"/>
      </w:r>
      <w:r w:rsidR="00075CF8">
        <w:rPr>
          <w:lang w:eastAsia="en-AU"/>
        </w:rPr>
        <w:instrText xml:space="preserve"> REF _Ref68019974 \n \h </w:instrText>
      </w:r>
      <w:r w:rsidR="00075CF8">
        <w:rPr>
          <w:lang w:eastAsia="en-AU"/>
        </w:rPr>
      </w:r>
      <w:r w:rsidR="00075CF8">
        <w:rPr>
          <w:lang w:eastAsia="en-AU"/>
        </w:rPr>
        <w:fldChar w:fldCharType="separate"/>
      </w:r>
      <w:r w:rsidR="006F430C">
        <w:rPr>
          <w:lang w:eastAsia="en-AU"/>
        </w:rPr>
        <w:t>Appendix C</w:t>
      </w:r>
      <w:r w:rsidR="00075CF8">
        <w:rPr>
          <w:lang w:eastAsia="en-AU"/>
        </w:rPr>
        <w:fldChar w:fldCharType="end"/>
      </w:r>
      <w:r w:rsidR="00FD1501">
        <w:rPr>
          <w:lang w:eastAsia="en-AU"/>
        </w:rPr>
        <w:t xml:space="preserve">. </w:t>
      </w:r>
    </w:p>
    <w:p w14:paraId="0621EFFC" w14:textId="34C0396F" w:rsidR="00F64BB4" w:rsidRDefault="00961DCB" w:rsidP="00F64BB4">
      <w:r>
        <w:t>FNLR</w:t>
      </w:r>
      <w:r w:rsidR="00F64BB4">
        <w:t xml:space="preserve">S </w:t>
      </w:r>
      <w:r w:rsidR="00672723">
        <w:t xml:space="preserve">was given the opportunity to review the full report in 2018 and has also provided written responses on actions they are taking in response to recommendations made by the Review, which </w:t>
      </w:r>
      <w:r w:rsidR="001C1B01">
        <w:t>are</w:t>
      </w:r>
      <w:r w:rsidR="00672723">
        <w:t xml:space="preserve"> included in this summary document. </w:t>
      </w:r>
      <w:r w:rsidR="002770F2">
        <w:t xml:space="preserve">A </w:t>
      </w:r>
      <w:r w:rsidR="000408A6">
        <w:t xml:space="preserve">complete </w:t>
      </w:r>
      <w:r w:rsidR="002770F2">
        <w:t xml:space="preserve">description of the methodology is included </w:t>
      </w:r>
      <w:r w:rsidR="005B0290">
        <w:t>in</w:t>
      </w:r>
      <w:r w:rsidR="002770F2">
        <w:t xml:space="preserve"> </w:t>
      </w:r>
      <w:r w:rsidR="0066667A">
        <w:fldChar w:fldCharType="begin" w:fldLock="1"/>
      </w:r>
      <w:r w:rsidR="0066667A">
        <w:instrText xml:space="preserve"> REF _Ref37158283 \r \h </w:instrText>
      </w:r>
      <w:r w:rsidR="0066667A">
        <w:fldChar w:fldCharType="separate"/>
      </w:r>
      <w:r w:rsidR="006F430C">
        <w:t>Appendix D</w:t>
      </w:r>
      <w:r w:rsidR="0066667A">
        <w:fldChar w:fldCharType="end"/>
      </w:r>
      <w:r w:rsidR="002770F2">
        <w:t>.</w:t>
      </w:r>
    </w:p>
    <w:p w14:paraId="6519F4F0" w14:textId="2806539F" w:rsidR="007464BD" w:rsidRDefault="007464BD" w:rsidP="00F64BB4">
      <w:pPr>
        <w:rPr>
          <w:lang w:eastAsia="en-AU"/>
        </w:rPr>
      </w:pPr>
    </w:p>
    <w:p w14:paraId="15C2BB04" w14:textId="4532F16A" w:rsidR="007464BD" w:rsidRDefault="007464BD">
      <w:pPr>
        <w:spacing w:after="160" w:line="259" w:lineRule="auto"/>
        <w:rPr>
          <w:lang w:eastAsia="en-AU"/>
        </w:rPr>
      </w:pPr>
      <w:r>
        <w:rPr>
          <w:lang w:eastAsia="en-AU"/>
        </w:rPr>
        <w:br w:type="page"/>
      </w:r>
    </w:p>
    <w:p w14:paraId="6034A7EF" w14:textId="06B05E6A" w:rsidR="00525012" w:rsidRDefault="00525012" w:rsidP="00525012">
      <w:pPr>
        <w:pStyle w:val="Heading1"/>
      </w:pPr>
      <w:bookmarkStart w:id="13" w:name="_Toc68070600"/>
      <w:r>
        <w:lastRenderedPageBreak/>
        <w:t xml:space="preserve">Profile of </w:t>
      </w:r>
      <w:r w:rsidR="003D5404">
        <w:t>FNLR</w:t>
      </w:r>
      <w:r>
        <w:t>S at a glance</w:t>
      </w:r>
      <w:bookmarkEnd w:id="3"/>
      <w:bookmarkEnd w:id="4"/>
      <w:bookmarkEnd w:id="5"/>
      <w:bookmarkEnd w:id="6"/>
      <w:bookmarkEnd w:id="7"/>
      <w:bookmarkEnd w:id="8"/>
      <w:bookmarkEnd w:id="9"/>
      <w:bookmarkEnd w:id="10"/>
      <w:bookmarkEnd w:id="11"/>
      <w:bookmarkEnd w:id="12"/>
      <w:bookmarkEnd w:id="13"/>
    </w:p>
    <w:p w14:paraId="4219CB99" w14:textId="76883732" w:rsidR="00316199" w:rsidRPr="00933083" w:rsidRDefault="00316199" w:rsidP="00933083">
      <w:pPr>
        <w:rPr>
          <w:b/>
          <w:bCs/>
          <w:i/>
          <w:iCs/>
          <w:color w:val="00264D" w:themeColor="background2"/>
        </w:rPr>
      </w:pPr>
      <w:bookmarkStart w:id="14" w:name="_Toc502668014"/>
      <w:bookmarkStart w:id="15" w:name="_Toc502839776"/>
      <w:bookmarkStart w:id="16" w:name="_Toc502843252"/>
      <w:bookmarkStart w:id="17" w:name="_Toc502847615"/>
      <w:bookmarkStart w:id="18" w:name="_Toc502850759"/>
      <w:bookmarkStart w:id="19" w:name="_Toc502855191"/>
      <w:bookmarkStart w:id="20" w:name="_Toc503117090"/>
      <w:bookmarkStart w:id="21" w:name="_Toc505259167"/>
      <w:bookmarkStart w:id="22" w:name="_Toc505256234"/>
      <w:bookmarkStart w:id="23" w:name="_Toc505618277"/>
      <w:r w:rsidRPr="00933083">
        <w:rPr>
          <w:b/>
          <w:bCs/>
          <w:i/>
          <w:iCs/>
          <w:color w:val="00264D" w:themeColor="background2"/>
        </w:rPr>
        <w:t xml:space="preserve">FNLRS is </w:t>
      </w:r>
      <w:r w:rsidR="000456DC" w:rsidRPr="00933083">
        <w:rPr>
          <w:b/>
          <w:bCs/>
          <w:i/>
          <w:iCs/>
          <w:color w:val="00264D" w:themeColor="background2"/>
        </w:rPr>
        <w:t>an organisation</w:t>
      </w:r>
      <w:r w:rsidRPr="00933083">
        <w:rPr>
          <w:b/>
          <w:bCs/>
          <w:i/>
          <w:iCs/>
          <w:color w:val="00264D" w:themeColor="background2"/>
        </w:rPr>
        <w:t xml:space="preserve"> based in Melbourne that provides native title services to Victorian Traditional Owners</w:t>
      </w:r>
    </w:p>
    <w:p w14:paraId="72A48718" w14:textId="77777777" w:rsidR="00316199" w:rsidRDefault="00316199" w:rsidP="00316199">
      <w:r>
        <w:t>First Nations Legal and Research Services (FNLRS), established November 2017, is a Native Title Service Provider servicing Victoria. It was previously known as Native Title Services Victoria (NTSV) and functioned under that title since 2003. The Report uses FNLRS as the organisation name throughout all periods.</w:t>
      </w:r>
    </w:p>
    <w:p w14:paraId="2CDF8DBE" w14:textId="4AA667FC" w:rsidR="00316199" w:rsidRDefault="00316199" w:rsidP="00316199">
      <w:r>
        <w:rPr>
          <w:noProof/>
          <w:lang w:eastAsia="en-AU"/>
        </w:rPr>
        <w:drawing>
          <wp:anchor distT="0" distB="0" distL="114300" distR="114300" simplePos="0" relativeHeight="251660289" behindDoc="0" locked="0" layoutInCell="1" allowOverlap="1" wp14:anchorId="09B1F4B1" wp14:editId="44816BB7">
            <wp:simplePos x="0" y="0"/>
            <wp:positionH relativeFrom="column">
              <wp:posOffset>3030855</wp:posOffset>
            </wp:positionH>
            <wp:positionV relativeFrom="paragraph">
              <wp:posOffset>123825</wp:posOffset>
            </wp:positionV>
            <wp:extent cx="2361565" cy="1793875"/>
            <wp:effectExtent l="0" t="0" r="635" b="0"/>
            <wp:wrapSquare wrapText="bothSides"/>
            <wp:docPr id="69" name="Picture 69" descr="Map&#10;&#10;Map of Victoria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Map&#10;&#10;Map of Victoria Sta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1565" cy="1793875"/>
                    </a:xfrm>
                    <a:prstGeom prst="rect">
                      <a:avLst/>
                    </a:prstGeom>
                    <a:noFill/>
                  </pic:spPr>
                </pic:pic>
              </a:graphicData>
            </a:graphic>
            <wp14:sizeRelH relativeFrom="page">
              <wp14:pctWidth>0</wp14:pctWidth>
            </wp14:sizeRelH>
            <wp14:sizeRelV relativeFrom="page">
              <wp14:pctHeight>0</wp14:pctHeight>
            </wp14:sizeRelV>
          </wp:anchor>
        </w:drawing>
      </w:r>
      <w:r>
        <w:t xml:space="preserve">FNLRS’ Representative Aboriginal/Torres Strait Islander Body (RATSIB) </w:t>
      </w:r>
      <w:r w:rsidR="0021098F">
        <w:t>area</w:t>
      </w:r>
      <w:r w:rsidRPr="006430C1">
        <w:t xml:space="preserve">, pictured </w:t>
      </w:r>
      <w:r>
        <w:t>right,</w:t>
      </w:r>
      <w:r w:rsidRPr="008743D7">
        <w:rPr>
          <w:noProof/>
        </w:rPr>
        <w:t xml:space="preserve"> </w:t>
      </w:r>
      <w:r>
        <w:t>cover</w:t>
      </w:r>
      <w:r w:rsidR="0021098F">
        <w:t>s</w:t>
      </w:r>
      <w:r>
        <w:t xml:space="preserve"> approximately 227,416 square kilometres,</w:t>
      </w:r>
      <w:r w:rsidRPr="006430C1">
        <w:rPr>
          <w:noProof/>
        </w:rPr>
        <w:t xml:space="preserve"> </w:t>
      </w:r>
      <w:r>
        <w:t>accounting for all of Victoria.</w:t>
      </w:r>
    </w:p>
    <w:p w14:paraId="174D8CC4" w14:textId="77777777" w:rsidR="00316199" w:rsidRDefault="00316199" w:rsidP="00316199">
      <w:r>
        <w:t xml:space="preserve">The Victorian Government operates a parallel land title system under the </w:t>
      </w:r>
      <w:r>
        <w:rPr>
          <w:i/>
        </w:rPr>
        <w:t xml:space="preserve">Traditional Owner Settlement Act 2010 </w:t>
      </w:r>
      <w:r>
        <w:t>(</w:t>
      </w:r>
      <w:r>
        <w:rPr>
          <w:i/>
        </w:rPr>
        <w:t>TOSA</w:t>
      </w:r>
      <w:r>
        <w:t xml:space="preserve">). Traditional Owners can seek outcomes under either state or federal system or both. This means that figures presented here do not easily account for all FNLRS activity. </w:t>
      </w:r>
    </w:p>
    <w:p w14:paraId="151DED68" w14:textId="1C9E4098" w:rsidR="00316199" w:rsidRDefault="0021098F" w:rsidP="00316199">
      <w:r>
        <w:t xml:space="preserve">At the time of the </w:t>
      </w:r>
      <w:r w:rsidR="00BA6519">
        <w:t>Re</w:t>
      </w:r>
      <w:r>
        <w:t>view</w:t>
      </w:r>
      <w:r w:rsidR="00203863">
        <w:t>, f</w:t>
      </w:r>
      <w:r w:rsidR="00316199">
        <w:t xml:space="preserve">our Victorian active claims </w:t>
      </w:r>
      <w:r>
        <w:t>were</w:t>
      </w:r>
      <w:r w:rsidR="00316199">
        <w:t xml:space="preserve"> registered on the NNTT’s register of native title claims</w:t>
      </w:r>
      <w:r w:rsidR="00416399">
        <w:t>, all of which</w:t>
      </w:r>
      <w:r w:rsidR="00203863">
        <w:t xml:space="preserve"> </w:t>
      </w:r>
      <w:r w:rsidR="00BA6519">
        <w:t xml:space="preserve">were represented by </w:t>
      </w:r>
      <w:r w:rsidR="00316199">
        <w:t xml:space="preserve">FNLRS. </w:t>
      </w:r>
    </w:p>
    <w:p w14:paraId="38297D15" w14:textId="4A591CCF" w:rsidR="00316199" w:rsidRDefault="00316199" w:rsidP="00316199">
      <w:r>
        <w:t xml:space="preserve">The Federal Court has made four determinations that native title exists in Victoria, </w:t>
      </w:r>
      <w:r w:rsidR="0021098F">
        <w:t xml:space="preserve">at the time of the </w:t>
      </w:r>
      <w:r w:rsidR="00BA6519">
        <w:t>R</w:t>
      </w:r>
      <w:r w:rsidR="0021098F">
        <w:t xml:space="preserve">eview, </w:t>
      </w:r>
      <w:r>
        <w:t xml:space="preserve">leading to four </w:t>
      </w:r>
      <w:r w:rsidR="00AF3453">
        <w:t>Prescribed Bodies Corporate (</w:t>
      </w:r>
      <w:r>
        <w:t>PBCs</w:t>
      </w:r>
      <w:r w:rsidR="00AF3453">
        <w:t>)</w:t>
      </w:r>
      <w:r>
        <w:t xml:space="preserve"> since the passage of the </w:t>
      </w:r>
      <w:r w:rsidRPr="001626CE">
        <w:rPr>
          <w:i/>
        </w:rPr>
        <w:t>Native Title Act 1993</w:t>
      </w:r>
      <w:r>
        <w:rPr>
          <w:i/>
        </w:rPr>
        <w:t xml:space="preserve"> </w:t>
      </w:r>
      <w:r>
        <w:t>(</w:t>
      </w:r>
      <w:r>
        <w:rPr>
          <w:i/>
        </w:rPr>
        <w:t>NTA</w:t>
      </w:r>
      <w:r>
        <w:t xml:space="preserve">). None of these determinations </w:t>
      </w:r>
      <w:r w:rsidR="0021098F">
        <w:t>were</w:t>
      </w:r>
      <w:r>
        <w:t xml:space="preserve"> in </w:t>
      </w:r>
      <w:r w:rsidR="000C41DE">
        <w:t xml:space="preserve">the scope of the </w:t>
      </w:r>
      <w:r w:rsidR="000408A6">
        <w:t>R</w:t>
      </w:r>
      <w:r w:rsidR="000C41DE">
        <w:t>eview</w:t>
      </w:r>
      <w:r w:rsidR="0021098F">
        <w:t>’s</w:t>
      </w:r>
      <w:r>
        <w:t xml:space="preserve"> three year</w:t>
      </w:r>
      <w:r w:rsidR="0021098F">
        <w:t xml:space="preserve"> period</w:t>
      </w:r>
      <w:r>
        <w:t>. A further six claims</w:t>
      </w:r>
      <w:r w:rsidR="001E717A">
        <w:t xml:space="preserve"> were </w:t>
      </w:r>
      <w:r>
        <w:t>at different levels of research and claim group formation. While this would leave some small parts of Victoria without recognised native title, these are likely to be the last native title claims in Victoria. FNLRS support</w:t>
      </w:r>
      <w:r w:rsidR="00B379B6">
        <w:t>ed</w:t>
      </w:r>
      <w:r>
        <w:t xml:space="preserve"> each of these groups to conduct research or develop group coherence. </w:t>
      </w:r>
    </w:p>
    <w:p w14:paraId="2AB0615A" w14:textId="57B30232" w:rsidR="00316199" w:rsidRDefault="00316199" w:rsidP="00316199">
      <w:r>
        <w:t>FNLRS (as NTSV) received a net $</w:t>
      </w:r>
      <w:r w:rsidRPr="001626CE">
        <w:t>4</w:t>
      </w:r>
      <w:r>
        <w:t>,</w:t>
      </w:r>
      <w:r w:rsidRPr="001626CE">
        <w:t>306</w:t>
      </w:r>
      <w:r>
        <w:t>,</w:t>
      </w:r>
      <w:r w:rsidRPr="001626CE">
        <w:t>041</w:t>
      </w:r>
      <w:r>
        <w:t xml:space="preserve"> in grant revenue in the 2016/17 financial year, up</w:t>
      </w:r>
      <w:r w:rsidRPr="00EA0B4C">
        <w:t xml:space="preserve"> from </w:t>
      </w:r>
      <w:r>
        <w:t>$</w:t>
      </w:r>
      <w:r w:rsidRPr="001626CE">
        <w:t>4</w:t>
      </w:r>
      <w:r>
        <w:t>,</w:t>
      </w:r>
      <w:r w:rsidRPr="001626CE">
        <w:t>193</w:t>
      </w:r>
      <w:r>
        <w:t>,</w:t>
      </w:r>
      <w:r w:rsidRPr="001626CE">
        <w:t>396</w:t>
      </w:r>
      <w:r>
        <w:t xml:space="preserve"> of revenue from the Commonwealth Government in 20</w:t>
      </w:r>
      <w:r w:rsidRPr="00EA0B4C">
        <w:t>15</w:t>
      </w:r>
      <w:r>
        <w:t>/</w:t>
      </w:r>
      <w:r w:rsidR="001423D0">
        <w:t>16.</w:t>
      </w:r>
      <w:r w:rsidRPr="00EA0B4C">
        <w:t xml:space="preserve"> </w:t>
      </w:r>
      <w:r>
        <w:t>It receive</w:t>
      </w:r>
      <w:r w:rsidR="00F22744">
        <w:t>d</w:t>
      </w:r>
      <w:r>
        <w:t xml:space="preserve"> limited additional funding from the Victorian Government to enable the Natural Resource Management Collaborative, which functions to develop models for Traditional Owners’ environment-based businesses.</w:t>
      </w:r>
      <w:r w:rsidRPr="00EA0B4C">
        <w:t xml:space="preserve"> </w:t>
      </w:r>
      <w:r w:rsidR="00421ED9">
        <w:t xml:space="preserve">At time of </w:t>
      </w:r>
      <w:r w:rsidR="000408A6">
        <w:t>R</w:t>
      </w:r>
      <w:r w:rsidR="00421ED9">
        <w:t>eview, FNLRS’</w:t>
      </w:r>
      <w:r>
        <w:t xml:space="preserve"> offices </w:t>
      </w:r>
      <w:r w:rsidR="00421ED9">
        <w:t>we</w:t>
      </w:r>
      <w:r>
        <w:t>re based in North Melbourne. It ha</w:t>
      </w:r>
      <w:r w:rsidR="00421ED9">
        <w:t>d</w:t>
      </w:r>
      <w:r>
        <w:t xml:space="preserve"> 33 staffing positions; 30 were filled in August 2017 with 27.8 FTE due to four part-time or casual employees. Five FNRLS staff (17%) </w:t>
      </w:r>
      <w:r w:rsidR="001E62F9">
        <w:t>we</w:t>
      </w:r>
      <w:r>
        <w:t>re Indigenous.</w:t>
      </w:r>
    </w:p>
    <w:p w14:paraId="4B93818D" w14:textId="7B379DE9" w:rsidR="00316199" w:rsidRDefault="00316199" w:rsidP="00316199">
      <w:r>
        <w:t>FNLRS is a public company limited by guarantee and is registered with the Australian Charities and Not-for-profits Commission. It</w:t>
      </w:r>
      <w:r w:rsidR="009F248D">
        <w:t xml:space="preserve">’s sole member </w:t>
      </w:r>
      <w:r>
        <w:t>is the Federation of Victorian Traditional Owner Corporations (FVTOC), which has representation from most of FNLRS’</w:t>
      </w:r>
      <w:r w:rsidR="001E62F9">
        <w:t xml:space="preserve"> </w:t>
      </w:r>
      <w:r>
        <w:t>clients. FVTOC also owns Federation Enterprises, which seeks to generate revenue for FVTOC, develop viable Traditional Owner organisations and support employment, social and cultural outcomes for Traditional Owners. FVTOC includes Traditional Owner corporations that neither have nor are actively pursuing native title.</w:t>
      </w:r>
    </w:p>
    <w:p w14:paraId="74DDDF7A" w14:textId="2539E332" w:rsidR="00316199" w:rsidRDefault="00CB0E96" w:rsidP="00316199">
      <w:r>
        <w:t xml:space="preserve">At time of </w:t>
      </w:r>
      <w:r w:rsidR="000408A6">
        <w:t>R</w:t>
      </w:r>
      <w:r>
        <w:t xml:space="preserve">eview, </w:t>
      </w:r>
      <w:r w:rsidR="00316199">
        <w:t>FNLRS ha</w:t>
      </w:r>
      <w:r>
        <w:t>d</w:t>
      </w:r>
      <w:r w:rsidR="00316199">
        <w:t xml:space="preserve"> a skills-based board, with Directors appointed by FVTOC, as its </w:t>
      </w:r>
      <w:r w:rsidR="009F248D">
        <w:t>sole member</w:t>
      </w:r>
      <w:r w:rsidR="00316199">
        <w:t>. Its constitution require</w:t>
      </w:r>
      <w:r>
        <w:t>d</w:t>
      </w:r>
      <w:r w:rsidR="00316199">
        <w:t xml:space="preserve"> that Directors are Traditional Owners with an understanding of native title and corporate governance. Within FNLRS, the management team comprise</w:t>
      </w:r>
      <w:r w:rsidR="00057844">
        <w:t>d</w:t>
      </w:r>
      <w:r w:rsidR="00316199">
        <w:t>: the CEO; the Director of Legal and Research; the Director of Corporate Services; and the Director of Policy and Traditional Owner Corporation Development.</w:t>
      </w:r>
    </w:p>
    <w:p w14:paraId="1292C571" w14:textId="7A8FCAA0" w:rsidR="00057844" w:rsidRDefault="00316199" w:rsidP="00057844">
      <w:pPr>
        <w:spacing w:after="160" w:line="259" w:lineRule="auto"/>
      </w:pPr>
      <w:r w:rsidRPr="005C520B">
        <w:t xml:space="preserve">This </w:t>
      </w:r>
      <w:r w:rsidR="000408A6">
        <w:t>R</w:t>
      </w:r>
      <w:r w:rsidRPr="005C520B">
        <w:t xml:space="preserve">eview considers FNLRS’ native title activities regardless of whether they lead to a Federal Court determination under the </w:t>
      </w:r>
      <w:r w:rsidRPr="000B2AA2">
        <w:rPr>
          <w:iCs/>
        </w:rPr>
        <w:t>NTA</w:t>
      </w:r>
      <w:r w:rsidRPr="005C520B">
        <w:rPr>
          <w:i/>
        </w:rPr>
        <w:t xml:space="preserve"> </w:t>
      </w:r>
      <w:r w:rsidRPr="005C520B">
        <w:t xml:space="preserve">or a settlement agreement under the </w:t>
      </w:r>
      <w:r w:rsidRPr="005C520B">
        <w:rPr>
          <w:i/>
        </w:rPr>
        <w:t>TOSA</w:t>
      </w:r>
      <w:r w:rsidRPr="005C520B">
        <w:t xml:space="preserve"> on the basis that a </w:t>
      </w:r>
      <w:r w:rsidRPr="005C520B">
        <w:rPr>
          <w:i/>
        </w:rPr>
        <w:t xml:space="preserve">TOSA </w:t>
      </w:r>
      <w:r w:rsidRPr="005C520B">
        <w:t>settlement precludes further native title determinations for that claim group in that region</w:t>
      </w:r>
      <w:r>
        <w:t>, and that the benefits (and therefore outcomes of FNLRS’ activity) conferred through the legislation are approximately parallel.</w:t>
      </w:r>
      <w:bookmarkEnd w:id="14"/>
      <w:bookmarkEnd w:id="15"/>
      <w:bookmarkEnd w:id="16"/>
      <w:bookmarkEnd w:id="17"/>
      <w:bookmarkEnd w:id="18"/>
      <w:bookmarkEnd w:id="19"/>
      <w:bookmarkEnd w:id="20"/>
      <w:bookmarkEnd w:id="21"/>
      <w:bookmarkEnd w:id="22"/>
      <w:bookmarkEnd w:id="23"/>
      <w:r w:rsidR="00057844">
        <w:br w:type="page"/>
      </w:r>
    </w:p>
    <w:p w14:paraId="5FE8A568" w14:textId="156D062E" w:rsidR="00525012" w:rsidRPr="009958DC" w:rsidRDefault="00E5318B" w:rsidP="00525012">
      <w:pPr>
        <w:pStyle w:val="Heading1"/>
      </w:pPr>
      <w:bookmarkStart w:id="24" w:name="_Toc68070601"/>
      <w:r>
        <w:lastRenderedPageBreak/>
        <w:t>Findings and recommendations by Terms of Reference</w:t>
      </w:r>
      <w:bookmarkEnd w:id="24"/>
    </w:p>
    <w:p w14:paraId="734BDD14" w14:textId="31E4F219" w:rsidR="00E7728A" w:rsidRPr="009958DC" w:rsidRDefault="00E7728A" w:rsidP="00E7728A">
      <w:r w:rsidRPr="009958DC">
        <w:rPr>
          <w:lang w:eastAsia="en-AU"/>
        </w:rPr>
        <w:t xml:space="preserve">The following sections of the report provide a </w:t>
      </w:r>
      <w:r w:rsidR="009958DC" w:rsidRPr="009958DC">
        <w:rPr>
          <w:lang w:eastAsia="en-AU"/>
        </w:rPr>
        <w:t>summary</w:t>
      </w:r>
      <w:r w:rsidRPr="009958DC">
        <w:rPr>
          <w:lang w:eastAsia="en-AU"/>
        </w:rPr>
        <w:t xml:space="preserve"> of </w:t>
      </w:r>
      <w:r w:rsidR="00DE4BE7">
        <w:rPr>
          <w:lang w:eastAsia="en-AU"/>
        </w:rPr>
        <w:t>FNLRS</w:t>
      </w:r>
      <w:r w:rsidR="0039690F" w:rsidRPr="009958DC">
        <w:rPr>
          <w:lang w:eastAsia="en-AU"/>
        </w:rPr>
        <w:t>’ performance against the T</w:t>
      </w:r>
      <w:r w:rsidRPr="009958DC">
        <w:rPr>
          <w:lang w:eastAsia="en-AU"/>
        </w:rPr>
        <w:t xml:space="preserve">erms of </w:t>
      </w:r>
      <w:r w:rsidR="0039690F" w:rsidRPr="009958DC">
        <w:rPr>
          <w:lang w:eastAsia="en-AU"/>
        </w:rPr>
        <w:t>R</w:t>
      </w:r>
      <w:r w:rsidRPr="009958DC">
        <w:rPr>
          <w:lang w:eastAsia="en-AU"/>
        </w:rPr>
        <w:t>eference for the Review</w:t>
      </w:r>
      <w:r w:rsidR="008F436A">
        <w:rPr>
          <w:lang w:eastAsia="en-AU"/>
        </w:rPr>
        <w:t>.</w:t>
      </w:r>
    </w:p>
    <w:p w14:paraId="1F9E353F" w14:textId="0EB703F9" w:rsidR="00416856" w:rsidRPr="0084761C" w:rsidRDefault="00DA55FF" w:rsidP="00933083">
      <w:pPr>
        <w:pStyle w:val="Heading2"/>
      </w:pPr>
      <w:bookmarkStart w:id="25" w:name="_Ref501893080"/>
      <w:bookmarkStart w:id="26" w:name="_Toc502839777"/>
      <w:bookmarkStart w:id="27" w:name="_Toc502843253"/>
      <w:bookmarkStart w:id="28" w:name="_Toc502847616"/>
      <w:bookmarkStart w:id="29" w:name="_Toc502850760"/>
      <w:bookmarkStart w:id="30" w:name="_Toc502855192"/>
      <w:bookmarkStart w:id="31" w:name="_Toc503117091"/>
      <w:bookmarkStart w:id="32" w:name="_Toc505259168"/>
      <w:bookmarkStart w:id="33" w:name="_Toc505256235"/>
      <w:bookmarkStart w:id="34" w:name="_Toc505618278"/>
      <w:r w:rsidRPr="0084761C">
        <w:t>T</w:t>
      </w:r>
      <w:r w:rsidR="00F64BB4" w:rsidRPr="0084761C">
        <w:t>OR</w:t>
      </w:r>
      <w:r w:rsidRPr="0084761C">
        <w:t xml:space="preserve"> 1.1 </w:t>
      </w:r>
      <w:r w:rsidR="00E87CBE" w:rsidRPr="0084761C">
        <w:t xml:space="preserve">| </w:t>
      </w:r>
      <w:r w:rsidR="00EB1298" w:rsidRPr="0084761C">
        <w:t xml:space="preserve">Review and assess each organisation’s efficiency and effectiveness in performing the functions of a native title representative body over the past 3 years (with the main focus on recent performance) including: native title claim outcomes achieved for clients. </w:t>
      </w:r>
      <w:bookmarkEnd w:id="25"/>
      <w:bookmarkEnd w:id="26"/>
      <w:bookmarkEnd w:id="27"/>
      <w:bookmarkEnd w:id="28"/>
      <w:bookmarkEnd w:id="29"/>
      <w:bookmarkEnd w:id="30"/>
      <w:bookmarkEnd w:id="31"/>
      <w:bookmarkEnd w:id="32"/>
      <w:bookmarkEnd w:id="33"/>
      <w:bookmarkEnd w:id="34"/>
    </w:p>
    <w:p w14:paraId="5088C70C" w14:textId="4E126A70" w:rsidR="00250079" w:rsidRPr="00C65F4E" w:rsidRDefault="00250079" w:rsidP="00250079">
      <w:pPr>
        <w:shd w:val="clear" w:color="auto" w:fill="E6E6E1" w:themeFill="accent5"/>
        <w:spacing w:after="165" w:line="259" w:lineRule="auto"/>
        <w:rPr>
          <w:rFonts w:eastAsia="Times New Roman"/>
          <w:b/>
          <w:bCs/>
          <w:lang w:eastAsia="en-AU"/>
        </w:rPr>
      </w:pPr>
      <w:r w:rsidRPr="00250079">
        <w:rPr>
          <w:rFonts w:eastAsia="Times New Roman"/>
          <w:b/>
          <w:color w:val="00264D" w:themeColor="background2"/>
          <w:lang w:eastAsia="en-AU"/>
        </w:rPr>
        <w:t xml:space="preserve">FNLRS operates through both the Commonwealth </w:t>
      </w:r>
      <w:r w:rsidRPr="00250079">
        <w:rPr>
          <w:rFonts w:eastAsia="Times New Roman"/>
          <w:b/>
          <w:iCs/>
          <w:color w:val="00264D" w:themeColor="background2"/>
          <w:lang w:eastAsia="en-AU"/>
        </w:rPr>
        <w:t>NTA</w:t>
      </w:r>
      <w:r w:rsidRPr="00250079">
        <w:rPr>
          <w:rFonts w:eastAsia="Times New Roman"/>
          <w:b/>
          <w:color w:val="00264D" w:themeColor="background2"/>
          <w:lang w:eastAsia="en-AU"/>
        </w:rPr>
        <w:t xml:space="preserve"> and the Victorian TOSA and while it has a history of achieving native title outcomes for clients, it has had no successful claims through either legislation within the Review period.</w:t>
      </w:r>
      <w:r w:rsidRPr="00250079">
        <w:rPr>
          <w:rFonts w:eastAsia="Times New Roman"/>
          <w:bCs/>
          <w:color w:val="00264D" w:themeColor="background2"/>
          <w:lang w:eastAsia="en-AU"/>
        </w:rPr>
        <w:t xml:space="preserve"> </w:t>
      </w:r>
      <w:r w:rsidRPr="00C65F4E">
        <w:rPr>
          <w:rFonts w:eastAsia="Times New Roman"/>
          <w:bCs/>
          <w:lang w:eastAsia="en-AU"/>
        </w:rPr>
        <w:t xml:space="preserve">It expects that the four active claims in progress will be successfully concluded in the near to medium term. While FNLRS appears to work effectively with the Victorian Government to create local conditions that favour negotiated settlements, there is a degree of paralysis about their respective dispute resolution responsibilities that may have impacted on the resolution of claims. </w:t>
      </w:r>
    </w:p>
    <w:p w14:paraId="1E202A25" w14:textId="2A490A9A" w:rsidR="00F64BB4" w:rsidRDefault="00250079" w:rsidP="00250079">
      <w:pPr>
        <w:shd w:val="clear" w:color="auto" w:fill="E6E6E1" w:themeFill="accent5"/>
        <w:rPr>
          <w:lang w:eastAsia="en-AU"/>
        </w:rPr>
      </w:pPr>
      <w:r w:rsidRPr="00C65F4E">
        <w:rPr>
          <w:rFonts w:eastAsia="Times New Roman"/>
          <w:bCs/>
          <w:lang w:eastAsia="en-AU"/>
        </w:rPr>
        <w:t>FNLRS demonstrates strong relationships with claimant groups, and has a well understood process for allocating resources across groups. FNLRS management of claims has occurred in a region with an intense history of colonisation, and challenges in proving connection to country. Future acts and ILUAs are not common in the Victorian native title landscape, and no significant issues arose regarding them.</w:t>
      </w:r>
    </w:p>
    <w:p w14:paraId="08CB3F05" w14:textId="77777777" w:rsidR="00240113" w:rsidRPr="008F436A" w:rsidRDefault="00240113" w:rsidP="008F436A">
      <w:pPr>
        <w:rPr>
          <w:lang w:eastAsia="en-AU"/>
        </w:rPr>
      </w:pPr>
    </w:p>
    <w:p w14:paraId="003A52F8" w14:textId="77777777" w:rsidR="00625B54" w:rsidRPr="007C10DC" w:rsidRDefault="00625B54" w:rsidP="007C10DC">
      <w:pPr>
        <w:rPr>
          <w:b/>
          <w:bCs/>
          <w:i/>
          <w:iCs/>
          <w:color w:val="00264D" w:themeColor="background2"/>
        </w:rPr>
      </w:pPr>
      <w:r w:rsidRPr="007C10DC">
        <w:rPr>
          <w:b/>
          <w:bCs/>
          <w:i/>
          <w:iCs/>
          <w:color w:val="00264D" w:themeColor="background2"/>
        </w:rPr>
        <w:t xml:space="preserve">FNLRS has achieved no new native title resolutions since 2013 </w:t>
      </w:r>
    </w:p>
    <w:p w14:paraId="588D9B94" w14:textId="77777777" w:rsidR="00625B54" w:rsidRDefault="00625B54" w:rsidP="00625B54">
      <w:r>
        <w:t xml:space="preserve">FNLRS supports all of the major Traditional Owner groups in Victoria. FNLRS and its predecessor organisations have supported clients to four consent determinations. They occurred in 2005, 2007, 2010, and 2011. FNLRS has also supported two </w:t>
      </w:r>
      <w:r>
        <w:rPr>
          <w:i/>
        </w:rPr>
        <w:t xml:space="preserve">TOSA </w:t>
      </w:r>
      <w:r>
        <w:t>settlements in 2010 and 2013.</w:t>
      </w:r>
      <w:r w:rsidRPr="00135E67">
        <w:t xml:space="preserve"> </w:t>
      </w:r>
      <w:r>
        <w:t>It has not, however, achieved any successful determinations or settlements since 2013.</w:t>
      </w:r>
    </w:p>
    <w:p w14:paraId="3A34527A" w14:textId="77777777" w:rsidR="002E3063" w:rsidRDefault="002E3063" w:rsidP="002E3063">
      <w:r>
        <w:t xml:space="preserve">One claimant group, previously supported by FNLRS, had their claim struck out in the Federal Court in June 2015 following the failure to make sufficient progress under either the Commonwealth or the Victorian system and the withdrawal of FNLRS assistance. </w:t>
      </w:r>
    </w:p>
    <w:p w14:paraId="65AFC863" w14:textId="795D4ADE" w:rsidR="00625B54" w:rsidRDefault="000408A6" w:rsidP="00625B54">
      <w:r>
        <w:t xml:space="preserve">At the time of the Review, </w:t>
      </w:r>
      <w:r w:rsidR="00625B54">
        <w:t>FNLRS still ha</w:t>
      </w:r>
      <w:r>
        <w:t>d</w:t>
      </w:r>
      <w:r w:rsidR="00625B54">
        <w:t xml:space="preserve"> four active native title claims before the Federal Court.</w:t>
      </w:r>
    </w:p>
    <w:p w14:paraId="16B89A06" w14:textId="293E86F6" w:rsidR="001D379E" w:rsidRDefault="001D379E" w:rsidP="001D379E">
      <w:r>
        <w:rPr>
          <w:lang w:eastAsia="en-AU"/>
        </w:rPr>
        <w:t xml:space="preserve">The Review notes that there </w:t>
      </w:r>
      <w:r w:rsidR="000408A6">
        <w:rPr>
          <w:lang w:eastAsia="en-AU"/>
        </w:rPr>
        <w:t>were</w:t>
      </w:r>
      <w:r>
        <w:rPr>
          <w:lang w:eastAsia="en-AU"/>
        </w:rPr>
        <w:t xml:space="preserve"> no successful determinations during the Review period</w:t>
      </w:r>
      <w:r w:rsidR="000408A6">
        <w:rPr>
          <w:lang w:eastAsia="en-AU"/>
        </w:rPr>
        <w:t xml:space="preserve"> from July 2014 to June 2017</w:t>
      </w:r>
      <w:r>
        <w:rPr>
          <w:lang w:eastAsia="en-AU"/>
        </w:rPr>
        <w:t>. However</w:t>
      </w:r>
      <w:r w:rsidR="009F248D">
        <w:rPr>
          <w:lang w:eastAsia="en-AU"/>
        </w:rPr>
        <w:t>,</w:t>
      </w:r>
      <w:r>
        <w:rPr>
          <w:lang w:eastAsia="en-AU"/>
        </w:rPr>
        <w:t xml:space="preserve"> FNLRS </w:t>
      </w:r>
      <w:r w:rsidR="000408A6">
        <w:rPr>
          <w:lang w:eastAsia="en-AU"/>
        </w:rPr>
        <w:t>did make</w:t>
      </w:r>
      <w:r>
        <w:rPr>
          <w:lang w:eastAsia="en-AU"/>
        </w:rPr>
        <w:t xml:space="preserve"> significant progress on a number of Victorian claims in this time. </w:t>
      </w:r>
      <w:bookmarkStart w:id="35" w:name="_Hlk40683018"/>
      <w:r>
        <w:rPr>
          <w:lang w:eastAsia="en-AU"/>
        </w:rPr>
        <w:t xml:space="preserve">Since 2013, FNLRS has registered three claims and commenced </w:t>
      </w:r>
      <w:r>
        <w:rPr>
          <w:i/>
          <w:lang w:eastAsia="en-AU"/>
        </w:rPr>
        <w:t xml:space="preserve">TOSA </w:t>
      </w:r>
      <w:r>
        <w:rPr>
          <w:lang w:eastAsia="en-AU"/>
        </w:rPr>
        <w:t xml:space="preserve">negotiations on a further two claims. </w:t>
      </w:r>
      <w:bookmarkEnd w:id="35"/>
      <w:r w:rsidR="000408A6">
        <w:rPr>
          <w:lang w:eastAsia="en-AU"/>
        </w:rPr>
        <w:t xml:space="preserve">At the time of the Review, </w:t>
      </w:r>
      <w:r>
        <w:rPr>
          <w:lang w:eastAsia="en-AU"/>
        </w:rPr>
        <w:t xml:space="preserve">66% of Victoria </w:t>
      </w:r>
      <w:r w:rsidR="000408A6">
        <w:rPr>
          <w:lang w:eastAsia="en-AU"/>
        </w:rPr>
        <w:t xml:space="preserve">was </w:t>
      </w:r>
      <w:r>
        <w:rPr>
          <w:lang w:eastAsia="en-AU"/>
        </w:rPr>
        <w:t xml:space="preserve">covered by registered claims, determinations, or settlements. 87% of Victoria </w:t>
      </w:r>
      <w:r w:rsidR="000408A6">
        <w:rPr>
          <w:lang w:eastAsia="en-AU"/>
        </w:rPr>
        <w:t xml:space="preserve">was </w:t>
      </w:r>
      <w:r>
        <w:rPr>
          <w:lang w:eastAsia="en-AU"/>
        </w:rPr>
        <w:t>covered by FNLRS’ clients, including at the pre-claim stage.</w:t>
      </w:r>
      <w:r w:rsidR="00E13460">
        <w:rPr>
          <w:rFonts w:ascii="ZWAdobeF" w:hAnsi="ZWAdobeF" w:cs="ZWAdobeF"/>
          <w:sz w:val="2"/>
          <w:szCs w:val="2"/>
          <w:lang w:eastAsia="en-AU"/>
        </w:rPr>
        <w:t>1F</w:t>
      </w:r>
      <w:r>
        <w:rPr>
          <w:rStyle w:val="FootnoteReference"/>
          <w:lang w:eastAsia="en-AU"/>
        </w:rPr>
        <w:footnoteReference w:id="3"/>
      </w:r>
      <w:r>
        <w:rPr>
          <w:lang w:eastAsia="en-AU"/>
        </w:rPr>
        <w:t xml:space="preserve"> FNLRS stakeholders indicated </w:t>
      </w:r>
      <w:r w:rsidR="000408A6">
        <w:rPr>
          <w:lang w:eastAsia="en-AU"/>
        </w:rPr>
        <w:t xml:space="preserve">at the time </w:t>
      </w:r>
      <w:r>
        <w:rPr>
          <w:lang w:eastAsia="en-AU"/>
        </w:rPr>
        <w:t>that many of these claims should be resolved in the short to medium term.</w:t>
      </w:r>
    </w:p>
    <w:p w14:paraId="74664834" w14:textId="1CFECEA5" w:rsidR="00FC605F" w:rsidRDefault="00FC605F" w:rsidP="00FC605F">
      <w:pPr>
        <w:pStyle w:val="Caption"/>
        <w:keepNext/>
      </w:pPr>
      <w:bookmarkStart w:id="37" w:name="_Ref502742627"/>
      <w:r>
        <w:lastRenderedPageBreak/>
        <w:t xml:space="preserve">Figure </w:t>
      </w:r>
      <w:r>
        <w:fldChar w:fldCharType="begin"/>
      </w:r>
      <w:r>
        <w:instrText xml:space="preserve"> SEQ Figure \* ARABIC </w:instrText>
      </w:r>
      <w:r>
        <w:fldChar w:fldCharType="separate"/>
      </w:r>
      <w:r w:rsidR="00E13460">
        <w:rPr>
          <w:noProof/>
        </w:rPr>
        <w:t>1</w:t>
      </w:r>
      <w:r>
        <w:fldChar w:fldCharType="end"/>
      </w:r>
      <w:bookmarkEnd w:id="37"/>
      <w:r>
        <w:t xml:space="preserve"> | Victorian </w:t>
      </w:r>
      <w:r w:rsidRPr="000B2AA2">
        <w:rPr>
          <w:iCs/>
        </w:rPr>
        <w:t>NTA</w:t>
      </w:r>
      <w:r>
        <w:rPr>
          <w:i/>
        </w:rPr>
        <w:t xml:space="preserve"> </w:t>
      </w:r>
      <w:r>
        <w:t>determinations (areas where native title exists in part of the area in green, areas where native title does not exist in red)</w:t>
      </w:r>
      <w:r w:rsidR="00E13460">
        <w:rPr>
          <w:rFonts w:ascii="ZWAdobeF" w:hAnsi="ZWAdobeF" w:cs="ZWAdobeF"/>
          <w:color w:val="auto"/>
          <w:sz w:val="2"/>
          <w:szCs w:val="2"/>
        </w:rPr>
        <w:t>2F</w:t>
      </w:r>
      <w:r>
        <w:rPr>
          <w:rStyle w:val="FootnoteReference"/>
        </w:rPr>
        <w:footnoteReference w:id="4"/>
      </w:r>
    </w:p>
    <w:p w14:paraId="2C753058" w14:textId="34FB6A3A" w:rsidR="007464BD" w:rsidRDefault="00FC605F" w:rsidP="007C10DC">
      <w:r>
        <w:rPr>
          <w:noProof/>
          <w:lang w:eastAsia="en-AU"/>
        </w:rPr>
        <w:drawing>
          <wp:inline distT="0" distB="0" distL="0" distR="0" wp14:anchorId="27702EE1" wp14:editId="15C34868">
            <wp:extent cx="5670550" cy="4089339"/>
            <wp:effectExtent l="0" t="0" r="6350" b="6985"/>
            <wp:docPr id="3" name="Picture 3" descr="P79L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79L1#yIS1"/>
                    <pic:cNvPicPr/>
                  </pic:nvPicPr>
                  <pic:blipFill>
                    <a:blip r:embed="rId17"/>
                    <a:stretch>
                      <a:fillRect/>
                    </a:stretch>
                  </pic:blipFill>
                  <pic:spPr>
                    <a:xfrm>
                      <a:off x="0" y="0"/>
                      <a:ext cx="5670550" cy="4089339"/>
                    </a:xfrm>
                    <a:prstGeom prst="rect">
                      <a:avLst/>
                    </a:prstGeom>
                  </pic:spPr>
                </pic:pic>
              </a:graphicData>
            </a:graphic>
          </wp:inline>
        </w:drawing>
      </w:r>
    </w:p>
    <w:p w14:paraId="71DC302B" w14:textId="77777777" w:rsidR="007C10DC" w:rsidRDefault="007C10DC" w:rsidP="007C10DC"/>
    <w:p w14:paraId="7A093DEE" w14:textId="7ED04366" w:rsidR="0060147F" w:rsidRPr="00EC4473" w:rsidRDefault="0073695E" w:rsidP="00EC4473">
      <w:pPr>
        <w:rPr>
          <w:b/>
          <w:bCs/>
          <w:i/>
          <w:iCs/>
          <w:color w:val="00264D" w:themeColor="background2"/>
        </w:rPr>
      </w:pPr>
      <w:r w:rsidRPr="00EC4473">
        <w:rPr>
          <w:b/>
          <w:bCs/>
          <w:i/>
          <w:iCs/>
          <w:color w:val="00264D" w:themeColor="background2"/>
        </w:rPr>
        <w:t>Recommendations for TOR 1.1</w:t>
      </w:r>
    </w:p>
    <w:p w14:paraId="7FB28619" w14:textId="1157FC19" w:rsidR="00BB4D80" w:rsidRPr="009F248D" w:rsidRDefault="00BB4D80" w:rsidP="00BB4D80">
      <w:pPr>
        <w:rPr>
          <w:rFonts w:eastAsia="Calibri" w:cs="Arial"/>
          <w:szCs w:val="19"/>
          <w:lang w:eastAsia="en-AU"/>
        </w:rPr>
      </w:pPr>
      <w:r w:rsidRPr="009F248D">
        <w:rPr>
          <w:rFonts w:eastAsia="Calibri" w:cs="Arial"/>
          <w:szCs w:val="19"/>
          <w:lang w:eastAsia="en-AU"/>
        </w:rPr>
        <w:t xml:space="preserve">The Review made three recommendations for TOR 1.1 on native title outcomes achieved by clients. These are outlined below, as well as </w:t>
      </w:r>
      <w:r w:rsidR="00CE0D1F" w:rsidRPr="009F248D">
        <w:rPr>
          <w:rFonts w:eastAsia="Calibri" w:cs="Arial"/>
          <w:szCs w:val="19"/>
          <w:lang w:eastAsia="en-AU"/>
        </w:rPr>
        <w:t>FNLRS’</w:t>
      </w:r>
      <w:r w:rsidRPr="009F248D">
        <w:rPr>
          <w:rFonts w:eastAsia="Calibri" w:cs="Arial"/>
          <w:szCs w:val="19"/>
          <w:lang w:eastAsia="en-AU"/>
        </w:rPr>
        <w:t xml:space="preserve"> response to these recommendations. </w:t>
      </w:r>
    </w:p>
    <w:p w14:paraId="26503992" w14:textId="034CD166" w:rsidR="008A3C71" w:rsidRDefault="008A3C71" w:rsidP="0073695E">
      <w:pPr>
        <w:rPr>
          <w:sz w:val="18"/>
          <w:szCs w:val="18"/>
        </w:rPr>
      </w:pPr>
    </w:p>
    <w:p w14:paraId="3509DAD8" w14:textId="77777777" w:rsidR="008A3C71" w:rsidRDefault="008A3C71">
      <w:pPr>
        <w:spacing w:after="160" w:line="259" w:lineRule="auto"/>
        <w:rPr>
          <w:sz w:val="18"/>
          <w:szCs w:val="18"/>
        </w:rPr>
      </w:pPr>
      <w:r>
        <w:rPr>
          <w:sz w:val="18"/>
          <w:szCs w:val="18"/>
        </w:rPr>
        <w:br w:type="page"/>
      </w:r>
    </w:p>
    <w:p w14:paraId="287A9FAF" w14:textId="77777777" w:rsidR="00F64BB4" w:rsidRDefault="00F64BB4" w:rsidP="0073695E">
      <w:pPr>
        <w:rPr>
          <w:sz w:val="18"/>
          <w:szCs w:val="18"/>
        </w:rPr>
      </w:pPr>
    </w:p>
    <w:p w14:paraId="4960A0BD" w14:textId="097E2C9C" w:rsidR="002A73E5" w:rsidRPr="002A73E5" w:rsidRDefault="002A73E5" w:rsidP="008A3C71">
      <w:pPr>
        <w:pStyle w:val="TableNheader"/>
        <w:pBdr>
          <w:top w:val="single" w:sz="18" w:space="1" w:color="F8981D" w:themeColor="accent3"/>
        </w:pBdr>
        <w:shd w:val="clear" w:color="auto" w:fill="E6E6E1" w:themeFill="accent5"/>
        <w:spacing w:before="240"/>
        <w:outlineLvl w:val="2"/>
        <w:rPr>
          <w:bCs/>
          <w:szCs w:val="18"/>
        </w:rPr>
      </w:pPr>
      <w:r w:rsidRPr="009F248D">
        <w:rPr>
          <w:bCs/>
          <w:szCs w:val="18"/>
        </w:rPr>
        <w:t>Recommendation 1</w:t>
      </w:r>
    </w:p>
    <w:p w14:paraId="787FEC63" w14:textId="6DC68945" w:rsidR="002A73E5" w:rsidRPr="002A73E5" w:rsidRDefault="002A73E5" w:rsidP="002A73E5">
      <w:pPr>
        <w:pBdr>
          <w:top w:val="single" w:sz="18" w:space="1" w:color="F8981D" w:themeColor="accent3"/>
        </w:pBdr>
        <w:shd w:val="clear" w:color="auto" w:fill="E6E6E1" w:themeFill="accent5"/>
        <w:spacing w:before="120"/>
        <w:rPr>
          <w:bCs/>
          <w:color w:val="00264D" w:themeColor="background2"/>
          <w:sz w:val="18"/>
          <w:szCs w:val="18"/>
        </w:rPr>
      </w:pPr>
      <w:r>
        <w:rPr>
          <w:rFonts w:ascii="ZWAdobeF" w:hAnsi="ZWAdobeF" w:cs="ZWAdobeF"/>
          <w:bCs/>
          <w:sz w:val="2"/>
          <w:szCs w:val="2"/>
        </w:rPr>
        <w:t>45B</w:t>
      </w:r>
      <w:r w:rsidRPr="009F248D">
        <w:rPr>
          <w:bCs/>
          <w:color w:val="00264D" w:themeColor="background2"/>
          <w:sz w:val="18"/>
          <w:szCs w:val="18"/>
        </w:rPr>
        <w:t xml:space="preserve">FNLRS needs to re-consider its position to use the TOSA as a default approach to claims and actively reflect on how it can use both the </w:t>
      </w:r>
      <w:r w:rsidRPr="000B2AA2">
        <w:rPr>
          <w:bCs/>
          <w:iCs/>
          <w:color w:val="00264D" w:themeColor="background2"/>
          <w:sz w:val="18"/>
          <w:szCs w:val="18"/>
        </w:rPr>
        <w:t>NTA</w:t>
      </w:r>
      <w:r w:rsidRPr="009F248D">
        <w:rPr>
          <w:bCs/>
          <w:color w:val="00264D" w:themeColor="background2"/>
          <w:sz w:val="18"/>
          <w:szCs w:val="18"/>
        </w:rPr>
        <w:t xml:space="preserve"> and the TOSA to achieve the best possible native title outcomes for their clients.</w:t>
      </w:r>
    </w:p>
    <w:p w14:paraId="03375618" w14:textId="77777777" w:rsidR="002A73E5" w:rsidRPr="009F248D" w:rsidRDefault="002A73E5" w:rsidP="008A3C71">
      <w:pPr>
        <w:pStyle w:val="TableNheader"/>
        <w:outlineLvl w:val="3"/>
        <w:rPr>
          <w:szCs w:val="18"/>
        </w:rPr>
      </w:pPr>
      <w:r>
        <w:rPr>
          <w:rFonts w:ascii="ZWAdobeF" w:hAnsi="ZWAdobeF" w:cs="ZWAdobeF"/>
          <w:color w:val="auto"/>
          <w:sz w:val="2"/>
          <w:szCs w:val="2"/>
        </w:rPr>
        <w:t>28B</w:t>
      </w:r>
      <w:r w:rsidRPr="009F248D">
        <w:rPr>
          <w:szCs w:val="18"/>
        </w:rPr>
        <w:t xml:space="preserve">FNLRS response. </w:t>
      </w:r>
    </w:p>
    <w:p w14:paraId="7CEE9881" w14:textId="77777777" w:rsidR="002A73E5" w:rsidRPr="009F248D" w:rsidRDefault="002A73E5" w:rsidP="008A3C71">
      <w:pPr>
        <w:pStyle w:val="TableNText"/>
        <w:outlineLvl w:val="9"/>
        <w:rPr>
          <w:rFonts w:cs="Segoe UI"/>
          <w:sz w:val="18"/>
          <w:szCs w:val="18"/>
        </w:rPr>
      </w:pPr>
      <w:r>
        <w:rPr>
          <w:rFonts w:ascii="ZWAdobeF" w:hAnsi="ZWAdobeF" w:cs="ZWAdobeF"/>
          <w:sz w:val="2"/>
          <w:szCs w:val="2"/>
        </w:rPr>
        <w:t>46B</w:t>
      </w:r>
      <w:r w:rsidRPr="009F248D">
        <w:rPr>
          <w:rFonts w:cs="Segoe UI"/>
          <w:sz w:val="18"/>
          <w:szCs w:val="18"/>
        </w:rPr>
        <w:t xml:space="preserve">It has always been First Nations’ position to seek to achieve native title outcomes using both the Native Title Act and Traditional Owner Settlement Act processes as appropriate in accordance with the evidence, the State’s willingness to negotiate and instructions. Subsequent to the Review, and in relation to the two current native title claims in Victoria, the State has agreed to consider joint outcomes under both the Native Title Act and Traditional Owner Settlement Act for groups subject to satisfaction of the necessary evidentiary burdens. </w:t>
      </w:r>
    </w:p>
    <w:p w14:paraId="685D7923" w14:textId="77777777" w:rsidR="002A73E5" w:rsidRPr="009F248D" w:rsidRDefault="002A73E5" w:rsidP="008A3C71">
      <w:pPr>
        <w:pStyle w:val="TableNText"/>
        <w:numPr>
          <w:ilvl w:val="0"/>
          <w:numId w:val="0"/>
        </w:numPr>
        <w:outlineLvl w:val="9"/>
        <w:rPr>
          <w:rFonts w:cs="Segoe UI"/>
          <w:sz w:val="18"/>
          <w:szCs w:val="18"/>
        </w:rPr>
      </w:pPr>
      <w:r>
        <w:rPr>
          <w:rFonts w:ascii="ZWAdobeF" w:hAnsi="ZWAdobeF" w:cs="ZWAdobeF"/>
          <w:sz w:val="2"/>
          <w:szCs w:val="2"/>
        </w:rPr>
        <w:t>47B</w:t>
      </w:r>
      <w:r w:rsidRPr="009F248D">
        <w:rPr>
          <w:rFonts w:cs="Segoe UI"/>
          <w:sz w:val="18"/>
          <w:szCs w:val="18"/>
        </w:rPr>
        <w:t>First Nations recognises that settlements negotiated under the Traditional Owner Settlement Act are significantly more beneficial to Traditional Owners than bare native title settlements and accordingly advise Traditional Owners to pursue such settlements where appropriate. However, First Nations also recognises that recognition of native title is also very important to Traditional Owners and that the imposed discipline of an actively case managed native title claim can lead to swifter outcomes.</w:t>
      </w:r>
    </w:p>
    <w:p w14:paraId="7D690A39" w14:textId="64FD1040" w:rsidR="002A73E5" w:rsidRDefault="002A73E5" w:rsidP="002A73E5">
      <w:pPr>
        <w:pBdr>
          <w:bottom w:val="single" w:sz="2" w:space="1" w:color="E6E6E1" w:themeColor="accent5"/>
        </w:pBdr>
        <w:rPr>
          <w:sz w:val="18"/>
          <w:szCs w:val="18"/>
        </w:rPr>
      </w:pPr>
      <w:r>
        <w:rPr>
          <w:rFonts w:ascii="ZWAdobeF" w:hAnsi="ZWAdobeF" w:cs="ZWAdobeF"/>
          <w:sz w:val="2"/>
          <w:szCs w:val="2"/>
        </w:rPr>
        <w:t>48B</w:t>
      </w:r>
      <w:r w:rsidRPr="009F248D">
        <w:rPr>
          <w:rFonts w:cs="Segoe UI"/>
          <w:sz w:val="18"/>
          <w:szCs w:val="18"/>
        </w:rPr>
        <w:t>The First Principles Review process conducted jointly by Traditional Owners and the State is an important mechanism for ensuring outcomes under the Traditional Owner Settlement Act are continually improved in Victoria in line with developments in native title jurisprudence.</w:t>
      </w:r>
    </w:p>
    <w:p w14:paraId="0565998E" w14:textId="77777777" w:rsidR="002A73E5" w:rsidRPr="009F248D" w:rsidRDefault="002A73E5" w:rsidP="0073695E">
      <w:pPr>
        <w:rPr>
          <w:sz w:val="18"/>
          <w:szCs w:val="18"/>
        </w:rPr>
      </w:pPr>
    </w:p>
    <w:p w14:paraId="3F0FB32F" w14:textId="77777777" w:rsidR="008A3C71" w:rsidRPr="009F248D" w:rsidRDefault="008A3C71" w:rsidP="008A3C71">
      <w:pPr>
        <w:pStyle w:val="TableNheader"/>
        <w:pBdr>
          <w:top w:val="single" w:sz="24" w:space="1" w:color="F8981D" w:themeColor="accent3"/>
        </w:pBdr>
        <w:shd w:val="clear" w:color="auto" w:fill="E6E6E1" w:themeFill="accent5"/>
        <w:outlineLvl w:val="2"/>
        <w:rPr>
          <w:b/>
          <w:bCs/>
          <w:szCs w:val="18"/>
        </w:rPr>
      </w:pPr>
      <w:r>
        <w:rPr>
          <w:rFonts w:ascii="ZWAdobeF" w:hAnsi="ZWAdobeF" w:cs="ZWAdobeF"/>
          <w:bCs/>
          <w:color w:val="auto"/>
          <w:sz w:val="2"/>
          <w:szCs w:val="2"/>
        </w:rPr>
        <w:t>29B</w:t>
      </w:r>
      <w:r w:rsidRPr="009F248D">
        <w:rPr>
          <w:bCs/>
          <w:szCs w:val="18"/>
        </w:rPr>
        <w:t>Recommendation 2</w:t>
      </w:r>
    </w:p>
    <w:p w14:paraId="5859F068" w14:textId="63C04F5F" w:rsidR="008A3C71" w:rsidRPr="008A3C71" w:rsidRDefault="008A3C71" w:rsidP="008A3C71">
      <w:pPr>
        <w:pStyle w:val="TableNText"/>
        <w:pBdr>
          <w:top w:val="single" w:sz="24" w:space="1" w:color="F8981D" w:themeColor="accent3"/>
        </w:pBdr>
        <w:shd w:val="clear" w:color="auto" w:fill="E6E6E1" w:themeFill="accent5"/>
        <w:outlineLvl w:val="9"/>
        <w:rPr>
          <w:b/>
          <w:bCs/>
          <w:sz w:val="18"/>
          <w:szCs w:val="18"/>
        </w:rPr>
      </w:pPr>
      <w:r>
        <w:rPr>
          <w:rFonts w:ascii="ZWAdobeF" w:hAnsi="ZWAdobeF" w:cs="ZWAdobeF"/>
          <w:bCs/>
          <w:sz w:val="2"/>
          <w:szCs w:val="2"/>
        </w:rPr>
        <w:t>49B</w:t>
      </w:r>
      <w:r w:rsidRPr="009F248D">
        <w:rPr>
          <w:bCs/>
          <w:color w:val="00264D" w:themeColor="background2"/>
          <w:sz w:val="18"/>
          <w:szCs w:val="18"/>
        </w:rPr>
        <w:t>FNLRS could consider the role of peer review of research to address concerns of partisanship and research quality.</w:t>
      </w:r>
    </w:p>
    <w:p w14:paraId="0D68B9EC" w14:textId="77777777" w:rsidR="008A3C71" w:rsidRPr="009F248D" w:rsidRDefault="008A3C71" w:rsidP="008A3C71">
      <w:pPr>
        <w:pStyle w:val="TableNheader"/>
        <w:pBdr>
          <w:bottom w:val="single" w:sz="2" w:space="1" w:color="E6E6E1" w:themeColor="accent5"/>
        </w:pBdr>
        <w:spacing w:before="120"/>
        <w:outlineLvl w:val="3"/>
        <w:rPr>
          <w:rFonts w:cs="Segoe UI Semibold"/>
          <w:szCs w:val="18"/>
        </w:rPr>
      </w:pPr>
      <w:r>
        <w:rPr>
          <w:rFonts w:ascii="ZWAdobeF" w:hAnsi="ZWAdobeF" w:cs="ZWAdobeF"/>
          <w:color w:val="auto"/>
          <w:sz w:val="2"/>
          <w:szCs w:val="2"/>
        </w:rPr>
        <w:t>30B</w:t>
      </w:r>
      <w:r w:rsidRPr="009F248D">
        <w:rPr>
          <w:rFonts w:cs="Segoe UI Semibold"/>
          <w:szCs w:val="18"/>
        </w:rPr>
        <w:t xml:space="preserve">FNLRS response. </w:t>
      </w:r>
    </w:p>
    <w:p w14:paraId="05B15B0B" w14:textId="1B38C1A8" w:rsidR="008A3C71" w:rsidRPr="009F248D" w:rsidRDefault="008A3C71" w:rsidP="007F057A">
      <w:pPr>
        <w:pStyle w:val="TableNText"/>
        <w:pBdr>
          <w:bottom w:val="single" w:sz="2" w:space="1" w:color="E6E6E1" w:themeColor="accent5"/>
        </w:pBdr>
        <w:outlineLvl w:val="9"/>
        <w:rPr>
          <w:sz w:val="18"/>
          <w:szCs w:val="18"/>
        </w:rPr>
      </w:pPr>
      <w:r>
        <w:rPr>
          <w:rFonts w:ascii="ZWAdobeF" w:hAnsi="ZWAdobeF" w:cs="ZWAdobeF"/>
          <w:sz w:val="2"/>
          <w:szCs w:val="2"/>
        </w:rPr>
        <w:t>50B</w:t>
      </w:r>
      <w:r w:rsidRPr="009F248D">
        <w:rPr>
          <w:rFonts w:cs="Segoe UI"/>
          <w:color w:val="000000" w:themeColor="text1"/>
          <w:sz w:val="18"/>
          <w:szCs w:val="18"/>
        </w:rPr>
        <w:t>First Nations is constantly mindful of the importance of independent high quality research to ensure the integrity of the native title system and validity of native title settlements.  In light of the increasing complexity and conflicted nature of the remaining native title claims, First Nations has adopted a range of measures to ensure the quality and independence of its research including engaging skilled in-house and consultant researchers and conducting peer reviews and conferences of experts as required.</w:t>
      </w:r>
    </w:p>
    <w:p w14:paraId="539CBBBD" w14:textId="063DDD1E" w:rsidR="00D91D84" w:rsidRPr="009F248D" w:rsidRDefault="00D91D84">
      <w:pPr>
        <w:spacing w:after="160" w:line="259" w:lineRule="auto"/>
        <w:rPr>
          <w:rFonts w:ascii="Segoe UI Semibold" w:eastAsia="Times New Roman" w:hAnsi="Segoe UI Semibold" w:cs="Times New Roman"/>
          <w:color w:val="00264D" w:themeColor="background2"/>
          <w:sz w:val="18"/>
          <w:szCs w:val="18"/>
          <w:lang w:eastAsia="en-AU"/>
        </w:rPr>
      </w:pPr>
    </w:p>
    <w:p w14:paraId="555FFAE9" w14:textId="77777777" w:rsidR="008A3C71" w:rsidRPr="009F248D" w:rsidRDefault="008A3C71" w:rsidP="008A3C71">
      <w:pPr>
        <w:pStyle w:val="TableNheader"/>
        <w:pBdr>
          <w:top w:val="single" w:sz="24" w:space="1" w:color="F8981D" w:themeColor="accent3"/>
        </w:pBdr>
        <w:shd w:val="clear" w:color="auto" w:fill="E6E6E1" w:themeFill="accent5"/>
        <w:outlineLvl w:val="2"/>
        <w:rPr>
          <w:b/>
          <w:bCs/>
          <w:szCs w:val="18"/>
        </w:rPr>
      </w:pPr>
      <w:r>
        <w:rPr>
          <w:rFonts w:ascii="ZWAdobeF" w:hAnsi="ZWAdobeF" w:cs="ZWAdobeF"/>
          <w:bCs/>
          <w:color w:val="auto"/>
          <w:sz w:val="2"/>
          <w:szCs w:val="2"/>
        </w:rPr>
        <w:t>31B</w:t>
      </w:r>
      <w:r w:rsidRPr="009F248D">
        <w:rPr>
          <w:bCs/>
          <w:szCs w:val="18"/>
        </w:rPr>
        <w:t>Recommendation 3</w:t>
      </w:r>
    </w:p>
    <w:p w14:paraId="5E29A578" w14:textId="77777777" w:rsidR="008A3C71" w:rsidRPr="009F248D" w:rsidRDefault="008A3C71" w:rsidP="007F057A">
      <w:pPr>
        <w:pStyle w:val="TableNText"/>
        <w:pBdr>
          <w:top w:val="single" w:sz="24" w:space="1" w:color="F8981D" w:themeColor="accent3"/>
        </w:pBdr>
        <w:shd w:val="clear" w:color="auto" w:fill="E6E6E1" w:themeFill="accent5"/>
        <w:outlineLvl w:val="9"/>
        <w:rPr>
          <w:b/>
          <w:bCs/>
          <w:sz w:val="18"/>
          <w:szCs w:val="18"/>
        </w:rPr>
      </w:pPr>
      <w:r>
        <w:rPr>
          <w:rFonts w:ascii="ZWAdobeF" w:hAnsi="ZWAdobeF" w:cs="ZWAdobeF"/>
          <w:bCs/>
          <w:sz w:val="2"/>
          <w:szCs w:val="2"/>
        </w:rPr>
        <w:t>51B</w:t>
      </w:r>
      <w:r w:rsidRPr="009F248D">
        <w:rPr>
          <w:bCs/>
          <w:color w:val="00264D" w:themeColor="background2"/>
          <w:sz w:val="18"/>
          <w:szCs w:val="18"/>
        </w:rPr>
        <w:t>FNLRS could further empower Victorian Traditional Owners to realise their aspirations and operate in a more contestable environment through developing and implementing a clear approach for the return of materials following determinations of native title or native title settlements.</w:t>
      </w:r>
    </w:p>
    <w:p w14:paraId="7EBDCADA" w14:textId="77777777" w:rsidR="008A3C71" w:rsidRPr="009F248D" w:rsidRDefault="008A3C71" w:rsidP="008A3C71">
      <w:pPr>
        <w:pStyle w:val="TableNheader"/>
        <w:pBdr>
          <w:bottom w:val="single" w:sz="2" w:space="1" w:color="E6E6E1" w:themeColor="accent5"/>
        </w:pBdr>
        <w:spacing w:before="120"/>
        <w:outlineLvl w:val="3"/>
        <w:rPr>
          <w:szCs w:val="18"/>
        </w:rPr>
      </w:pPr>
      <w:r>
        <w:rPr>
          <w:rFonts w:ascii="ZWAdobeF" w:hAnsi="ZWAdobeF" w:cs="ZWAdobeF"/>
          <w:color w:val="auto"/>
          <w:sz w:val="2"/>
          <w:szCs w:val="2"/>
        </w:rPr>
        <w:t>32B</w:t>
      </w:r>
      <w:r w:rsidRPr="009F248D">
        <w:rPr>
          <w:szCs w:val="18"/>
        </w:rPr>
        <w:t xml:space="preserve">FNLRS response. </w:t>
      </w:r>
    </w:p>
    <w:p w14:paraId="521BFA5D" w14:textId="77777777" w:rsidR="008A3C71" w:rsidRPr="009F248D" w:rsidRDefault="008A3C71" w:rsidP="007F057A">
      <w:pPr>
        <w:pStyle w:val="TableNText"/>
        <w:pBdr>
          <w:bottom w:val="single" w:sz="2" w:space="1" w:color="E6E6E1" w:themeColor="accent5"/>
        </w:pBdr>
        <w:outlineLvl w:val="9"/>
        <w:rPr>
          <w:sz w:val="18"/>
          <w:szCs w:val="18"/>
        </w:rPr>
      </w:pPr>
      <w:r>
        <w:rPr>
          <w:rFonts w:ascii="ZWAdobeF" w:hAnsi="ZWAdobeF" w:cs="ZWAdobeF"/>
          <w:sz w:val="2"/>
          <w:szCs w:val="2"/>
        </w:rPr>
        <w:t>52B</w:t>
      </w:r>
      <w:r w:rsidRPr="009F248D">
        <w:rPr>
          <w:sz w:val="18"/>
          <w:szCs w:val="18"/>
        </w:rPr>
        <w:t>First Nations has established a Return of Materials Working Group and developed a return of research materials policy. It is First Nations firm view that where possible research materials should be transferred or returned to Traditional Owner individuals, groups and representative corporations in accordance with relevant legal and ethical obligations and restrictions and importantly in accordance with the cultural protocols and capacities of each Traditional Owner group. To date First Nations has met with three Traditional Owner groups or their representative corporations to discuss and design a return of materials pilot process that meets the particular needs of each group.</w:t>
      </w:r>
    </w:p>
    <w:p w14:paraId="73C60740" w14:textId="0F111D36" w:rsidR="00BB4D80" w:rsidRDefault="00BB4D80">
      <w:pPr>
        <w:spacing w:after="160" w:line="259" w:lineRule="auto"/>
        <w:rPr>
          <w:rFonts w:ascii="Segoe UI Semibold" w:eastAsia="Times New Roman" w:hAnsi="Segoe UI Semibold" w:cs="Times New Roman"/>
          <w:color w:val="00264D" w:themeColor="background2"/>
          <w:sz w:val="25"/>
          <w:szCs w:val="19"/>
          <w:lang w:eastAsia="en-AU"/>
        </w:rPr>
      </w:pPr>
      <w:r>
        <w:rPr>
          <w:rFonts w:ascii="Segoe UI Semibold" w:eastAsia="Times New Roman" w:hAnsi="Segoe UI Semibold" w:cs="Times New Roman"/>
          <w:color w:val="00264D" w:themeColor="background2"/>
          <w:sz w:val="25"/>
          <w:szCs w:val="19"/>
          <w:lang w:eastAsia="en-AU"/>
        </w:rPr>
        <w:br w:type="page"/>
      </w:r>
    </w:p>
    <w:p w14:paraId="2B7EEA2A" w14:textId="4AB32EF1" w:rsidR="001C35F2" w:rsidRPr="0084761C" w:rsidRDefault="002E4BA7" w:rsidP="007C10DC">
      <w:pPr>
        <w:pStyle w:val="Heading2"/>
      </w:pPr>
      <w:bookmarkStart w:id="38" w:name="_Ref500337912"/>
      <w:bookmarkStart w:id="39" w:name="_Toc502839778"/>
      <w:bookmarkStart w:id="40" w:name="_Toc502843254"/>
      <w:bookmarkStart w:id="41" w:name="_Toc502847617"/>
      <w:bookmarkStart w:id="42" w:name="_Toc502850761"/>
      <w:bookmarkStart w:id="43" w:name="_Toc502855193"/>
      <w:bookmarkStart w:id="44" w:name="_Ref502867954"/>
      <w:bookmarkStart w:id="45" w:name="_Ref502868502"/>
      <w:bookmarkStart w:id="46" w:name="_Toc503117092"/>
      <w:bookmarkStart w:id="47" w:name="_Toc505259169"/>
      <w:bookmarkStart w:id="48" w:name="_Toc505256236"/>
      <w:bookmarkStart w:id="49" w:name="_Toc505618279"/>
      <w:r w:rsidRPr="0084761C">
        <w:lastRenderedPageBreak/>
        <w:t xml:space="preserve">TOR 1.2 | </w:t>
      </w:r>
      <w:r w:rsidR="00EB1298" w:rsidRPr="0084761C">
        <w:t>Review and assess each organisation’s efficiency and effectiveness in performing the functions of a native title representative body over the past 3 years (with the main focus on recent performance) including: whether the organisation’s assessment and prioritisation of applications are equitable, transparent and robust.</w:t>
      </w:r>
      <w:bookmarkEnd w:id="38"/>
      <w:bookmarkEnd w:id="39"/>
      <w:bookmarkEnd w:id="40"/>
      <w:bookmarkEnd w:id="41"/>
      <w:bookmarkEnd w:id="42"/>
      <w:bookmarkEnd w:id="43"/>
      <w:bookmarkEnd w:id="44"/>
      <w:bookmarkEnd w:id="45"/>
      <w:bookmarkEnd w:id="46"/>
      <w:bookmarkEnd w:id="47"/>
      <w:bookmarkEnd w:id="48"/>
      <w:bookmarkEnd w:id="49"/>
    </w:p>
    <w:p w14:paraId="36F386E0" w14:textId="5ECABFDB" w:rsidR="001C35F2" w:rsidRDefault="001C35F2" w:rsidP="008F436A">
      <w:pPr>
        <w:rPr>
          <w:lang w:eastAsia="en-AU"/>
        </w:rPr>
      </w:pPr>
    </w:p>
    <w:p w14:paraId="4380C44B" w14:textId="0261E0DB" w:rsidR="003B61C1" w:rsidRPr="00330115" w:rsidRDefault="003B61C1" w:rsidP="00330115">
      <w:pPr>
        <w:shd w:val="clear" w:color="auto" w:fill="E6E6E1" w:themeFill="accent5"/>
        <w:rPr>
          <w:color w:val="00264D" w:themeColor="background2"/>
          <w:lang w:eastAsia="en-AU"/>
        </w:rPr>
      </w:pPr>
      <w:r w:rsidRPr="003B61C1">
        <w:rPr>
          <w:rFonts w:eastAsia="Times New Roman"/>
          <w:b/>
          <w:color w:val="00264D" w:themeColor="background2"/>
          <w:lang w:eastAsia="en-AU"/>
        </w:rPr>
        <w:t>FNLRS’ assessment and prioritisation of applications follows a clear internal process that claimants understand well</w:t>
      </w:r>
      <w:r w:rsidRPr="003B61C1">
        <w:rPr>
          <w:rFonts w:eastAsia="Times New Roman"/>
          <w:bCs/>
          <w:color w:val="00264D" w:themeColor="background2"/>
          <w:lang w:eastAsia="en-AU"/>
        </w:rPr>
        <w:t>. It allocates resources to those groups that have the best chance of a successful claim. This can mean that groups with poor leadership and a lack of cohesion do not receive resources. Clients, including those whose requests for assistance had not been met in the first year of their request, believed that the prioritisation process was fair.</w:t>
      </w:r>
    </w:p>
    <w:p w14:paraId="1608CB9A" w14:textId="0EB3CEBB" w:rsidR="00F64BB4" w:rsidRPr="00EC4473" w:rsidRDefault="00F64BB4" w:rsidP="008A3C71">
      <w:pPr>
        <w:outlineLvl w:val="2"/>
        <w:rPr>
          <w:b/>
          <w:bCs/>
          <w:i/>
          <w:iCs/>
          <w:color w:val="00264D" w:themeColor="background2"/>
        </w:rPr>
      </w:pPr>
      <w:r w:rsidRPr="00EC4473">
        <w:rPr>
          <w:b/>
          <w:bCs/>
          <w:i/>
          <w:iCs/>
          <w:color w:val="00264D" w:themeColor="background2"/>
        </w:rPr>
        <w:t>Recommendations for TOR 1.</w:t>
      </w:r>
      <w:r w:rsidR="00B66147" w:rsidRPr="00EC4473">
        <w:rPr>
          <w:b/>
          <w:bCs/>
          <w:i/>
          <w:iCs/>
          <w:color w:val="00264D" w:themeColor="background2"/>
        </w:rPr>
        <w:t>2</w:t>
      </w:r>
    </w:p>
    <w:p w14:paraId="0E57F57C" w14:textId="77777777" w:rsidR="00330115" w:rsidRDefault="0053411F" w:rsidP="00330115">
      <w:pPr>
        <w:rPr>
          <w:rFonts w:eastAsia="Calibri" w:cs="Arial"/>
          <w:lang w:eastAsia="en-AU"/>
        </w:rPr>
      </w:pPr>
      <w:r w:rsidRPr="007062BE">
        <w:rPr>
          <w:rFonts w:eastAsia="Calibri" w:cs="Arial"/>
          <w:lang w:eastAsia="en-AU"/>
        </w:rPr>
        <w:t xml:space="preserve">The Review made </w:t>
      </w:r>
      <w:r>
        <w:rPr>
          <w:rFonts w:eastAsia="Calibri" w:cs="Arial"/>
          <w:lang w:eastAsia="en-AU"/>
        </w:rPr>
        <w:t>two</w:t>
      </w:r>
      <w:r w:rsidRPr="007062BE">
        <w:rPr>
          <w:rFonts w:eastAsia="Calibri" w:cs="Arial"/>
          <w:lang w:eastAsia="en-AU"/>
        </w:rPr>
        <w:t xml:space="preserve"> recommendation</w:t>
      </w:r>
      <w:r>
        <w:rPr>
          <w:rFonts w:eastAsia="Calibri" w:cs="Arial"/>
          <w:lang w:eastAsia="en-AU"/>
        </w:rPr>
        <w:t>s</w:t>
      </w:r>
      <w:r w:rsidRPr="007062BE">
        <w:rPr>
          <w:rFonts w:eastAsia="Calibri" w:cs="Arial"/>
          <w:lang w:eastAsia="en-AU"/>
        </w:rPr>
        <w:t xml:space="preserve"> for TOR 1.2 on the organisation’s assessment process. Th</w:t>
      </w:r>
      <w:r>
        <w:rPr>
          <w:rFonts w:eastAsia="Calibri" w:cs="Arial"/>
          <w:lang w:eastAsia="en-AU"/>
        </w:rPr>
        <w:t>ese are</w:t>
      </w:r>
      <w:r w:rsidRPr="007062BE">
        <w:rPr>
          <w:rFonts w:eastAsia="Calibri" w:cs="Arial"/>
          <w:lang w:eastAsia="en-AU"/>
        </w:rPr>
        <w:t xml:space="preserve"> outlined below, as well as </w:t>
      </w:r>
      <w:r w:rsidR="00CE0D1F">
        <w:rPr>
          <w:rFonts w:eastAsia="Calibri" w:cs="Arial"/>
          <w:lang w:eastAsia="en-AU"/>
        </w:rPr>
        <w:t>FNLRS’</w:t>
      </w:r>
      <w:r w:rsidRPr="007062BE">
        <w:rPr>
          <w:rFonts w:eastAsia="Calibri" w:cs="Arial"/>
          <w:lang w:eastAsia="en-AU"/>
        </w:rPr>
        <w:t xml:space="preserve"> response to th</w:t>
      </w:r>
      <w:r>
        <w:rPr>
          <w:rFonts w:eastAsia="Calibri" w:cs="Arial"/>
          <w:lang w:eastAsia="en-AU"/>
        </w:rPr>
        <w:t>e</w:t>
      </w:r>
      <w:r w:rsidRPr="007062BE">
        <w:rPr>
          <w:rFonts w:eastAsia="Calibri" w:cs="Arial"/>
          <w:lang w:eastAsia="en-AU"/>
        </w:rPr>
        <w:t>s</w:t>
      </w:r>
      <w:r>
        <w:rPr>
          <w:rFonts w:eastAsia="Calibri" w:cs="Arial"/>
          <w:lang w:eastAsia="en-AU"/>
        </w:rPr>
        <w:t>e</w:t>
      </w:r>
      <w:r w:rsidRPr="007062BE">
        <w:rPr>
          <w:rFonts w:eastAsia="Calibri" w:cs="Arial"/>
          <w:lang w:eastAsia="en-AU"/>
        </w:rPr>
        <w:t xml:space="preserve"> recommendation</w:t>
      </w:r>
      <w:r>
        <w:rPr>
          <w:rFonts w:eastAsia="Calibri" w:cs="Arial"/>
          <w:lang w:eastAsia="en-AU"/>
        </w:rPr>
        <w:t>s</w:t>
      </w:r>
      <w:r w:rsidRPr="007062BE">
        <w:rPr>
          <w:rFonts w:eastAsia="Calibri" w:cs="Arial"/>
          <w:lang w:eastAsia="en-AU"/>
        </w:rPr>
        <w:t xml:space="preserve">. </w:t>
      </w:r>
    </w:p>
    <w:p w14:paraId="24EB6D3D" w14:textId="3724803A" w:rsidR="00330115" w:rsidRPr="004D7A0B" w:rsidRDefault="00330115" w:rsidP="008A3C71">
      <w:pPr>
        <w:shd w:val="clear" w:color="auto" w:fill="E6E6E1" w:themeFill="accent5"/>
        <w:outlineLvl w:val="3"/>
        <w:rPr>
          <w:rFonts w:eastAsia="Calibri" w:cs="Arial"/>
          <w:color w:val="00264D" w:themeColor="background2"/>
          <w:lang w:eastAsia="en-AU"/>
        </w:rPr>
      </w:pPr>
      <w:r w:rsidRPr="004D7A0B">
        <w:rPr>
          <w:b/>
          <w:bCs/>
          <w:color w:val="00264D" w:themeColor="background2"/>
        </w:rPr>
        <w:t>Recommendation 4</w:t>
      </w:r>
    </w:p>
    <w:p w14:paraId="7B27379E" w14:textId="76CA77E7" w:rsidR="00330115" w:rsidRPr="00330115" w:rsidRDefault="00330115" w:rsidP="00330115">
      <w:pPr>
        <w:shd w:val="clear" w:color="auto" w:fill="E6E6E1" w:themeFill="accent5"/>
        <w:rPr>
          <w:rFonts w:eastAsia="Calibri" w:cs="Arial"/>
          <w:lang w:eastAsia="en-AU"/>
        </w:rPr>
      </w:pPr>
      <w:r w:rsidRPr="00330115">
        <w:rPr>
          <w:color w:val="00264D" w:themeColor="background2"/>
          <w:sz w:val="18"/>
        </w:rPr>
        <w:t>FNLRS has scope to move into a stronger dispute resolution and mediation role for non-cohesive Traditional Owner groups and Traditional Owner groups with unclear boundaries. This could accelerate the transition to a post-determination environment. A more active prosecution of this role may expedite the resolution of native title matters.</w:t>
      </w:r>
    </w:p>
    <w:p w14:paraId="04885A64" w14:textId="4BA1B18C" w:rsidR="00330115" w:rsidRPr="00330115" w:rsidRDefault="00330115" w:rsidP="008A3C71">
      <w:pPr>
        <w:outlineLvl w:val="4"/>
        <w:rPr>
          <w:b/>
          <w:bCs/>
        </w:rPr>
      </w:pPr>
      <w:r w:rsidRPr="00330115">
        <w:rPr>
          <w:b/>
          <w:bCs/>
        </w:rPr>
        <w:t xml:space="preserve">FNLRS response. </w:t>
      </w:r>
    </w:p>
    <w:p w14:paraId="2B7A94B4" w14:textId="73DF90C6" w:rsidR="00330115" w:rsidRDefault="00330115" w:rsidP="0053411F">
      <w:pPr>
        <w:rPr>
          <w:rFonts w:eastAsia="Calibri" w:cs="Arial"/>
          <w:lang w:eastAsia="en-AU"/>
        </w:rPr>
      </w:pPr>
      <w:r w:rsidRPr="009F248D">
        <w:rPr>
          <w:rFonts w:cs="Segoe UI"/>
          <w:sz w:val="18"/>
        </w:rPr>
        <w:t>First Nations actively promotes and employs its dispute resolution function with Traditional Owner groups in accordance with its Operational Plan and resourcing/capacity constraints.  First Nations also participates in the State Government’s Right People for Country program and supports groups who make use of the program’s dispute resolution services. It is important to note that First Nations only exercises its dispute resolution function with the consent of the parties to the dispute and in accordance with its legal, ethical and professional obligations.</w:t>
      </w:r>
    </w:p>
    <w:p w14:paraId="55C1E26D" w14:textId="77777777" w:rsidR="004D7A0B" w:rsidRPr="004D7A0B" w:rsidRDefault="004D7A0B" w:rsidP="008A3C71">
      <w:pPr>
        <w:shd w:val="clear" w:color="auto" w:fill="E6E6E1" w:themeFill="accent5"/>
        <w:outlineLvl w:val="3"/>
        <w:rPr>
          <w:b/>
          <w:bCs/>
          <w:color w:val="00264D" w:themeColor="background2"/>
        </w:rPr>
      </w:pPr>
      <w:r w:rsidRPr="004D7A0B">
        <w:rPr>
          <w:b/>
          <w:bCs/>
          <w:color w:val="00264D" w:themeColor="background2"/>
        </w:rPr>
        <w:t>Recommendation 5</w:t>
      </w:r>
    </w:p>
    <w:p w14:paraId="6D568726" w14:textId="27D94892" w:rsidR="00330115" w:rsidRPr="004D7A0B" w:rsidRDefault="004D7A0B" w:rsidP="004D7A0B">
      <w:pPr>
        <w:shd w:val="clear" w:color="auto" w:fill="E6E6E1" w:themeFill="accent5"/>
        <w:rPr>
          <w:b/>
          <w:color w:val="00264D" w:themeColor="background2"/>
        </w:rPr>
      </w:pPr>
      <w:r w:rsidRPr="004D7A0B">
        <w:rPr>
          <w:color w:val="00264D" w:themeColor="background2"/>
          <w:sz w:val="18"/>
        </w:rPr>
        <w:t>There is an opportunity for FNLRS and Victorian Government to develop a system that clarifies the process for making a decision on long running disputes.</w:t>
      </w:r>
    </w:p>
    <w:p w14:paraId="5D64A19D" w14:textId="64949C99" w:rsidR="007409E3" w:rsidRPr="007409E3" w:rsidRDefault="007409E3" w:rsidP="008A3C71">
      <w:pPr>
        <w:outlineLvl w:val="4"/>
        <w:rPr>
          <w:b/>
          <w:bCs/>
        </w:rPr>
      </w:pPr>
      <w:r w:rsidRPr="007409E3">
        <w:rPr>
          <w:b/>
          <w:bCs/>
        </w:rPr>
        <w:t xml:space="preserve">FNLRS response. </w:t>
      </w:r>
    </w:p>
    <w:p w14:paraId="2B7160F4" w14:textId="6D01A347" w:rsidR="00330115" w:rsidRPr="000E1391" w:rsidRDefault="007409E3" w:rsidP="007409E3">
      <w:pPr>
        <w:rPr>
          <w:rFonts w:eastAsia="Calibri" w:cs="Arial"/>
          <w:lang w:eastAsia="en-AU"/>
        </w:rPr>
      </w:pPr>
      <w:r w:rsidRPr="000E1391">
        <w:t>Following a review of the Threshold (evidence) stage of the Traditional Owner Settlement Act commissioned by the Victorian Government in 2017 a case management process was introduced. This provided for mediation of disputes by an independent case manager or mediator. Given both of the current active Traditional Owner Settlement Act claims are also being progressed as native title claims in the Federal Court no opportunity to fully test this new process has eventuated beyond an initial pilot. Nonetheless First Nations recognises that the new case management process does not include an arbitral function thereby there is risk that long running disputes will not ultimately be resolved by this process. First Nations continues to engage closely with the Victorian Government about potential improvements to Traditional Owner Settlement Act processes.</w:t>
      </w:r>
    </w:p>
    <w:p w14:paraId="40F84AC3" w14:textId="77777777" w:rsidR="00330115" w:rsidRPr="0053411F" w:rsidRDefault="00330115" w:rsidP="0053411F">
      <w:pPr>
        <w:rPr>
          <w:rFonts w:eastAsia="Calibri" w:cs="Arial"/>
          <w:lang w:eastAsia="en-AU"/>
        </w:rPr>
      </w:pPr>
    </w:p>
    <w:p w14:paraId="7042DD36" w14:textId="5484D929" w:rsidR="00F64BB4" w:rsidRPr="009F248D" w:rsidRDefault="00F64BB4" w:rsidP="00F64BB4">
      <w:pPr>
        <w:rPr>
          <w:sz w:val="18"/>
          <w:szCs w:val="18"/>
          <w:lang w:eastAsia="en-AU"/>
        </w:rPr>
      </w:pPr>
    </w:p>
    <w:p w14:paraId="078BEF50" w14:textId="121FB428" w:rsidR="009A771A" w:rsidRDefault="009A771A" w:rsidP="00F64BB4">
      <w:pPr>
        <w:rPr>
          <w:lang w:eastAsia="en-AU"/>
        </w:rPr>
      </w:pPr>
    </w:p>
    <w:p w14:paraId="4D30DDA5" w14:textId="7AC4150F" w:rsidR="00EB1298" w:rsidRPr="0084761C" w:rsidRDefault="002E4BA7" w:rsidP="007C10DC">
      <w:pPr>
        <w:pStyle w:val="Heading2"/>
      </w:pPr>
      <w:bookmarkStart w:id="50" w:name="_Ref502726666"/>
      <w:bookmarkStart w:id="51" w:name="_Toc502839779"/>
      <w:bookmarkStart w:id="52" w:name="_Toc502843255"/>
      <w:bookmarkStart w:id="53" w:name="_Toc502847618"/>
      <w:bookmarkStart w:id="54" w:name="_Toc502850762"/>
      <w:bookmarkStart w:id="55" w:name="_Toc502855194"/>
      <w:bookmarkStart w:id="56" w:name="_Toc503117093"/>
      <w:bookmarkStart w:id="57" w:name="_Toc505259170"/>
      <w:bookmarkStart w:id="58" w:name="_Toc505256237"/>
      <w:bookmarkStart w:id="59" w:name="_Toc505618280"/>
      <w:r w:rsidRPr="0084761C">
        <w:lastRenderedPageBreak/>
        <w:t xml:space="preserve">TOR 1.3 | </w:t>
      </w:r>
      <w:r w:rsidR="00EB1298" w:rsidRPr="0084761C">
        <w:t>Review and assess each organisations’ efficiency and effectiveness in performing the functions of a native title representative body over the past 3 years (with the main focus on recent performance) including: whether the organisation deals respectfully, equitably, transparently and in a culturally appropriate manner with clients, persons seeking assistance, and persons refused assistance.</w:t>
      </w:r>
      <w:bookmarkEnd w:id="50"/>
      <w:bookmarkEnd w:id="51"/>
      <w:bookmarkEnd w:id="52"/>
      <w:bookmarkEnd w:id="53"/>
      <w:bookmarkEnd w:id="54"/>
      <w:bookmarkEnd w:id="55"/>
      <w:bookmarkEnd w:id="56"/>
      <w:bookmarkEnd w:id="57"/>
      <w:bookmarkEnd w:id="58"/>
      <w:bookmarkEnd w:id="59"/>
    </w:p>
    <w:p w14:paraId="04336A15" w14:textId="18BEC730" w:rsidR="00D56755" w:rsidRDefault="00834648" w:rsidP="0043722D">
      <w:pPr>
        <w:shd w:val="clear" w:color="auto" w:fill="E6E6E1" w:themeFill="accent5"/>
        <w:rPr>
          <w:lang w:eastAsia="en-AU"/>
        </w:rPr>
      </w:pPr>
      <w:r w:rsidRPr="00834648">
        <w:rPr>
          <w:rFonts w:eastAsia="Times New Roman"/>
          <w:b/>
          <w:lang w:eastAsia="en-AU"/>
        </w:rPr>
        <w:t>Evidence collected indicates that FNLRS engages respectfully with clients.</w:t>
      </w:r>
      <w:r w:rsidRPr="00085999">
        <w:rPr>
          <w:rFonts w:eastAsia="Times New Roman"/>
          <w:bCs/>
          <w:lang w:eastAsia="en-AU"/>
        </w:rPr>
        <w:t xml:space="preserve"> It has strong relationships with stakeholders, and a governance structure that empowers Indigenous ownership of the organisation.</w:t>
      </w:r>
      <w:r w:rsidR="0043722D">
        <w:rPr>
          <w:rFonts w:eastAsia="Times New Roman"/>
          <w:bCs/>
          <w:lang w:eastAsia="en-AU"/>
        </w:rPr>
        <w:t xml:space="preserve"> </w:t>
      </w:r>
      <w:r w:rsidRPr="00085999">
        <w:rPr>
          <w:rFonts w:eastAsia="Times New Roman"/>
          <w:bCs/>
          <w:lang w:eastAsia="en-AU"/>
        </w:rPr>
        <w:t>Many staff have been with the organisation long term, and have built strong relationships with client groups. This is further strengthened by regionally based staff teams who develop a sophisticated understanding of local communities.</w:t>
      </w:r>
    </w:p>
    <w:p w14:paraId="4379612D" w14:textId="476186B3" w:rsidR="00D56755" w:rsidRPr="00EC4473" w:rsidRDefault="00D56755" w:rsidP="008A3C71">
      <w:pPr>
        <w:outlineLvl w:val="2"/>
        <w:rPr>
          <w:b/>
          <w:bCs/>
          <w:i/>
          <w:iCs/>
          <w:color w:val="00264D" w:themeColor="background2"/>
        </w:rPr>
      </w:pPr>
      <w:r w:rsidRPr="00EC4473">
        <w:rPr>
          <w:b/>
          <w:bCs/>
          <w:i/>
          <w:iCs/>
          <w:color w:val="00264D" w:themeColor="background2"/>
        </w:rPr>
        <w:t>Recommendations</w:t>
      </w:r>
      <w:r w:rsidR="00274A34" w:rsidRPr="00EC4473">
        <w:rPr>
          <w:b/>
          <w:bCs/>
          <w:i/>
          <w:iCs/>
          <w:color w:val="00264D" w:themeColor="background2"/>
        </w:rPr>
        <w:t xml:space="preserve"> for TOR 1.3</w:t>
      </w:r>
    </w:p>
    <w:p w14:paraId="2427F740" w14:textId="77777777" w:rsidR="00BF47E8" w:rsidRDefault="00966231" w:rsidP="00BF47E8">
      <w:pPr>
        <w:rPr>
          <w:rFonts w:eastAsia="Calibri" w:cs="Arial"/>
          <w:lang w:eastAsia="en-AU"/>
        </w:rPr>
      </w:pPr>
      <w:r w:rsidRPr="0014647F">
        <w:rPr>
          <w:rFonts w:eastAsia="Calibri" w:cs="Arial"/>
          <w:lang w:eastAsia="en-AU"/>
        </w:rPr>
        <w:t xml:space="preserve">The Review made </w:t>
      </w:r>
      <w:r>
        <w:rPr>
          <w:rFonts w:eastAsia="Calibri" w:cs="Arial"/>
          <w:lang w:eastAsia="en-AU"/>
        </w:rPr>
        <w:t>on</w:t>
      </w:r>
      <w:r w:rsidRPr="0014647F">
        <w:rPr>
          <w:rFonts w:eastAsia="Calibri" w:cs="Arial"/>
          <w:lang w:eastAsia="en-AU"/>
        </w:rPr>
        <w:t>e recommendation</w:t>
      </w:r>
      <w:r>
        <w:rPr>
          <w:rFonts w:eastAsia="Calibri" w:cs="Arial"/>
          <w:lang w:eastAsia="en-AU"/>
        </w:rPr>
        <w:t xml:space="preserve"> </w:t>
      </w:r>
      <w:r w:rsidRPr="0014647F">
        <w:rPr>
          <w:rFonts w:eastAsia="Calibri" w:cs="Arial"/>
          <w:lang w:eastAsia="en-AU"/>
        </w:rPr>
        <w:t>for TOR 1.3 on the organisation’s approach to clients. Th</w:t>
      </w:r>
      <w:r>
        <w:rPr>
          <w:rFonts w:eastAsia="Calibri" w:cs="Arial"/>
          <w:lang w:eastAsia="en-AU"/>
        </w:rPr>
        <w:t>is is</w:t>
      </w:r>
      <w:r w:rsidRPr="0014647F">
        <w:rPr>
          <w:rFonts w:eastAsia="Calibri" w:cs="Arial"/>
          <w:lang w:eastAsia="en-AU"/>
        </w:rPr>
        <w:t xml:space="preserve"> outlined below, as well as </w:t>
      </w:r>
      <w:r w:rsidR="00CE0D1F">
        <w:rPr>
          <w:rFonts w:eastAsia="Calibri" w:cs="Arial"/>
          <w:lang w:eastAsia="en-AU"/>
        </w:rPr>
        <w:t>FNLRS’</w:t>
      </w:r>
      <w:r w:rsidRPr="0014647F">
        <w:rPr>
          <w:rFonts w:eastAsia="Calibri" w:cs="Arial"/>
          <w:lang w:eastAsia="en-AU"/>
        </w:rPr>
        <w:t xml:space="preserve"> response to th</w:t>
      </w:r>
      <w:r>
        <w:rPr>
          <w:rFonts w:eastAsia="Calibri" w:cs="Arial"/>
          <w:lang w:eastAsia="en-AU"/>
        </w:rPr>
        <w:t xml:space="preserve">is </w:t>
      </w:r>
      <w:r w:rsidRPr="0014647F">
        <w:rPr>
          <w:rFonts w:eastAsia="Calibri" w:cs="Arial"/>
          <w:lang w:eastAsia="en-AU"/>
        </w:rPr>
        <w:t xml:space="preserve">recommendation. </w:t>
      </w:r>
    </w:p>
    <w:p w14:paraId="571D614C" w14:textId="6C2009E1" w:rsidR="00BF47E8" w:rsidRPr="00BF47E8" w:rsidRDefault="00BF47E8" w:rsidP="008A3C71">
      <w:pPr>
        <w:shd w:val="clear" w:color="auto" w:fill="E6E6E1" w:themeFill="accent5"/>
        <w:outlineLvl w:val="3"/>
        <w:rPr>
          <w:rFonts w:eastAsia="Calibri" w:cs="Arial"/>
          <w:b/>
          <w:bCs/>
          <w:color w:val="00264D" w:themeColor="background2"/>
          <w:lang w:eastAsia="en-AU"/>
        </w:rPr>
      </w:pPr>
      <w:r w:rsidRPr="00BF47E8">
        <w:rPr>
          <w:b/>
          <w:bCs/>
          <w:color w:val="00264D" w:themeColor="background2"/>
        </w:rPr>
        <w:t>Recommendation 6</w:t>
      </w:r>
    </w:p>
    <w:p w14:paraId="038E5625" w14:textId="6C3C3C44" w:rsidR="00244B2F" w:rsidRPr="00244B2F" w:rsidRDefault="00BF47E8" w:rsidP="00BF47E8">
      <w:pPr>
        <w:shd w:val="clear" w:color="auto" w:fill="E6E6E1" w:themeFill="accent5"/>
        <w:rPr>
          <w:color w:val="00264D" w:themeColor="background2"/>
          <w:sz w:val="18"/>
        </w:rPr>
      </w:pPr>
      <w:r w:rsidRPr="00BF47E8">
        <w:rPr>
          <w:color w:val="00264D" w:themeColor="background2"/>
          <w:sz w:val="18"/>
        </w:rPr>
        <w:t>FNLRS could facilitate broader and more efficient Traditional Owner understanding through making its policies more obvious on its website.</w:t>
      </w:r>
    </w:p>
    <w:p w14:paraId="5DE0E66D" w14:textId="66EE29F1" w:rsidR="00244B2F" w:rsidRPr="001150EC" w:rsidRDefault="00244B2F" w:rsidP="008A3C71">
      <w:pPr>
        <w:outlineLvl w:val="4"/>
        <w:rPr>
          <w:b/>
          <w:bCs/>
          <w:color w:val="00264D" w:themeColor="background2"/>
        </w:rPr>
      </w:pPr>
      <w:r w:rsidRPr="001150EC">
        <w:rPr>
          <w:b/>
          <w:bCs/>
          <w:color w:val="00264D" w:themeColor="background2"/>
        </w:rPr>
        <w:t xml:space="preserve">FNLRS response. </w:t>
      </w:r>
    </w:p>
    <w:p w14:paraId="17F4C8D4" w14:textId="77777777" w:rsidR="00244B2F" w:rsidRPr="001150EC" w:rsidRDefault="00244B2F" w:rsidP="00244B2F">
      <w:pPr>
        <w:rPr>
          <w:color w:val="00264D" w:themeColor="background2"/>
          <w:sz w:val="18"/>
        </w:rPr>
      </w:pPr>
      <w:r w:rsidRPr="001150EC">
        <w:rPr>
          <w:color w:val="00264D" w:themeColor="background2"/>
          <w:sz w:val="18"/>
        </w:rPr>
        <w:t xml:space="preserve">First Nations policies are readily available to the general public, including Traditional Owners on its website. However, in the second half of 2020 First Nations will be conducting a review of its website and communications strategies and will consider strategies to further facilitate broader and more efficient Traditional Owner understanding of native title settlements, the role of First Nations and our policies and procedures. </w:t>
      </w:r>
    </w:p>
    <w:p w14:paraId="70BA2209" w14:textId="24C92FB4" w:rsidR="00BF47E8" w:rsidRPr="001150EC" w:rsidRDefault="00244B2F" w:rsidP="00244B2F">
      <w:pPr>
        <w:rPr>
          <w:rFonts w:eastAsia="Calibri" w:cs="Arial"/>
          <w:color w:val="00264D" w:themeColor="background2"/>
          <w:lang w:eastAsia="en-AU"/>
        </w:rPr>
      </w:pPr>
      <w:r w:rsidRPr="001150EC">
        <w:rPr>
          <w:color w:val="00264D" w:themeColor="background2"/>
          <w:sz w:val="18"/>
        </w:rPr>
        <w:t>First Nations is working with the State government to develop easy to understand guides to formal recognition processes in Victoria, including recognition under the Native Title Act and the Traditional Owner Settlement Act. These guides will be available on First Nations website and social media platforms and distributed through existing mailing databases and networks.</w:t>
      </w:r>
    </w:p>
    <w:p w14:paraId="59E150B0" w14:textId="77777777" w:rsidR="00BF47E8" w:rsidRPr="00966231" w:rsidRDefault="00BF47E8" w:rsidP="00966231">
      <w:pPr>
        <w:rPr>
          <w:rFonts w:eastAsia="Calibri" w:cs="Arial"/>
          <w:lang w:eastAsia="en-AU"/>
        </w:rPr>
      </w:pPr>
    </w:p>
    <w:p w14:paraId="6A79A87F" w14:textId="3B1EF54A" w:rsidR="0084761C" w:rsidRDefault="0084761C" w:rsidP="0084761C">
      <w:pPr>
        <w:rPr>
          <w:lang w:eastAsia="en-AU"/>
        </w:rPr>
      </w:pPr>
    </w:p>
    <w:p w14:paraId="2DB4E55C" w14:textId="54D6ECB2" w:rsidR="00966231" w:rsidRDefault="00966231">
      <w:pPr>
        <w:spacing w:after="160" w:line="259" w:lineRule="auto"/>
        <w:rPr>
          <w:lang w:eastAsia="en-AU"/>
        </w:rPr>
      </w:pPr>
      <w:r>
        <w:rPr>
          <w:lang w:eastAsia="en-AU"/>
        </w:rPr>
        <w:br w:type="page"/>
      </w:r>
    </w:p>
    <w:p w14:paraId="787872BC" w14:textId="07E44390" w:rsidR="00C647B8" w:rsidRDefault="002E4BA7" w:rsidP="00C647B8">
      <w:pPr>
        <w:pStyle w:val="Heading2"/>
      </w:pPr>
      <w:bookmarkStart w:id="60" w:name="_Toc501895344"/>
      <w:bookmarkStart w:id="61" w:name="_Toc502839780"/>
      <w:bookmarkStart w:id="62" w:name="_Toc502843256"/>
      <w:bookmarkStart w:id="63" w:name="_Toc502847619"/>
      <w:bookmarkStart w:id="64" w:name="_Toc502850763"/>
      <w:bookmarkStart w:id="65" w:name="_Toc502855195"/>
      <w:bookmarkStart w:id="66" w:name="_Ref502870069"/>
      <w:bookmarkStart w:id="67" w:name="_Toc503117094"/>
      <w:bookmarkStart w:id="68" w:name="_Toc505259171"/>
      <w:bookmarkStart w:id="69" w:name="_Toc505256238"/>
      <w:bookmarkStart w:id="70" w:name="_Toc505618281"/>
      <w:r w:rsidRPr="0084761C">
        <w:lastRenderedPageBreak/>
        <w:t xml:space="preserve">TOR 2 | </w:t>
      </w:r>
      <w:r w:rsidR="00EB1298" w:rsidRPr="0084761C">
        <w:t>Review and assess each organisation’s cost effectiveness in performing the functions of a native title representative body, including the key cost drivers for each organisation.</w:t>
      </w:r>
      <w:bookmarkEnd w:id="60"/>
      <w:bookmarkEnd w:id="61"/>
      <w:bookmarkEnd w:id="62"/>
      <w:bookmarkEnd w:id="63"/>
      <w:bookmarkEnd w:id="64"/>
      <w:bookmarkEnd w:id="65"/>
      <w:bookmarkEnd w:id="66"/>
      <w:bookmarkEnd w:id="67"/>
      <w:bookmarkEnd w:id="68"/>
      <w:bookmarkEnd w:id="69"/>
      <w:bookmarkEnd w:id="70"/>
    </w:p>
    <w:p w14:paraId="5901F504" w14:textId="77777777" w:rsidR="00C647B8" w:rsidRPr="00C647B8" w:rsidRDefault="00C647B8" w:rsidP="00C647B8">
      <w:pPr>
        <w:shd w:val="clear" w:color="auto" w:fill="E6E6E1" w:themeFill="accent5"/>
        <w:spacing w:line="259" w:lineRule="auto"/>
        <w:rPr>
          <w:rFonts w:eastAsia="Times New Roman"/>
          <w:b/>
          <w:bCs/>
          <w:color w:val="00264D" w:themeColor="background2"/>
          <w:lang w:eastAsia="en-AU"/>
        </w:rPr>
      </w:pPr>
      <w:r w:rsidRPr="00C647B8">
        <w:rPr>
          <w:rFonts w:eastAsia="Times New Roman"/>
          <w:b/>
          <w:color w:val="00264D" w:themeColor="background2"/>
          <w:lang w:eastAsia="en-AU"/>
        </w:rPr>
        <w:t>FNLRS manages its budget responsibly, and has strategies in place to support efficient and effective allocation of resources and administration practices to consistently monitor spending and identify cost savings.</w:t>
      </w:r>
      <w:r w:rsidRPr="00C647B8">
        <w:rPr>
          <w:rFonts w:eastAsia="Times New Roman"/>
          <w:bCs/>
          <w:color w:val="00264D" w:themeColor="background2"/>
          <w:lang w:eastAsia="en-AU"/>
        </w:rPr>
        <w:t xml:space="preserve"> FNLRS takes a very sparing approach to the use of external consultants, preferring to prioritise recruiting and developing internal staff. While this minimises consultant expenditure, the Review identified some instances where the use of external expertise might strengthen value for money and could be considered on a case by case basis. </w:t>
      </w:r>
    </w:p>
    <w:p w14:paraId="279D4F8F" w14:textId="3B219303" w:rsidR="00C647B8" w:rsidRPr="00C647B8" w:rsidRDefault="00C647B8" w:rsidP="00C647B8">
      <w:pPr>
        <w:shd w:val="clear" w:color="auto" w:fill="E6E6E1" w:themeFill="accent5"/>
        <w:rPr>
          <w:color w:val="00264D" w:themeColor="background2"/>
          <w:lang w:eastAsia="en-AU"/>
        </w:rPr>
      </w:pPr>
      <w:r w:rsidRPr="00C647B8">
        <w:rPr>
          <w:rFonts w:eastAsia="Times New Roman"/>
          <w:bCs/>
          <w:color w:val="00264D" w:themeColor="background2"/>
          <w:lang w:eastAsia="en-AU"/>
        </w:rPr>
        <w:t>FNLRS invests effort in some non-statutory functions, such as policy development with the Victorian Government and provides some free legal assistance to PBC clients. It receives funding from the Victorian Government to assist PBCs with economic development, which contributes to its activity in this space. While the absence of native title determinations during the review period suggests that funding has not driven tangible outputs in this period, the Review observes that FNLRS does provide value for money in moving Victoria towards a sustainable post-determination environment while making considerable progress in achieving native title outcomes.</w:t>
      </w:r>
    </w:p>
    <w:p w14:paraId="52763000" w14:textId="77777777" w:rsidR="00966231" w:rsidRDefault="00966231" w:rsidP="003B61C1"/>
    <w:p w14:paraId="19C81F18" w14:textId="3A25AD4D" w:rsidR="0084761C" w:rsidRPr="00EC4473" w:rsidRDefault="0084761C" w:rsidP="00EC4473">
      <w:pPr>
        <w:rPr>
          <w:b/>
          <w:bCs/>
          <w:i/>
          <w:iCs/>
          <w:color w:val="00264D" w:themeColor="background2"/>
        </w:rPr>
      </w:pPr>
      <w:r w:rsidRPr="00EC4473">
        <w:rPr>
          <w:b/>
          <w:bCs/>
          <w:i/>
          <w:iCs/>
          <w:color w:val="00264D" w:themeColor="background2"/>
        </w:rPr>
        <w:t>No recommendations were made for TOR</w:t>
      </w:r>
      <w:r w:rsidR="00B66147" w:rsidRPr="00EC4473">
        <w:rPr>
          <w:b/>
          <w:bCs/>
          <w:i/>
          <w:iCs/>
          <w:color w:val="00264D" w:themeColor="background2"/>
        </w:rPr>
        <w:t xml:space="preserve"> </w:t>
      </w:r>
      <w:r w:rsidRPr="00EC4473">
        <w:rPr>
          <w:b/>
          <w:bCs/>
          <w:i/>
          <w:iCs/>
          <w:color w:val="00264D" w:themeColor="background2"/>
        </w:rPr>
        <w:t xml:space="preserve">2. </w:t>
      </w:r>
    </w:p>
    <w:p w14:paraId="3107DEB3" w14:textId="2EEED89E" w:rsidR="00E5318B" w:rsidRDefault="00E5318B" w:rsidP="00E5318B">
      <w:pPr>
        <w:rPr>
          <w:lang w:eastAsia="en-AU"/>
        </w:rPr>
      </w:pPr>
    </w:p>
    <w:p w14:paraId="1BF903E3" w14:textId="3B16D0D0" w:rsidR="00966231" w:rsidRDefault="00966231">
      <w:pPr>
        <w:spacing w:after="160" w:line="259" w:lineRule="auto"/>
        <w:rPr>
          <w:lang w:eastAsia="en-AU"/>
        </w:rPr>
      </w:pPr>
      <w:r>
        <w:rPr>
          <w:lang w:eastAsia="en-AU"/>
        </w:rPr>
        <w:br w:type="page"/>
      </w:r>
    </w:p>
    <w:p w14:paraId="0D40D0DA" w14:textId="7312282D" w:rsidR="00810B33" w:rsidRDefault="002E4BA7" w:rsidP="007C10DC">
      <w:pPr>
        <w:pStyle w:val="Heading2"/>
      </w:pPr>
      <w:bookmarkStart w:id="71" w:name="_Toc501895345"/>
      <w:bookmarkStart w:id="72" w:name="_Toc502839781"/>
      <w:bookmarkStart w:id="73" w:name="_Toc502843257"/>
      <w:bookmarkStart w:id="74" w:name="_Toc502847620"/>
      <w:bookmarkStart w:id="75" w:name="_Toc502850764"/>
      <w:bookmarkStart w:id="76" w:name="_Toc502855196"/>
      <w:bookmarkStart w:id="77" w:name="_Toc503117095"/>
      <w:bookmarkStart w:id="78" w:name="_Toc505259172"/>
      <w:bookmarkStart w:id="79" w:name="_Toc505256239"/>
      <w:bookmarkStart w:id="80" w:name="_Toc505618282"/>
      <w:r w:rsidRPr="0084761C">
        <w:lastRenderedPageBreak/>
        <w:t xml:space="preserve">TOR 3 | </w:t>
      </w:r>
      <w:r w:rsidR="00EB1298" w:rsidRPr="0084761C">
        <w:t xml:space="preserve">Review and assess each organisation’s strategies for driving and tracking its achievement against key performance indicators in its funding agreement with </w:t>
      </w:r>
      <w:bookmarkEnd w:id="71"/>
      <w:bookmarkEnd w:id="72"/>
      <w:bookmarkEnd w:id="73"/>
      <w:bookmarkEnd w:id="74"/>
      <w:bookmarkEnd w:id="75"/>
      <w:bookmarkEnd w:id="76"/>
      <w:bookmarkEnd w:id="77"/>
      <w:bookmarkEnd w:id="78"/>
      <w:bookmarkEnd w:id="79"/>
      <w:bookmarkEnd w:id="80"/>
      <w:r w:rsidR="002C3710" w:rsidRPr="0084761C">
        <w:t>the NIAA</w:t>
      </w:r>
      <w:r w:rsidRPr="0084761C">
        <w:t>.</w:t>
      </w:r>
    </w:p>
    <w:p w14:paraId="1A9C2B21" w14:textId="77777777" w:rsidR="0084761C" w:rsidRPr="0084761C" w:rsidRDefault="0084761C" w:rsidP="0084761C">
      <w:pPr>
        <w:rPr>
          <w:lang w:eastAsia="en-AU"/>
        </w:rPr>
      </w:pPr>
    </w:p>
    <w:p w14:paraId="1F11C9C4" w14:textId="49640E40" w:rsidR="007532E7" w:rsidRPr="005F62D2" w:rsidRDefault="005F62D2" w:rsidP="005F62D2">
      <w:pPr>
        <w:shd w:val="clear" w:color="auto" w:fill="E6E6E1" w:themeFill="accent5"/>
        <w:rPr>
          <w:color w:val="00264D" w:themeColor="background2"/>
          <w:lang w:eastAsia="en-AU"/>
        </w:rPr>
      </w:pPr>
      <w:r w:rsidRPr="005F62D2">
        <w:rPr>
          <w:rFonts w:eastAsia="Times New Roman"/>
          <w:b/>
          <w:color w:val="00264D" w:themeColor="background2"/>
          <w:lang w:eastAsia="en-AU"/>
        </w:rPr>
        <w:t>FNLRS adopts a clear and consistent approach to tracking its performance.</w:t>
      </w:r>
      <w:r w:rsidRPr="005F62D2">
        <w:rPr>
          <w:rFonts w:eastAsia="Times New Roman"/>
          <w:bCs/>
          <w:color w:val="00264D" w:themeColor="background2"/>
          <w:lang w:eastAsia="en-AU"/>
        </w:rPr>
        <w:t xml:space="preserve"> Recent work has developed a performance dashboard which considers and compares FNLRS performance against a range of measures and indicators relating to their internal performance. This provides clear information on FNLRS performance and supports FNLRS’ operational planning and monitoring. This also allows accurate billing for commercial purposes. While not the primary driver for the design of the tracking system it also provides data needed for reporting to the NIAA. Reporting to the NIAA is timely and appropriate.</w:t>
      </w:r>
    </w:p>
    <w:p w14:paraId="08762578" w14:textId="0F9D1EEB" w:rsidR="007532E7" w:rsidRPr="00EC4473" w:rsidRDefault="00B06A41" w:rsidP="00EC4473">
      <w:pPr>
        <w:rPr>
          <w:b/>
          <w:bCs/>
          <w:i/>
          <w:iCs/>
        </w:rPr>
      </w:pPr>
      <w:r w:rsidRPr="00EC4473">
        <w:rPr>
          <w:b/>
          <w:bCs/>
          <w:i/>
          <w:iCs/>
          <w:color w:val="00264D" w:themeColor="background2"/>
        </w:rPr>
        <w:t>No r</w:t>
      </w:r>
      <w:r w:rsidR="007532E7" w:rsidRPr="00EC4473">
        <w:rPr>
          <w:b/>
          <w:bCs/>
          <w:i/>
          <w:iCs/>
          <w:color w:val="00264D" w:themeColor="background2"/>
        </w:rPr>
        <w:t>ecommendations</w:t>
      </w:r>
      <w:r w:rsidRPr="00EC4473">
        <w:rPr>
          <w:b/>
          <w:bCs/>
          <w:i/>
          <w:iCs/>
          <w:color w:val="00264D" w:themeColor="background2"/>
        </w:rPr>
        <w:t xml:space="preserve"> were made</w:t>
      </w:r>
      <w:r w:rsidR="00274A34" w:rsidRPr="00EC4473">
        <w:rPr>
          <w:b/>
          <w:bCs/>
          <w:i/>
          <w:iCs/>
          <w:color w:val="00264D" w:themeColor="background2"/>
        </w:rPr>
        <w:t xml:space="preserve"> for TOR 3</w:t>
      </w:r>
      <w:r w:rsidR="000D7DBA" w:rsidRPr="00EC4473">
        <w:rPr>
          <w:b/>
          <w:bCs/>
          <w:i/>
          <w:iCs/>
          <w:color w:val="00264D" w:themeColor="background2"/>
        </w:rPr>
        <w:t>.</w:t>
      </w:r>
    </w:p>
    <w:p w14:paraId="614C5AA1" w14:textId="024EBBD0" w:rsidR="00276B8E" w:rsidRDefault="00276B8E" w:rsidP="00D809AE"/>
    <w:p w14:paraId="2187D216" w14:textId="16957532" w:rsidR="00966231" w:rsidRDefault="00966231">
      <w:pPr>
        <w:spacing w:after="160" w:line="259" w:lineRule="auto"/>
      </w:pPr>
      <w:r>
        <w:br w:type="page"/>
      </w:r>
    </w:p>
    <w:p w14:paraId="455FF01D" w14:textId="3E3037E9" w:rsidR="00EB1298" w:rsidRPr="0084761C" w:rsidRDefault="002E4BA7" w:rsidP="007C10DC">
      <w:pPr>
        <w:pStyle w:val="Heading2"/>
      </w:pPr>
      <w:bookmarkStart w:id="81" w:name="_Toc501895346"/>
      <w:bookmarkStart w:id="82" w:name="_Toc502839782"/>
      <w:bookmarkStart w:id="83" w:name="_Toc502843258"/>
      <w:bookmarkStart w:id="84" w:name="_Toc502847621"/>
      <w:bookmarkStart w:id="85" w:name="_Toc502850765"/>
      <w:bookmarkStart w:id="86" w:name="_Toc502855197"/>
      <w:bookmarkStart w:id="87" w:name="_Ref502870747"/>
      <w:bookmarkStart w:id="88" w:name="_Ref502909938"/>
      <w:bookmarkStart w:id="89" w:name="_Toc503117096"/>
      <w:bookmarkStart w:id="90" w:name="_Toc505259173"/>
      <w:bookmarkStart w:id="91" w:name="_Toc505256240"/>
      <w:bookmarkStart w:id="92" w:name="_Ref505607381"/>
      <w:bookmarkStart w:id="93" w:name="_Toc505618283"/>
      <w:r w:rsidRPr="0084761C">
        <w:lastRenderedPageBreak/>
        <w:t xml:space="preserve">TOR 4 | </w:t>
      </w:r>
      <w:r w:rsidR="00EB1298" w:rsidRPr="0084761C">
        <w:t>Review and assess the extent to which each organisation’s governance structures and organisational policies and practices support efficient and effective project delivery including: the breakdown of responsibilities between the organisation’s Board, Chairperson, Chief Executive Officer and senior staff; its financial management; the standard to which it manages and resolves any conflicts of interest; the standard to which it manages and resolves any complaints.</w:t>
      </w:r>
      <w:bookmarkEnd w:id="81"/>
      <w:bookmarkEnd w:id="82"/>
      <w:bookmarkEnd w:id="83"/>
      <w:bookmarkEnd w:id="84"/>
      <w:bookmarkEnd w:id="85"/>
      <w:bookmarkEnd w:id="86"/>
      <w:bookmarkEnd w:id="87"/>
      <w:bookmarkEnd w:id="88"/>
      <w:bookmarkEnd w:id="89"/>
      <w:bookmarkEnd w:id="90"/>
      <w:bookmarkEnd w:id="91"/>
      <w:bookmarkEnd w:id="92"/>
      <w:bookmarkEnd w:id="93"/>
    </w:p>
    <w:p w14:paraId="3B80C273" w14:textId="77777777" w:rsidR="00DD7885" w:rsidRDefault="00DD7885" w:rsidP="00F00DA4">
      <w:pPr>
        <w:rPr>
          <w:lang w:eastAsia="en-AU"/>
        </w:rPr>
      </w:pPr>
    </w:p>
    <w:p w14:paraId="68DA1495" w14:textId="0E617500" w:rsidR="00DD7885" w:rsidRPr="00DD7885" w:rsidRDefault="00DD7885" w:rsidP="00DD7885">
      <w:pPr>
        <w:shd w:val="clear" w:color="auto" w:fill="E6E6E1" w:themeFill="accent5"/>
        <w:rPr>
          <w:color w:val="00264D" w:themeColor="background2"/>
          <w:lang w:eastAsia="en-AU"/>
        </w:rPr>
      </w:pPr>
      <w:r w:rsidRPr="00DD7885">
        <w:rPr>
          <w:rFonts w:eastAsia="Times New Roman"/>
          <w:b/>
          <w:color w:val="00264D" w:themeColor="background2"/>
          <w:lang w:eastAsia="en-AU"/>
        </w:rPr>
        <w:t>The governance structure at FNLRS reflects a high degree of ownership and control by Indigenous groups.</w:t>
      </w:r>
      <w:r w:rsidRPr="00DD7885">
        <w:rPr>
          <w:rFonts w:eastAsia="Times New Roman"/>
          <w:bCs/>
          <w:color w:val="00264D" w:themeColor="background2"/>
          <w:lang w:eastAsia="en-AU"/>
        </w:rPr>
        <w:t xml:space="preserve"> This appears to be based on mutual respect between Board Directors and staff. The Board and senior staff each have clear responsibilities. The Board sets strategic directions, has high standards of probity and expertise, and carries out its tasks responsibly. FNLRS staff apply its appropriate policies on matters including financial management, complaint management and prioritisation. Some minor questions arose about the communication of policies and their flexible application.</w:t>
      </w:r>
    </w:p>
    <w:p w14:paraId="1B32EB0D" w14:textId="153A6416" w:rsidR="00F00DA4" w:rsidRPr="00EC4473" w:rsidRDefault="00F00DA4" w:rsidP="008A3C71">
      <w:pPr>
        <w:outlineLvl w:val="2"/>
        <w:rPr>
          <w:b/>
          <w:bCs/>
          <w:i/>
          <w:iCs/>
          <w:color w:val="00264D" w:themeColor="background2"/>
        </w:rPr>
      </w:pPr>
      <w:r w:rsidRPr="00EC4473">
        <w:rPr>
          <w:b/>
          <w:bCs/>
          <w:i/>
          <w:iCs/>
          <w:color w:val="00264D" w:themeColor="background2"/>
        </w:rPr>
        <w:t>Recommendations</w:t>
      </w:r>
      <w:r w:rsidR="00274A34" w:rsidRPr="00EC4473">
        <w:rPr>
          <w:b/>
          <w:bCs/>
          <w:i/>
          <w:iCs/>
          <w:color w:val="00264D" w:themeColor="background2"/>
        </w:rPr>
        <w:t xml:space="preserve"> for TOR</w:t>
      </w:r>
      <w:r w:rsidR="00335367" w:rsidRPr="00EC4473">
        <w:rPr>
          <w:b/>
          <w:bCs/>
          <w:i/>
          <w:iCs/>
          <w:color w:val="00264D" w:themeColor="background2"/>
        </w:rPr>
        <w:t xml:space="preserve"> 4</w:t>
      </w:r>
    </w:p>
    <w:p w14:paraId="7C1E655F" w14:textId="0E7145A9" w:rsidR="00F37120" w:rsidRDefault="00F37120" w:rsidP="00F37120">
      <w:pPr>
        <w:rPr>
          <w:rFonts w:eastAsia="Calibri" w:cs="Arial"/>
          <w:lang w:eastAsia="en-AU"/>
        </w:rPr>
      </w:pPr>
      <w:r w:rsidRPr="00106149">
        <w:rPr>
          <w:rFonts w:eastAsia="Calibri" w:cs="Arial"/>
          <w:lang w:eastAsia="en-AU"/>
        </w:rPr>
        <w:t>The Review made t</w:t>
      </w:r>
      <w:r>
        <w:rPr>
          <w:rFonts w:eastAsia="Calibri" w:cs="Arial"/>
          <w:lang w:eastAsia="en-AU"/>
        </w:rPr>
        <w:t>hree</w:t>
      </w:r>
      <w:r w:rsidRPr="00106149">
        <w:rPr>
          <w:rFonts w:eastAsia="Calibri" w:cs="Arial"/>
          <w:lang w:eastAsia="en-AU"/>
        </w:rPr>
        <w:t xml:space="preserve"> recommendations for TOR 4 on support provided by organisational governance structures, policies and practices. These are outlined below, as well as </w:t>
      </w:r>
      <w:r w:rsidR="000D7DBA">
        <w:rPr>
          <w:rFonts w:eastAsia="Calibri" w:cs="Arial"/>
          <w:lang w:eastAsia="en-AU"/>
        </w:rPr>
        <w:t>FNLRS’</w:t>
      </w:r>
      <w:r w:rsidRPr="00106149">
        <w:rPr>
          <w:rFonts w:eastAsia="Calibri" w:cs="Arial"/>
          <w:lang w:eastAsia="en-AU"/>
        </w:rPr>
        <w:t xml:space="preserve"> response to these recommendations. </w:t>
      </w:r>
    </w:p>
    <w:p w14:paraId="6C484674" w14:textId="1D353183" w:rsidR="00B948A7" w:rsidRPr="00B948A7" w:rsidRDefault="00B948A7" w:rsidP="008A3C71">
      <w:pPr>
        <w:shd w:val="clear" w:color="auto" w:fill="E6E6E1" w:themeFill="accent5"/>
        <w:outlineLvl w:val="3"/>
        <w:rPr>
          <w:b/>
          <w:bCs/>
          <w:color w:val="00264D" w:themeColor="background2"/>
        </w:rPr>
      </w:pPr>
      <w:r w:rsidRPr="00B948A7">
        <w:rPr>
          <w:b/>
          <w:bCs/>
          <w:color w:val="00264D" w:themeColor="background2"/>
        </w:rPr>
        <w:t>Recommendation 7</w:t>
      </w:r>
    </w:p>
    <w:p w14:paraId="635564BF" w14:textId="30C4E399" w:rsidR="00B948A7" w:rsidRPr="00B948A7" w:rsidRDefault="00B948A7" w:rsidP="00B948A7">
      <w:pPr>
        <w:shd w:val="clear" w:color="auto" w:fill="E6E6E1" w:themeFill="accent5"/>
        <w:rPr>
          <w:rFonts w:eastAsia="Calibri" w:cs="Arial"/>
          <w:color w:val="00264D" w:themeColor="background2"/>
          <w:lang w:eastAsia="en-AU"/>
        </w:rPr>
      </w:pPr>
      <w:r w:rsidRPr="00B948A7">
        <w:rPr>
          <w:color w:val="00264D" w:themeColor="background2"/>
          <w:sz w:val="18"/>
        </w:rPr>
        <w:t>FNLRS has the opportunity to make sure that all staff have a stronger understanding of how its approach to prioritisation of claims applies to specific claims.</w:t>
      </w:r>
    </w:p>
    <w:p w14:paraId="79C1A988" w14:textId="6BE7A3E4" w:rsidR="00B948A7" w:rsidRPr="00B948A7" w:rsidRDefault="00B948A7" w:rsidP="008A3C71">
      <w:pPr>
        <w:outlineLvl w:val="4"/>
        <w:rPr>
          <w:b/>
          <w:bCs/>
          <w:color w:val="00264D" w:themeColor="background2"/>
        </w:rPr>
      </w:pPr>
      <w:r w:rsidRPr="00B948A7">
        <w:rPr>
          <w:b/>
          <w:bCs/>
          <w:color w:val="00264D" w:themeColor="background2"/>
        </w:rPr>
        <w:t xml:space="preserve">FNLRS response. </w:t>
      </w:r>
    </w:p>
    <w:p w14:paraId="20FEE893" w14:textId="6264660A" w:rsidR="00B948A7" w:rsidRPr="009D30F9" w:rsidRDefault="00B948A7" w:rsidP="00F37120">
      <w:pPr>
        <w:rPr>
          <w:rFonts w:eastAsia="Calibri" w:cs="Arial"/>
          <w:color w:val="00264D" w:themeColor="background2"/>
          <w:lang w:eastAsia="en-AU"/>
        </w:rPr>
      </w:pPr>
      <w:r w:rsidRPr="00B948A7">
        <w:rPr>
          <w:color w:val="00264D" w:themeColor="background2"/>
          <w:sz w:val="18"/>
        </w:rPr>
        <w:t>All First Nations staff are aware of how claims are prioritised, the application of the Guidelines for Assistance to Native Title Groups and, where appropriate, contribute to the development of the Operational Plan.</w:t>
      </w:r>
    </w:p>
    <w:p w14:paraId="56F1B06B" w14:textId="3500E650" w:rsidR="009D30F9" w:rsidRPr="009D30F9" w:rsidRDefault="009D30F9" w:rsidP="008A3C71">
      <w:pPr>
        <w:shd w:val="clear" w:color="auto" w:fill="E6E6E1" w:themeFill="accent5"/>
        <w:outlineLvl w:val="3"/>
        <w:rPr>
          <w:rFonts w:eastAsia="Calibri" w:cs="Arial"/>
          <w:b/>
          <w:bCs/>
          <w:color w:val="00264D" w:themeColor="background2"/>
          <w:lang w:eastAsia="en-AU"/>
        </w:rPr>
      </w:pPr>
      <w:r w:rsidRPr="009D30F9">
        <w:rPr>
          <w:rFonts w:eastAsia="Calibri" w:cs="Arial"/>
          <w:b/>
          <w:bCs/>
          <w:color w:val="00264D" w:themeColor="background2"/>
          <w:lang w:eastAsia="en-AU"/>
        </w:rPr>
        <w:t>Recommendation 8</w:t>
      </w:r>
    </w:p>
    <w:p w14:paraId="68B6DE0F" w14:textId="310F23FC" w:rsidR="009D30F9" w:rsidRPr="009D30F9" w:rsidRDefault="009D30F9" w:rsidP="009D30F9">
      <w:pPr>
        <w:shd w:val="clear" w:color="auto" w:fill="E6E6E1" w:themeFill="accent5"/>
        <w:rPr>
          <w:rFonts w:eastAsia="Calibri" w:cs="Arial"/>
          <w:color w:val="00264D" w:themeColor="background2"/>
          <w:lang w:eastAsia="en-AU"/>
        </w:rPr>
      </w:pPr>
      <w:r w:rsidRPr="009D30F9">
        <w:rPr>
          <w:rFonts w:eastAsia="Calibri" w:cs="Arial"/>
          <w:color w:val="00264D" w:themeColor="background2"/>
          <w:lang w:eastAsia="en-AU"/>
        </w:rPr>
        <w:t>There may be an opportunity to plan for the skills needed to work with the more challenging groups of claimants and implement mediation or other training to lawyers and researchers.</w:t>
      </w:r>
    </w:p>
    <w:p w14:paraId="124304EF" w14:textId="6A411CD8" w:rsidR="009D30F9" w:rsidRPr="00B75411" w:rsidRDefault="009D30F9" w:rsidP="008A3C71">
      <w:pPr>
        <w:outlineLvl w:val="4"/>
        <w:rPr>
          <w:rFonts w:eastAsia="Calibri" w:cs="Arial"/>
          <w:b/>
          <w:bCs/>
          <w:lang w:eastAsia="en-AU"/>
        </w:rPr>
      </w:pPr>
      <w:r w:rsidRPr="00B75411">
        <w:rPr>
          <w:rFonts w:eastAsia="Calibri" w:cs="Arial"/>
          <w:b/>
          <w:bCs/>
          <w:lang w:eastAsia="en-AU"/>
        </w:rPr>
        <w:t xml:space="preserve">FNLRS response. </w:t>
      </w:r>
    </w:p>
    <w:p w14:paraId="099BE1DC" w14:textId="065E8D2B" w:rsidR="009D30F9" w:rsidRPr="00F37120" w:rsidRDefault="009D30F9" w:rsidP="009D30F9">
      <w:pPr>
        <w:rPr>
          <w:rFonts w:eastAsia="Calibri" w:cs="Arial"/>
          <w:lang w:eastAsia="en-AU"/>
        </w:rPr>
      </w:pPr>
      <w:r w:rsidRPr="009D30F9">
        <w:rPr>
          <w:rFonts w:eastAsia="Calibri" w:cs="Arial"/>
          <w:lang w:eastAsia="en-AU"/>
        </w:rPr>
        <w:t>First Nations operational staff have access to mediation training by request through our Employee Professional Development Program. Several staff have previously taken up opportunities to undertake mediation training with Cyngler Consulting. In addition, the Bouverie Centre has been engaged to facilitate trauma informed practice training for all First Nations staff throughout July and August 2020.</w:t>
      </w:r>
    </w:p>
    <w:p w14:paraId="317BDAFC" w14:textId="68411B33" w:rsidR="005E7FA8" w:rsidRPr="008B3C81" w:rsidRDefault="005E7FA8" w:rsidP="008A3C71">
      <w:pPr>
        <w:shd w:val="clear" w:color="auto" w:fill="E6E6E1" w:themeFill="accent5"/>
        <w:outlineLvl w:val="3"/>
        <w:rPr>
          <w:b/>
          <w:bCs/>
          <w:color w:val="00264D" w:themeColor="background2"/>
          <w:sz w:val="18"/>
          <w:szCs w:val="18"/>
          <w:lang w:eastAsia="en-AU"/>
        </w:rPr>
      </w:pPr>
      <w:r w:rsidRPr="008B3C81">
        <w:rPr>
          <w:b/>
          <w:bCs/>
          <w:color w:val="00264D" w:themeColor="background2"/>
          <w:sz w:val="18"/>
          <w:szCs w:val="18"/>
          <w:lang w:eastAsia="en-AU"/>
        </w:rPr>
        <w:t>Recommendation 9</w:t>
      </w:r>
    </w:p>
    <w:p w14:paraId="2ED7C9D5" w14:textId="755A719C" w:rsidR="00F526A3" w:rsidRPr="008B3C81" w:rsidRDefault="005E7FA8" w:rsidP="005E7FA8">
      <w:pPr>
        <w:shd w:val="clear" w:color="auto" w:fill="E6E6E1" w:themeFill="accent5"/>
        <w:rPr>
          <w:color w:val="00264D" w:themeColor="background2"/>
          <w:sz w:val="18"/>
          <w:szCs w:val="18"/>
          <w:lang w:eastAsia="en-AU"/>
        </w:rPr>
      </w:pPr>
      <w:r w:rsidRPr="008B3C81">
        <w:rPr>
          <w:color w:val="00264D" w:themeColor="background2"/>
          <w:sz w:val="18"/>
          <w:szCs w:val="18"/>
          <w:lang w:eastAsia="en-AU"/>
        </w:rPr>
        <w:t>FNLRS may be able to get better outcomes from its staff through developing its performance management and development approaches.</w:t>
      </w:r>
    </w:p>
    <w:p w14:paraId="2597C596" w14:textId="64C50668" w:rsidR="008B3C81" w:rsidRPr="008B3C81" w:rsidRDefault="008B3C81" w:rsidP="008A3C71">
      <w:pPr>
        <w:spacing w:after="160" w:line="259" w:lineRule="auto"/>
        <w:outlineLvl w:val="4"/>
        <w:rPr>
          <w:b/>
          <w:bCs/>
          <w:color w:val="00264D" w:themeColor="background2"/>
          <w:sz w:val="18"/>
          <w:szCs w:val="18"/>
          <w:lang w:eastAsia="en-AU"/>
        </w:rPr>
      </w:pPr>
      <w:bookmarkStart w:id="94" w:name="_Toc501895347"/>
      <w:bookmarkStart w:id="95" w:name="_Ref502695754"/>
      <w:bookmarkStart w:id="96" w:name="_Toc502839783"/>
      <w:bookmarkStart w:id="97" w:name="_Toc502843259"/>
      <w:bookmarkStart w:id="98" w:name="_Toc502847622"/>
      <w:bookmarkStart w:id="99" w:name="_Toc502850766"/>
      <w:bookmarkStart w:id="100" w:name="_Toc502855198"/>
      <w:bookmarkStart w:id="101" w:name="_Ref502900609"/>
      <w:bookmarkStart w:id="102" w:name="_Toc503117097"/>
      <w:bookmarkStart w:id="103" w:name="_Toc505259174"/>
      <w:bookmarkStart w:id="104" w:name="_Toc505256241"/>
      <w:bookmarkStart w:id="105" w:name="_Toc505618284"/>
      <w:r w:rsidRPr="008B3C81">
        <w:rPr>
          <w:b/>
          <w:bCs/>
          <w:color w:val="00264D" w:themeColor="background2"/>
          <w:sz w:val="18"/>
          <w:szCs w:val="18"/>
          <w:lang w:eastAsia="en-AU"/>
        </w:rPr>
        <w:t xml:space="preserve">FNLRS response. </w:t>
      </w:r>
    </w:p>
    <w:p w14:paraId="631291F8" w14:textId="5F2B5E86" w:rsidR="003E2442" w:rsidRPr="008B3C81" w:rsidRDefault="008B3C81" w:rsidP="008B3C81">
      <w:pPr>
        <w:spacing w:after="160" w:line="259" w:lineRule="auto"/>
        <w:rPr>
          <w:sz w:val="18"/>
          <w:szCs w:val="18"/>
          <w:lang w:eastAsia="en-AU"/>
        </w:rPr>
      </w:pPr>
      <w:r w:rsidRPr="008B3C81">
        <w:rPr>
          <w:sz w:val="18"/>
          <w:szCs w:val="18"/>
          <w:lang w:eastAsia="en-AU"/>
        </w:rPr>
        <w:t xml:space="preserve">First Nations has a well-developed Employee Professional Development Program and performance management framework that guides each staff member’s performance and professional development throughout the year. Professional development opportunities for all staff are actively considered on an on-going basis. Further to this, </w:t>
      </w:r>
      <w:r w:rsidRPr="008B3C81">
        <w:rPr>
          <w:sz w:val="18"/>
          <w:szCs w:val="18"/>
          <w:lang w:eastAsia="en-AU"/>
        </w:rPr>
        <w:lastRenderedPageBreak/>
        <w:t>professional development and support for managers and supervisors to ensure they are able to maximise performance management and development outcomes for staff will be undertaken throughout 2020-2021.</w:t>
      </w:r>
    </w:p>
    <w:p w14:paraId="1E1FB7A3" w14:textId="77777777" w:rsidR="008A3C71" w:rsidRDefault="008A3C71">
      <w:pPr>
        <w:spacing w:after="160" w:line="259" w:lineRule="auto"/>
        <w:rPr>
          <w:rFonts w:ascii="Segoe UI Semibold" w:eastAsia="Times New Roman" w:hAnsi="Segoe UI Semibold" w:cs="Times New Roman"/>
          <w:color w:val="00264D"/>
          <w:sz w:val="30"/>
          <w:szCs w:val="19"/>
          <w:lang w:eastAsia="en-AU"/>
        </w:rPr>
      </w:pPr>
      <w:r>
        <w:br w:type="page"/>
      </w:r>
    </w:p>
    <w:p w14:paraId="286D3649" w14:textId="769A724C" w:rsidR="00F00DA4" w:rsidRDefault="002E4BA7" w:rsidP="00F00DA4">
      <w:pPr>
        <w:pStyle w:val="Heading2"/>
      </w:pPr>
      <w:r w:rsidRPr="0084761C">
        <w:lastRenderedPageBreak/>
        <w:t xml:space="preserve">TOR 5 | </w:t>
      </w:r>
      <w:r w:rsidR="00EB1298" w:rsidRPr="0084761C">
        <w:t xml:space="preserve">Review and assess each organisation’s strategies for and progress in developing self-sufficient </w:t>
      </w:r>
      <w:r w:rsidR="00EB3786" w:rsidRPr="0084761C">
        <w:t>PBCs</w:t>
      </w:r>
      <w:r w:rsidR="00EB1298" w:rsidRPr="0084761C">
        <w:t>, so PBCs have appropriate capacity and capability to manage their own responsibilities and aspirations.</w:t>
      </w:r>
      <w:bookmarkEnd w:id="94"/>
      <w:bookmarkEnd w:id="95"/>
      <w:bookmarkEnd w:id="96"/>
      <w:bookmarkEnd w:id="97"/>
      <w:bookmarkEnd w:id="98"/>
      <w:bookmarkEnd w:id="99"/>
      <w:bookmarkEnd w:id="100"/>
      <w:bookmarkEnd w:id="101"/>
      <w:bookmarkEnd w:id="102"/>
      <w:bookmarkEnd w:id="103"/>
      <w:bookmarkEnd w:id="104"/>
      <w:bookmarkEnd w:id="105"/>
    </w:p>
    <w:p w14:paraId="34FEDD2B" w14:textId="30778061" w:rsidR="002E753E" w:rsidRPr="002E753E" w:rsidRDefault="002E753E" w:rsidP="002E753E">
      <w:pPr>
        <w:shd w:val="clear" w:color="auto" w:fill="E6E6E1" w:themeFill="accent5"/>
        <w:rPr>
          <w:color w:val="00264D" w:themeColor="background2"/>
          <w:lang w:eastAsia="en-AU"/>
        </w:rPr>
      </w:pPr>
      <w:r w:rsidRPr="002E753E">
        <w:rPr>
          <w:rFonts w:eastAsia="Times New Roman"/>
          <w:b/>
          <w:color w:val="00264D" w:themeColor="background2"/>
          <w:lang w:eastAsia="en-AU"/>
        </w:rPr>
        <w:t>FNLRS has taken a highly pro-active approach to creating economic conditions that will be favourable to PBCs following determination and has attracted Victorian Government funding to assist in this.</w:t>
      </w:r>
      <w:r w:rsidRPr="002E753E">
        <w:rPr>
          <w:rFonts w:eastAsia="Times New Roman"/>
          <w:bCs/>
          <w:color w:val="00264D" w:themeColor="background2"/>
          <w:lang w:eastAsia="en-AU"/>
        </w:rPr>
        <w:t xml:space="preserve"> It has engaged with the Victorian and Commonwealth governments to develop thinking and policy options to support Indigenous businesses. It has also worked with every PBC in Victoria to provide advice and legal support on governance and business issues in order to create a viable basis for PBCs’ future functioning. There was some feedback that PBCs would appreciate further support, but understand that FNLRS has to operate within its budget limitations.</w:t>
      </w:r>
    </w:p>
    <w:p w14:paraId="606E52ED" w14:textId="2256867C" w:rsidR="00F00DA4" w:rsidRPr="00EC4473" w:rsidRDefault="0084761C" w:rsidP="00EC4473">
      <w:pPr>
        <w:rPr>
          <w:b/>
          <w:bCs/>
          <w:i/>
          <w:iCs/>
          <w:color w:val="00264D" w:themeColor="background2"/>
        </w:rPr>
      </w:pPr>
      <w:r w:rsidRPr="00EC4473">
        <w:rPr>
          <w:b/>
          <w:bCs/>
          <w:i/>
          <w:iCs/>
          <w:color w:val="00264D" w:themeColor="background2"/>
        </w:rPr>
        <w:t>No r</w:t>
      </w:r>
      <w:r w:rsidR="00F00DA4" w:rsidRPr="00EC4473">
        <w:rPr>
          <w:b/>
          <w:bCs/>
          <w:i/>
          <w:iCs/>
          <w:color w:val="00264D" w:themeColor="background2"/>
        </w:rPr>
        <w:t>ecommendations</w:t>
      </w:r>
      <w:r w:rsidR="00321398" w:rsidRPr="00EC4473">
        <w:rPr>
          <w:b/>
          <w:bCs/>
          <w:i/>
          <w:iCs/>
          <w:color w:val="00264D" w:themeColor="background2"/>
        </w:rPr>
        <w:t xml:space="preserve"> </w:t>
      </w:r>
      <w:r w:rsidRPr="00EC4473">
        <w:rPr>
          <w:b/>
          <w:bCs/>
          <w:i/>
          <w:iCs/>
          <w:color w:val="00264D" w:themeColor="background2"/>
        </w:rPr>
        <w:t xml:space="preserve">were made </w:t>
      </w:r>
      <w:r w:rsidR="00321398" w:rsidRPr="00EC4473">
        <w:rPr>
          <w:b/>
          <w:bCs/>
          <w:i/>
          <w:iCs/>
          <w:color w:val="00264D" w:themeColor="background2"/>
        </w:rPr>
        <w:t>for TOR 5</w:t>
      </w:r>
      <w:r w:rsidRPr="00EC4473">
        <w:rPr>
          <w:b/>
          <w:bCs/>
          <w:i/>
          <w:iCs/>
          <w:color w:val="00264D" w:themeColor="background2"/>
        </w:rPr>
        <w:t>.</w:t>
      </w:r>
    </w:p>
    <w:p w14:paraId="177CC658" w14:textId="77777777" w:rsidR="003E2442" w:rsidRDefault="003E2442">
      <w:pPr>
        <w:spacing w:after="160" w:line="259" w:lineRule="auto"/>
        <w:rPr>
          <w:rFonts w:ascii="Segoe UI Semibold" w:eastAsia="Times New Roman" w:hAnsi="Segoe UI Semibold" w:cs="Times New Roman"/>
          <w:color w:val="00264D" w:themeColor="background2"/>
          <w:sz w:val="22"/>
          <w:lang w:eastAsia="en-AU"/>
        </w:rPr>
      </w:pPr>
      <w:bookmarkStart w:id="106" w:name="_Toc501895348"/>
      <w:bookmarkStart w:id="107" w:name="_Toc502839784"/>
      <w:bookmarkStart w:id="108" w:name="_Toc502843260"/>
      <w:bookmarkStart w:id="109" w:name="_Toc502847623"/>
      <w:bookmarkStart w:id="110" w:name="_Toc502850767"/>
      <w:bookmarkStart w:id="111" w:name="_Toc502855199"/>
      <w:bookmarkStart w:id="112" w:name="_Toc503117098"/>
      <w:bookmarkStart w:id="113" w:name="_Toc505259175"/>
      <w:bookmarkStart w:id="114" w:name="_Toc505256242"/>
      <w:bookmarkStart w:id="115" w:name="_Toc505618285"/>
      <w:r>
        <w:rPr>
          <w:sz w:val="22"/>
        </w:rPr>
        <w:br w:type="page"/>
      </w:r>
    </w:p>
    <w:p w14:paraId="1581AAB1" w14:textId="5A76B7FA" w:rsidR="00EB1298" w:rsidRDefault="002E4BA7" w:rsidP="007C10DC">
      <w:pPr>
        <w:pStyle w:val="Heading2"/>
      </w:pPr>
      <w:r w:rsidRPr="0084761C">
        <w:lastRenderedPageBreak/>
        <w:t xml:space="preserve">TOR 6 | </w:t>
      </w:r>
      <w:r w:rsidR="00EB1298" w:rsidRPr="0084761C">
        <w:t>Review and assess the adequacy of each organisation’s strategic planning for a post determination environment.</w:t>
      </w:r>
      <w:bookmarkEnd w:id="106"/>
      <w:bookmarkEnd w:id="107"/>
      <w:bookmarkEnd w:id="108"/>
      <w:bookmarkEnd w:id="109"/>
      <w:bookmarkEnd w:id="110"/>
      <w:bookmarkEnd w:id="111"/>
      <w:bookmarkEnd w:id="112"/>
      <w:bookmarkEnd w:id="113"/>
      <w:bookmarkEnd w:id="114"/>
      <w:bookmarkEnd w:id="115"/>
    </w:p>
    <w:p w14:paraId="7584D34D" w14:textId="77777777" w:rsidR="00F00DA4" w:rsidRDefault="00F00DA4" w:rsidP="00F00DA4">
      <w:pPr>
        <w:rPr>
          <w:lang w:eastAsia="en-AU"/>
        </w:rPr>
      </w:pPr>
    </w:p>
    <w:p w14:paraId="5024E117" w14:textId="77777777" w:rsidR="002E753E" w:rsidRPr="002E753E" w:rsidRDefault="002E753E" w:rsidP="002E753E">
      <w:pPr>
        <w:shd w:val="clear" w:color="auto" w:fill="E6E6E1" w:themeFill="accent5"/>
        <w:spacing w:line="259" w:lineRule="auto"/>
        <w:rPr>
          <w:b/>
          <w:color w:val="00264D" w:themeColor="background2"/>
        </w:rPr>
      </w:pPr>
      <w:r w:rsidRPr="002E753E">
        <w:rPr>
          <w:b/>
          <w:bCs/>
          <w:color w:val="00264D" w:themeColor="background2"/>
        </w:rPr>
        <w:t xml:space="preserve">Despite difficulty with lack of cohesion in claim groups and the Victorian Government’s process for accepting claims, FNLRS is progressing well towards a post-determination environment. </w:t>
      </w:r>
      <w:r w:rsidRPr="002E753E">
        <w:rPr>
          <w:color w:val="00264D" w:themeColor="background2"/>
        </w:rPr>
        <w:t xml:space="preserve">Given current progress with active claims and the remaining claims in the pipeline the Review believes it is reasonable to suppose that determinations will be complete by 2022. FVTOC, the sole owner of FNLRS, has recognised this and has developed a new corporate group structure that emphasises the need to develop economic enterprise to support the aspirations of Traditional Owners in Victoria. This will assist in ensuring that FNLRS will be able to continue operating without the funding provided by the Commonwealth for its </w:t>
      </w:r>
      <w:r w:rsidRPr="002E753E">
        <w:rPr>
          <w:iCs/>
          <w:color w:val="00264D" w:themeColor="background2"/>
        </w:rPr>
        <w:t>NTA</w:t>
      </w:r>
      <w:r w:rsidRPr="002E753E">
        <w:rPr>
          <w:color w:val="00264D" w:themeColor="background2"/>
        </w:rPr>
        <w:t xml:space="preserve"> functions.</w:t>
      </w:r>
    </w:p>
    <w:p w14:paraId="12793CF9" w14:textId="31DC17E2" w:rsidR="002E753E" w:rsidRPr="002E753E" w:rsidRDefault="002E753E" w:rsidP="002E753E">
      <w:pPr>
        <w:shd w:val="clear" w:color="auto" w:fill="E6E6E1" w:themeFill="accent5"/>
        <w:rPr>
          <w:color w:val="00264D" w:themeColor="background2"/>
          <w:lang w:eastAsia="en-AU"/>
        </w:rPr>
      </w:pPr>
      <w:r w:rsidRPr="002E753E">
        <w:rPr>
          <w:color w:val="00264D" w:themeColor="background2"/>
        </w:rPr>
        <w:t>These developments are informed and supported by strong monitoring and strategic planning capability.</w:t>
      </w:r>
    </w:p>
    <w:p w14:paraId="3AE70BB1" w14:textId="6DBE59A1" w:rsidR="0084761C" w:rsidRPr="00EC4473" w:rsidRDefault="0084761C" w:rsidP="00EC4473">
      <w:pPr>
        <w:rPr>
          <w:b/>
          <w:bCs/>
          <w:i/>
          <w:iCs/>
          <w:color w:val="00264D" w:themeColor="background2"/>
        </w:rPr>
      </w:pPr>
      <w:r w:rsidRPr="00EC4473">
        <w:rPr>
          <w:b/>
          <w:bCs/>
          <w:i/>
          <w:iCs/>
          <w:color w:val="00264D" w:themeColor="background2"/>
        </w:rPr>
        <w:t>No recommendations were made for TOR 6.</w:t>
      </w:r>
    </w:p>
    <w:p w14:paraId="3A816728" w14:textId="115F3224" w:rsidR="000A6B36" w:rsidRDefault="000A6B36" w:rsidP="000A6B36">
      <w:pPr>
        <w:rPr>
          <w:lang w:eastAsia="en-AU"/>
        </w:rPr>
      </w:pPr>
    </w:p>
    <w:p w14:paraId="4D4C98CE" w14:textId="77777777" w:rsidR="000A6B36" w:rsidRPr="000A6B36" w:rsidRDefault="000A6B36" w:rsidP="000A6B36">
      <w:pPr>
        <w:rPr>
          <w:lang w:eastAsia="en-AU"/>
        </w:rPr>
      </w:pPr>
    </w:p>
    <w:p w14:paraId="62197B13" w14:textId="77777777" w:rsidR="00525012" w:rsidRDefault="00525012" w:rsidP="00525012">
      <w:pPr>
        <w:pStyle w:val="xAppendixLevel1"/>
      </w:pPr>
      <w:bookmarkStart w:id="116" w:name="_Ref500494833"/>
      <w:bookmarkStart w:id="117" w:name="_Toc502668024"/>
      <w:bookmarkStart w:id="118" w:name="_Toc502839785"/>
      <w:bookmarkStart w:id="119" w:name="_Toc502843261"/>
      <w:bookmarkStart w:id="120" w:name="_Toc502847624"/>
      <w:bookmarkStart w:id="121" w:name="_Toc502850768"/>
      <w:bookmarkStart w:id="122" w:name="_Toc502855200"/>
      <w:bookmarkStart w:id="123" w:name="_Toc503117099"/>
      <w:bookmarkStart w:id="124" w:name="_Toc505259176"/>
      <w:bookmarkStart w:id="125" w:name="_Toc505256243"/>
      <w:bookmarkStart w:id="126" w:name="_Toc505618286"/>
      <w:bookmarkStart w:id="127" w:name="_Toc68070602"/>
      <w:r w:rsidRPr="00584514">
        <w:lastRenderedPageBreak/>
        <w:t>Terms of Reference</w:t>
      </w:r>
      <w:bookmarkEnd w:id="116"/>
      <w:bookmarkEnd w:id="117"/>
      <w:bookmarkEnd w:id="118"/>
      <w:bookmarkEnd w:id="119"/>
      <w:bookmarkEnd w:id="120"/>
      <w:bookmarkEnd w:id="121"/>
      <w:bookmarkEnd w:id="122"/>
      <w:bookmarkEnd w:id="123"/>
      <w:bookmarkEnd w:id="124"/>
      <w:bookmarkEnd w:id="125"/>
      <w:bookmarkEnd w:id="126"/>
      <w:bookmarkEnd w:id="127"/>
    </w:p>
    <w:p w14:paraId="06936EEF" w14:textId="77777777" w:rsidR="00525012" w:rsidRDefault="00525012" w:rsidP="009F248D">
      <w:pPr>
        <w:pStyle w:val="Listnumbered"/>
        <w:numPr>
          <w:ilvl w:val="0"/>
          <w:numId w:val="9"/>
        </w:numPr>
        <w:shd w:val="clear" w:color="auto" w:fill="FDEAD1" w:themeFill="accent3" w:themeFillTint="33"/>
        <w:spacing w:after="165" w:line="259" w:lineRule="auto"/>
        <w:rPr>
          <w:lang w:eastAsia="en-AU"/>
        </w:rPr>
      </w:pPr>
      <w:r>
        <w:rPr>
          <w:lang w:eastAsia="en-AU"/>
        </w:rPr>
        <w:t xml:space="preserve">Review and assess each organisations’ efficiency and effectiveness in performing the functions of a native title representative body over the past 3 years (with the main focus on recent performance) including: </w:t>
      </w:r>
    </w:p>
    <w:p w14:paraId="611370EF" w14:textId="77777777" w:rsidR="00525012" w:rsidRDefault="00525012" w:rsidP="00525012">
      <w:pPr>
        <w:pStyle w:val="Bullet"/>
        <w:numPr>
          <w:ilvl w:val="0"/>
          <w:numId w:val="6"/>
        </w:numPr>
        <w:shd w:val="clear" w:color="auto" w:fill="FDEAD1" w:themeFill="accent3" w:themeFillTint="33"/>
        <w:spacing w:after="165" w:line="259" w:lineRule="auto"/>
      </w:pPr>
      <w:r>
        <w:t xml:space="preserve">Native title claim outcomes achieved for clients. </w:t>
      </w:r>
    </w:p>
    <w:p w14:paraId="41E05DCF" w14:textId="77777777" w:rsidR="00525012" w:rsidRDefault="00525012" w:rsidP="00525012">
      <w:pPr>
        <w:pStyle w:val="Bullet"/>
        <w:numPr>
          <w:ilvl w:val="0"/>
          <w:numId w:val="6"/>
        </w:numPr>
        <w:shd w:val="clear" w:color="auto" w:fill="FDEAD1" w:themeFill="accent3" w:themeFillTint="33"/>
        <w:spacing w:after="165" w:line="259" w:lineRule="auto"/>
      </w:pPr>
      <w:r>
        <w:t xml:space="preserve">Whether the organisation’s assessment and prioritisation of applications are equitable, transparent and robust. </w:t>
      </w:r>
    </w:p>
    <w:p w14:paraId="577BB7FF" w14:textId="77777777" w:rsidR="00525012" w:rsidRDefault="00525012" w:rsidP="00525012">
      <w:pPr>
        <w:pStyle w:val="Bullet"/>
        <w:numPr>
          <w:ilvl w:val="0"/>
          <w:numId w:val="6"/>
        </w:numPr>
        <w:shd w:val="clear" w:color="auto" w:fill="FDEAD1" w:themeFill="accent3" w:themeFillTint="33"/>
        <w:spacing w:after="165" w:line="259" w:lineRule="auto"/>
      </w:pPr>
      <w:r>
        <w:t xml:space="preserve">Whether the organisation deals respectfully, equitably, transparently and in a culturally appropriate manner with clients, persons seeking assistance, and persons refused assistance.    </w:t>
      </w:r>
    </w:p>
    <w:p w14:paraId="404E9DC2"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 xml:space="preserve">Review and assess each organisation’s cost effectiveness in performing the functions of a native title representative body, including the key cost drivers for each organisation. </w:t>
      </w:r>
    </w:p>
    <w:p w14:paraId="2306F970" w14:textId="4B9A5A52" w:rsidR="00525012" w:rsidRDefault="00525012" w:rsidP="00525012">
      <w:pPr>
        <w:pStyle w:val="Listnumbered"/>
        <w:shd w:val="clear" w:color="auto" w:fill="FDEAD1" w:themeFill="accent3" w:themeFillTint="33"/>
        <w:spacing w:after="165" w:line="259" w:lineRule="auto"/>
        <w:rPr>
          <w:lang w:eastAsia="en-AU"/>
        </w:rPr>
      </w:pPr>
      <w:r>
        <w:rPr>
          <w:lang w:eastAsia="en-AU"/>
        </w:rPr>
        <w:t xml:space="preserve">Review and assess each organisation’s strategies for driving and tracking its achievement against key performance indicators in its funding agreement with </w:t>
      </w:r>
      <w:r w:rsidR="002C3710">
        <w:rPr>
          <w:lang w:eastAsia="en-AU"/>
        </w:rPr>
        <w:t>the NIAA</w:t>
      </w:r>
      <w:r>
        <w:rPr>
          <w:lang w:eastAsia="en-AU"/>
        </w:rPr>
        <w:t xml:space="preserve">. </w:t>
      </w:r>
    </w:p>
    <w:p w14:paraId="5D9C0EFC"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Review and assess the extent to which each organisation’s governance structures and organisational policies and practices support efficient and effective project delivery including:</w:t>
      </w:r>
    </w:p>
    <w:p w14:paraId="46F7B675" w14:textId="77777777" w:rsidR="00525012" w:rsidRDefault="00525012" w:rsidP="00525012">
      <w:pPr>
        <w:pStyle w:val="Bullet"/>
        <w:numPr>
          <w:ilvl w:val="0"/>
          <w:numId w:val="6"/>
        </w:numPr>
        <w:shd w:val="clear" w:color="auto" w:fill="FDEAD1" w:themeFill="accent3" w:themeFillTint="33"/>
        <w:spacing w:after="165" w:line="259" w:lineRule="auto"/>
      </w:pPr>
      <w:r>
        <w:t xml:space="preserve">The breakdown of responsibilities between the organisation’s Board, Chairperson, Chief Executive Officer and senior staff. </w:t>
      </w:r>
    </w:p>
    <w:p w14:paraId="281F8956" w14:textId="77777777" w:rsidR="00525012" w:rsidRDefault="00525012" w:rsidP="00525012">
      <w:pPr>
        <w:pStyle w:val="Bullet"/>
        <w:numPr>
          <w:ilvl w:val="0"/>
          <w:numId w:val="6"/>
        </w:numPr>
        <w:shd w:val="clear" w:color="auto" w:fill="FDEAD1" w:themeFill="accent3" w:themeFillTint="33"/>
        <w:spacing w:after="165" w:line="259" w:lineRule="auto"/>
      </w:pPr>
      <w:r>
        <w:t>Its financial management.</w:t>
      </w:r>
    </w:p>
    <w:p w14:paraId="5CE4721F" w14:textId="77777777" w:rsidR="00525012" w:rsidRDefault="00525012" w:rsidP="00525012">
      <w:pPr>
        <w:pStyle w:val="Bullet"/>
        <w:numPr>
          <w:ilvl w:val="0"/>
          <w:numId w:val="6"/>
        </w:numPr>
        <w:shd w:val="clear" w:color="auto" w:fill="FDEAD1" w:themeFill="accent3" w:themeFillTint="33"/>
        <w:spacing w:after="165" w:line="259" w:lineRule="auto"/>
      </w:pPr>
      <w:r>
        <w:t xml:space="preserve">The standard to which it manages and resolves any conflicts of interest. </w:t>
      </w:r>
    </w:p>
    <w:p w14:paraId="42FAECD9" w14:textId="77777777" w:rsidR="00525012" w:rsidRDefault="00525012" w:rsidP="00525012">
      <w:pPr>
        <w:pStyle w:val="Bullet"/>
        <w:numPr>
          <w:ilvl w:val="0"/>
          <w:numId w:val="6"/>
        </w:numPr>
        <w:shd w:val="clear" w:color="auto" w:fill="FDEAD1" w:themeFill="accent3" w:themeFillTint="33"/>
        <w:spacing w:after="165" w:line="259" w:lineRule="auto"/>
      </w:pPr>
      <w:r>
        <w:t xml:space="preserve">The standard to which it manages and resolves any complaints. </w:t>
      </w:r>
    </w:p>
    <w:p w14:paraId="2F5D15A7"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Review and assess each organisation’s strategies for and progress in developing self-sufficient Prescribed Bodies Corporate (PBCs), so PBCs have appropriate capacity and capability to manage their own responsibilities and aspirations.</w:t>
      </w:r>
    </w:p>
    <w:p w14:paraId="211472D3"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 xml:space="preserve">Review and assess the adequacy of each organisation’s strategic planning for a post determination environment. </w:t>
      </w:r>
    </w:p>
    <w:p w14:paraId="2885C33F" w14:textId="42C71084" w:rsidR="00525012" w:rsidRDefault="00525012" w:rsidP="00525012">
      <w:pPr>
        <w:pStyle w:val="Listnumbered"/>
        <w:shd w:val="clear" w:color="auto" w:fill="F2F2F2" w:themeFill="background1" w:themeFillShade="F2"/>
        <w:spacing w:after="165" w:line="259" w:lineRule="auto"/>
        <w:rPr>
          <w:lang w:eastAsia="en-AU"/>
        </w:rPr>
      </w:pPr>
      <w:r>
        <w:rPr>
          <w:lang w:eastAsia="en-AU"/>
        </w:rPr>
        <w:t xml:space="preserve">Examine and report on other relevant issues as identified by </w:t>
      </w:r>
      <w:r w:rsidR="002C3710">
        <w:rPr>
          <w:lang w:eastAsia="en-AU"/>
        </w:rPr>
        <w:t>the NIAA</w:t>
      </w:r>
      <w:r w:rsidR="009515AD">
        <w:rPr>
          <w:lang w:eastAsia="en-AU"/>
        </w:rPr>
        <w:t xml:space="preserve"> </w:t>
      </w:r>
      <w:r>
        <w:rPr>
          <w:lang w:eastAsia="en-AU"/>
        </w:rPr>
        <w:t>or in the course of the review, which may be specific to particular organisations.</w:t>
      </w:r>
    </w:p>
    <w:p w14:paraId="2EA02360" w14:textId="77777777" w:rsidR="00525012" w:rsidRDefault="00525012" w:rsidP="00525012">
      <w:pPr>
        <w:pStyle w:val="Listnumbered"/>
        <w:shd w:val="clear" w:color="auto" w:fill="F2F2F2" w:themeFill="background1" w:themeFillShade="F2"/>
        <w:spacing w:after="165" w:line="259" w:lineRule="auto"/>
        <w:rPr>
          <w:lang w:eastAsia="en-AU"/>
        </w:rPr>
      </w:pPr>
      <w:r>
        <w:rPr>
          <w:lang w:eastAsia="en-AU"/>
        </w:rPr>
        <w:t xml:space="preserve">Develop a meaningful set of benchmarks to assess individual and comparative efficiency and effectiveness of organisations. </w:t>
      </w:r>
    </w:p>
    <w:p w14:paraId="5079EB65" w14:textId="79F6C966" w:rsidR="00525012" w:rsidRDefault="00525012" w:rsidP="00525012">
      <w:pPr>
        <w:pStyle w:val="Listnumbered"/>
        <w:shd w:val="clear" w:color="auto" w:fill="F2F2F2" w:themeFill="background1" w:themeFillShade="F2"/>
        <w:spacing w:after="165" w:line="259" w:lineRule="auto"/>
        <w:rPr>
          <w:lang w:eastAsia="en-AU"/>
        </w:rPr>
      </w:pPr>
      <w:r>
        <w:rPr>
          <w:lang w:eastAsia="en-AU"/>
        </w:rPr>
        <w:t xml:space="preserve">Provide written draft and final reports to </w:t>
      </w:r>
      <w:r w:rsidR="002C3710">
        <w:rPr>
          <w:lang w:eastAsia="en-AU"/>
        </w:rPr>
        <w:t>the NIAA</w:t>
      </w:r>
      <w:r w:rsidR="009515AD">
        <w:rPr>
          <w:lang w:eastAsia="en-AU"/>
        </w:rPr>
        <w:t xml:space="preserve"> </w:t>
      </w:r>
      <w:r>
        <w:rPr>
          <w:lang w:eastAsia="en-AU"/>
        </w:rPr>
        <w:t>on the work undertaken for each review and the review findings, making recommendations on what changes, if any, each organisation could make to improve its efficiency and effectiveness. There will be an overarching comparative report and five individual reports.</w:t>
      </w:r>
    </w:p>
    <w:p w14:paraId="70487381" w14:textId="77777777" w:rsidR="00525012" w:rsidRPr="006B7B98" w:rsidRDefault="00525012" w:rsidP="00525012">
      <w:pPr>
        <w:rPr>
          <w:lang w:eastAsia="en-AU"/>
        </w:rPr>
      </w:pPr>
    </w:p>
    <w:p w14:paraId="641692F5" w14:textId="77777777" w:rsidR="00D06FCE" w:rsidRDefault="00D06FCE" w:rsidP="00D06FCE">
      <w:pPr>
        <w:pStyle w:val="xAppendixLevel1"/>
      </w:pPr>
      <w:bookmarkStart w:id="128" w:name="_Ref37158240"/>
      <w:bookmarkStart w:id="129" w:name="_Toc68070603"/>
      <w:bookmarkStart w:id="130" w:name="_Toc501799420"/>
      <w:bookmarkStart w:id="131" w:name="_Ref502723599"/>
      <w:bookmarkStart w:id="132" w:name="_Toc502839786"/>
      <w:bookmarkStart w:id="133" w:name="_Toc502843262"/>
      <w:bookmarkStart w:id="134" w:name="_Toc502847625"/>
      <w:bookmarkStart w:id="135" w:name="_Toc502850769"/>
      <w:bookmarkStart w:id="136" w:name="_Toc502855201"/>
      <w:bookmarkStart w:id="137" w:name="_Toc503117100"/>
      <w:bookmarkStart w:id="138" w:name="_Toc505259177"/>
      <w:bookmarkStart w:id="139" w:name="_Toc505256244"/>
      <w:bookmarkStart w:id="140" w:name="_Toc505618287"/>
      <w:bookmarkStart w:id="141" w:name="_Ref500494866"/>
      <w:bookmarkStart w:id="142" w:name="_Toc502668025"/>
      <w:bookmarkStart w:id="143" w:name="_Ref495407339"/>
      <w:r>
        <w:lastRenderedPageBreak/>
        <w:t>NTRB-SPs under review</w:t>
      </w:r>
      <w:bookmarkEnd w:id="128"/>
      <w:bookmarkEnd w:id="129"/>
    </w:p>
    <w:p w14:paraId="0B5D988E" w14:textId="609C7610" w:rsidR="00E01E56" w:rsidRDefault="009E01DA" w:rsidP="00E01E56">
      <w:pPr>
        <w:spacing w:after="0"/>
        <w:rPr>
          <w:lang w:eastAsia="en-AU"/>
        </w:rPr>
      </w:pPr>
      <w:bookmarkStart w:id="144" w:name="_Ref37158262"/>
      <w:bookmarkStart w:id="145" w:name="_Ref37158047"/>
      <w:r>
        <w:rPr>
          <w:lang w:eastAsia="en-AU"/>
        </w:rPr>
        <w:t>A total of 1</w:t>
      </w:r>
      <w:r w:rsidR="002A1E2F">
        <w:rPr>
          <w:lang w:eastAsia="en-AU"/>
        </w:rPr>
        <w:t>4</w:t>
      </w:r>
      <w:r w:rsidR="00E01E56">
        <w:rPr>
          <w:lang w:eastAsia="en-AU"/>
        </w:rPr>
        <w:t xml:space="preserve"> Native Title Representative Bodies and Service Providers (NTRB-SPs) were reviewed in three tranches using the same methodology and approach. For each Review tranche, a three-year period was in scope for the </w:t>
      </w:r>
      <w:r w:rsidR="000408A6">
        <w:rPr>
          <w:lang w:eastAsia="en-AU"/>
        </w:rPr>
        <w:t>R</w:t>
      </w:r>
      <w:r w:rsidR="00E01E56">
        <w:rPr>
          <w:lang w:eastAsia="en-AU"/>
        </w:rPr>
        <w:t xml:space="preserve">eview – as presented in </w:t>
      </w:r>
      <w:r w:rsidR="00E01E56">
        <w:rPr>
          <w:lang w:eastAsia="en-AU"/>
        </w:rPr>
        <w:fldChar w:fldCharType="begin" w:fldLock="1"/>
      </w:r>
      <w:r w:rsidR="00E01E56">
        <w:rPr>
          <w:lang w:eastAsia="en-AU"/>
        </w:rPr>
        <w:instrText xml:space="preserve"> REF _Ref37790230 \h </w:instrText>
      </w:r>
      <w:r w:rsidR="00E01E56">
        <w:rPr>
          <w:lang w:eastAsia="en-AU"/>
        </w:rPr>
      </w:r>
      <w:r w:rsidR="00E01E56">
        <w:rPr>
          <w:lang w:eastAsia="en-AU"/>
        </w:rPr>
        <w:fldChar w:fldCharType="separate"/>
      </w:r>
      <w:r w:rsidR="006F430C" w:rsidRPr="00BB1AA6">
        <w:t xml:space="preserve">Table </w:t>
      </w:r>
      <w:r w:rsidR="006F430C">
        <w:rPr>
          <w:noProof/>
        </w:rPr>
        <w:t>1</w:t>
      </w:r>
      <w:r w:rsidR="00E01E56">
        <w:rPr>
          <w:lang w:eastAsia="en-AU"/>
        </w:rPr>
        <w:fldChar w:fldCharType="end"/>
      </w:r>
      <w:r w:rsidR="00E01E56">
        <w:rPr>
          <w:lang w:eastAsia="en-AU"/>
        </w:rPr>
        <w:t xml:space="preserve">. The efficiency and effectiveness of each NTRB-SP was assessed and a performance report was prepared for each. </w:t>
      </w:r>
    </w:p>
    <w:p w14:paraId="20B2346A" w14:textId="066BE16C" w:rsidR="00E01E56" w:rsidRPr="00BB1AA6" w:rsidRDefault="00E01E56" w:rsidP="00E01E56">
      <w:pPr>
        <w:pStyle w:val="Caption"/>
        <w:keepNext/>
      </w:pPr>
      <w:bookmarkStart w:id="146" w:name="_Ref37790230"/>
      <w:r w:rsidRPr="00BB1AA6">
        <w:t xml:space="preserve">Table </w:t>
      </w:r>
      <w:r w:rsidRPr="00BB1AA6">
        <w:fldChar w:fldCharType="begin"/>
      </w:r>
      <w:r w:rsidRPr="00BB1AA6">
        <w:instrText xml:space="preserve"> SEQ Table \* ARABIC </w:instrText>
      </w:r>
      <w:r w:rsidRPr="00BB1AA6">
        <w:fldChar w:fldCharType="separate"/>
      </w:r>
      <w:r w:rsidR="00E13460">
        <w:rPr>
          <w:noProof/>
        </w:rPr>
        <w:t>1</w:t>
      </w:r>
      <w:r w:rsidRPr="00BB1AA6">
        <w:fldChar w:fldCharType="end"/>
      </w:r>
      <w:bookmarkEnd w:id="146"/>
      <w:r w:rsidRPr="00BB1AA6">
        <w:t xml:space="preserve"> | </w:t>
      </w:r>
      <w:r>
        <w:t>NTRB-SPs review tranches</w:t>
      </w:r>
    </w:p>
    <w:tbl>
      <w:tblPr>
        <w:tblStyle w:val="TableGrid"/>
        <w:tblW w:w="8931" w:type="dxa"/>
        <w:tblLook w:val="04A0" w:firstRow="1" w:lastRow="0" w:firstColumn="1" w:lastColumn="0" w:noHBand="0" w:noVBand="1"/>
      </w:tblPr>
      <w:tblGrid>
        <w:gridCol w:w="993"/>
        <w:gridCol w:w="3685"/>
        <w:gridCol w:w="1843"/>
        <w:gridCol w:w="2410"/>
      </w:tblGrid>
      <w:tr w:rsidR="00E01E56" w:rsidRPr="00BB1AA6" w14:paraId="4A2C1906" w14:textId="77777777" w:rsidTr="00C26D69">
        <w:trPr>
          <w:cnfStyle w:val="100000000000" w:firstRow="1" w:lastRow="0" w:firstColumn="0" w:lastColumn="0" w:oddVBand="0" w:evenVBand="0" w:oddHBand="0" w:evenHBand="0" w:firstRowFirstColumn="0" w:firstRowLastColumn="0" w:lastRowFirstColumn="0" w:lastRowLastColumn="0"/>
        </w:trPr>
        <w:tc>
          <w:tcPr>
            <w:tcW w:w="993" w:type="dxa"/>
          </w:tcPr>
          <w:p w14:paraId="6F917C27" w14:textId="5588C305" w:rsidR="00E01E56" w:rsidRPr="0043363C" w:rsidRDefault="00E13460" w:rsidP="00C26D69">
            <w:pPr>
              <w:pStyle w:val="TableExpText"/>
              <w:rPr>
                <w:color w:val="00264D" w:themeColor="background2"/>
              </w:rPr>
            </w:pPr>
            <w:r>
              <w:rPr>
                <w:rFonts w:ascii="ZWAdobeF" w:hAnsi="ZWAdobeF" w:cs="ZWAdobeF"/>
                <w:b w:val="0"/>
                <w:sz w:val="2"/>
                <w:szCs w:val="2"/>
              </w:rPr>
              <w:t>0B</w:t>
            </w:r>
            <w:r w:rsidR="00E01E56" w:rsidRPr="0043363C">
              <w:rPr>
                <w:color w:val="00264D" w:themeColor="background2"/>
              </w:rPr>
              <w:t>Tranche</w:t>
            </w:r>
          </w:p>
        </w:tc>
        <w:tc>
          <w:tcPr>
            <w:tcW w:w="3685" w:type="dxa"/>
          </w:tcPr>
          <w:p w14:paraId="3B54E678" w14:textId="5FD6FBDA" w:rsidR="00E01E56" w:rsidRPr="0043363C" w:rsidRDefault="00E13460" w:rsidP="00C26D69">
            <w:pPr>
              <w:pStyle w:val="TableExpText"/>
              <w:rPr>
                <w:color w:val="00264D" w:themeColor="background2"/>
              </w:rPr>
            </w:pPr>
            <w:r>
              <w:rPr>
                <w:rFonts w:ascii="ZWAdobeF" w:hAnsi="ZWAdobeF" w:cs="ZWAdobeF"/>
                <w:b w:val="0"/>
                <w:sz w:val="2"/>
                <w:szCs w:val="2"/>
              </w:rPr>
              <w:t>1B</w:t>
            </w:r>
            <w:r w:rsidR="00E01E56" w:rsidRPr="0043363C">
              <w:rPr>
                <w:color w:val="00264D" w:themeColor="background2"/>
              </w:rPr>
              <w:t xml:space="preserve">NTRB-SP </w:t>
            </w:r>
          </w:p>
        </w:tc>
        <w:tc>
          <w:tcPr>
            <w:tcW w:w="1843" w:type="dxa"/>
          </w:tcPr>
          <w:p w14:paraId="431A5EA3" w14:textId="2411F454" w:rsidR="00E01E56" w:rsidRPr="0043363C" w:rsidRDefault="00E13460" w:rsidP="00C26D69">
            <w:pPr>
              <w:pStyle w:val="TableExpText"/>
              <w:rPr>
                <w:color w:val="00264D" w:themeColor="background2"/>
              </w:rPr>
            </w:pPr>
            <w:r>
              <w:rPr>
                <w:rFonts w:ascii="ZWAdobeF" w:hAnsi="ZWAdobeF" w:cs="ZWAdobeF"/>
                <w:b w:val="0"/>
                <w:sz w:val="2"/>
                <w:szCs w:val="2"/>
              </w:rPr>
              <w:t>2B</w:t>
            </w:r>
            <w:r w:rsidR="00E01E56" w:rsidRPr="0043363C">
              <w:rPr>
                <w:color w:val="00264D" w:themeColor="background2"/>
              </w:rPr>
              <w:t xml:space="preserve">Scope of </w:t>
            </w:r>
            <w:r w:rsidR="000408A6">
              <w:rPr>
                <w:color w:val="00264D" w:themeColor="background2"/>
              </w:rPr>
              <w:t>R</w:t>
            </w:r>
            <w:r w:rsidR="00E01E56" w:rsidRPr="0043363C">
              <w:rPr>
                <w:color w:val="00264D" w:themeColor="background2"/>
              </w:rPr>
              <w:t>eview</w:t>
            </w:r>
          </w:p>
        </w:tc>
        <w:tc>
          <w:tcPr>
            <w:tcW w:w="2410" w:type="dxa"/>
          </w:tcPr>
          <w:p w14:paraId="65AD7345" w14:textId="66E6171F" w:rsidR="00E01E56" w:rsidRPr="0043363C" w:rsidRDefault="00E13460" w:rsidP="00C26D69">
            <w:pPr>
              <w:pStyle w:val="TableExpText"/>
              <w:rPr>
                <w:color w:val="00264D" w:themeColor="background2"/>
              </w:rPr>
            </w:pPr>
            <w:r>
              <w:rPr>
                <w:rFonts w:ascii="ZWAdobeF" w:hAnsi="ZWAdobeF" w:cs="ZWAdobeF"/>
                <w:b w:val="0"/>
                <w:sz w:val="2"/>
                <w:szCs w:val="2"/>
              </w:rPr>
              <w:t>3B</w:t>
            </w:r>
            <w:r w:rsidR="00E01E56" w:rsidRPr="0043363C">
              <w:rPr>
                <w:color w:val="00264D" w:themeColor="background2"/>
              </w:rPr>
              <w:t xml:space="preserve">Timing </w:t>
            </w:r>
            <w:r w:rsidR="000408A6">
              <w:rPr>
                <w:color w:val="00264D" w:themeColor="background2"/>
              </w:rPr>
              <w:t>R</w:t>
            </w:r>
            <w:r w:rsidR="00E01E56" w:rsidRPr="0043363C">
              <w:rPr>
                <w:color w:val="00264D" w:themeColor="background2"/>
              </w:rPr>
              <w:t>eview conducted</w:t>
            </w:r>
          </w:p>
        </w:tc>
      </w:tr>
      <w:tr w:rsidR="00E01E56" w:rsidRPr="00BB1AA6" w14:paraId="3A641B2D" w14:textId="77777777" w:rsidTr="00C26D69">
        <w:tc>
          <w:tcPr>
            <w:tcW w:w="993" w:type="dxa"/>
            <w:vMerge w:val="restart"/>
          </w:tcPr>
          <w:p w14:paraId="18C8D7CB" w14:textId="6149CA63" w:rsidR="00E01E56" w:rsidRPr="00BB1AA6" w:rsidRDefault="00E13460" w:rsidP="00C26D69">
            <w:pPr>
              <w:pStyle w:val="TableExpText"/>
              <w:rPr>
                <w:rFonts w:cs="Segoe UI"/>
                <w:color w:val="000000" w:themeColor="text1"/>
                <w:szCs w:val="19"/>
              </w:rPr>
            </w:pPr>
            <w:r>
              <w:rPr>
                <w:rFonts w:ascii="ZWAdobeF" w:hAnsi="ZWAdobeF" w:cs="ZWAdobeF"/>
                <w:sz w:val="2"/>
                <w:szCs w:val="2"/>
              </w:rPr>
              <w:t>4B</w:t>
            </w:r>
            <w:r w:rsidR="00E01E56">
              <w:rPr>
                <w:rFonts w:cs="Segoe UI"/>
                <w:color w:val="000000" w:themeColor="text1"/>
                <w:szCs w:val="19"/>
              </w:rPr>
              <w:t>Tranche 1 (2017)</w:t>
            </w:r>
          </w:p>
        </w:tc>
        <w:tc>
          <w:tcPr>
            <w:tcW w:w="3685" w:type="dxa"/>
          </w:tcPr>
          <w:p w14:paraId="6C0B4DB3" w14:textId="5C847A04" w:rsidR="00E01E56" w:rsidRPr="00BB1AA6" w:rsidRDefault="00E13460" w:rsidP="00C26D69">
            <w:pPr>
              <w:pStyle w:val="TableExpText"/>
              <w:rPr>
                <w:rFonts w:cs="Segoe UI"/>
                <w:color w:val="000000" w:themeColor="text1"/>
                <w:szCs w:val="19"/>
                <w:lang w:val="en-US"/>
              </w:rPr>
            </w:pPr>
            <w:r>
              <w:rPr>
                <w:rFonts w:ascii="ZWAdobeF" w:hAnsi="ZWAdobeF" w:cs="ZWAdobeF"/>
                <w:sz w:val="2"/>
                <w:szCs w:val="2"/>
                <w:lang w:val="en-US"/>
              </w:rPr>
              <w:t>5B</w:t>
            </w:r>
            <w:r w:rsidR="00E01E56">
              <w:rPr>
                <w:rFonts w:cs="Segoe UI"/>
                <w:color w:val="000000" w:themeColor="text1"/>
                <w:szCs w:val="19"/>
                <w:lang w:val="en-US"/>
              </w:rPr>
              <w:t>Central Desert Native Title Services</w:t>
            </w:r>
          </w:p>
        </w:tc>
        <w:tc>
          <w:tcPr>
            <w:tcW w:w="1843" w:type="dxa"/>
            <w:vMerge w:val="restart"/>
          </w:tcPr>
          <w:p w14:paraId="08B0CCC2" w14:textId="7825C85C" w:rsidR="00E01E56" w:rsidRPr="0036670E" w:rsidRDefault="00E13460" w:rsidP="00C26D69">
            <w:pPr>
              <w:pStyle w:val="TableExpText"/>
              <w:rPr>
                <w:rFonts w:cs="Segoe UI"/>
                <w:color w:val="000000" w:themeColor="text1"/>
                <w:szCs w:val="19"/>
                <w:lang w:val="en-US"/>
              </w:rPr>
            </w:pPr>
            <w:r>
              <w:rPr>
                <w:rFonts w:ascii="ZWAdobeF" w:hAnsi="ZWAdobeF" w:cs="ZWAdobeF"/>
                <w:sz w:val="2"/>
                <w:szCs w:val="2"/>
                <w:lang w:val="en-US"/>
              </w:rPr>
              <w:t>6B</w:t>
            </w:r>
            <w:r w:rsidR="00E01E56">
              <w:rPr>
                <w:rFonts w:cs="Segoe UI"/>
                <w:color w:val="000000" w:themeColor="text1"/>
                <w:szCs w:val="19"/>
                <w:lang w:val="en-US"/>
              </w:rPr>
              <w:t xml:space="preserve">July 2014 – </w:t>
            </w:r>
            <w:r w:rsidR="00E01E56" w:rsidRPr="0036670E">
              <w:rPr>
                <w:rFonts w:cs="Segoe UI"/>
                <w:color w:val="000000" w:themeColor="text1"/>
                <w:szCs w:val="19"/>
                <w:lang w:val="en-US"/>
              </w:rPr>
              <w:t>June 2017</w:t>
            </w:r>
          </w:p>
        </w:tc>
        <w:tc>
          <w:tcPr>
            <w:tcW w:w="2410" w:type="dxa"/>
            <w:vMerge w:val="restart"/>
          </w:tcPr>
          <w:p w14:paraId="01ABE45B" w14:textId="6C97019D" w:rsidR="00E01E56" w:rsidRPr="0036670E" w:rsidRDefault="00E13460" w:rsidP="00C26D69">
            <w:pPr>
              <w:pStyle w:val="TableExpText"/>
              <w:rPr>
                <w:rFonts w:cs="Segoe UI"/>
                <w:color w:val="000000" w:themeColor="text1"/>
                <w:szCs w:val="19"/>
                <w:lang w:val="en-US"/>
              </w:rPr>
            </w:pPr>
            <w:r>
              <w:rPr>
                <w:rFonts w:ascii="ZWAdobeF" w:hAnsi="ZWAdobeF" w:cs="ZWAdobeF"/>
                <w:sz w:val="2"/>
                <w:szCs w:val="2"/>
                <w:lang w:val="en-US"/>
              </w:rPr>
              <w:t>7B</w:t>
            </w:r>
            <w:r w:rsidR="00E01E56">
              <w:rPr>
                <w:rFonts w:cs="Segoe UI"/>
                <w:color w:val="000000" w:themeColor="text1"/>
                <w:szCs w:val="19"/>
                <w:lang w:val="en-US"/>
              </w:rPr>
              <w:t xml:space="preserve">June 2017 – </w:t>
            </w:r>
            <w:r w:rsidR="00E01E56" w:rsidRPr="0036670E">
              <w:rPr>
                <w:rFonts w:cs="Segoe UI"/>
                <w:color w:val="000000" w:themeColor="text1"/>
                <w:szCs w:val="19"/>
                <w:lang w:val="en-US"/>
              </w:rPr>
              <w:t>March 2018</w:t>
            </w:r>
          </w:p>
        </w:tc>
      </w:tr>
      <w:tr w:rsidR="00E01E56" w:rsidRPr="00BB1AA6" w14:paraId="28128C44" w14:textId="77777777" w:rsidTr="00C26D69">
        <w:tc>
          <w:tcPr>
            <w:tcW w:w="993" w:type="dxa"/>
            <w:vMerge/>
          </w:tcPr>
          <w:p w14:paraId="2D7355F5" w14:textId="77777777" w:rsidR="00E01E56" w:rsidRPr="00BB1AA6" w:rsidRDefault="00E01E56" w:rsidP="00C26D69">
            <w:pPr>
              <w:pStyle w:val="TableExpText"/>
              <w:rPr>
                <w:rFonts w:cs="Segoe UI"/>
                <w:color w:val="000000" w:themeColor="text1"/>
                <w:szCs w:val="19"/>
              </w:rPr>
            </w:pPr>
          </w:p>
        </w:tc>
        <w:tc>
          <w:tcPr>
            <w:tcW w:w="3685" w:type="dxa"/>
            <w:vAlign w:val="top"/>
          </w:tcPr>
          <w:p w14:paraId="3CB562DC" w14:textId="285F56F0" w:rsidR="00E01E56" w:rsidRPr="00E01E56" w:rsidRDefault="00E13460" w:rsidP="00C26D69">
            <w:pPr>
              <w:pStyle w:val="TableExpText"/>
              <w:rPr>
                <w:rFonts w:cs="Segoe UI"/>
                <w:b/>
                <w:color w:val="000000" w:themeColor="text1"/>
                <w:szCs w:val="19"/>
              </w:rPr>
            </w:pPr>
            <w:r>
              <w:rPr>
                <w:rFonts w:ascii="ZWAdobeF" w:hAnsi="ZWAdobeF" w:cs="ZWAdobeF"/>
                <w:sz w:val="2"/>
                <w:szCs w:val="2"/>
              </w:rPr>
              <w:t>8B</w:t>
            </w:r>
            <w:r w:rsidR="00E01E56" w:rsidRPr="00E01E56">
              <w:rPr>
                <w:b/>
              </w:rPr>
              <w:t>First Nations Legal and Research Services</w:t>
            </w:r>
          </w:p>
        </w:tc>
        <w:tc>
          <w:tcPr>
            <w:tcW w:w="1843" w:type="dxa"/>
            <w:vMerge/>
          </w:tcPr>
          <w:p w14:paraId="159E5702" w14:textId="77777777" w:rsidR="00E01E56" w:rsidRPr="00BB1AA6" w:rsidRDefault="00E01E56" w:rsidP="00C26D69">
            <w:pPr>
              <w:pStyle w:val="TableExpText"/>
              <w:rPr>
                <w:rFonts w:cs="Segoe UI"/>
                <w:color w:val="000000" w:themeColor="text1"/>
                <w:szCs w:val="19"/>
              </w:rPr>
            </w:pPr>
          </w:p>
        </w:tc>
        <w:tc>
          <w:tcPr>
            <w:tcW w:w="2410" w:type="dxa"/>
            <w:vMerge/>
          </w:tcPr>
          <w:p w14:paraId="767CAD55" w14:textId="77777777" w:rsidR="00E01E56" w:rsidRPr="00BB1AA6" w:rsidRDefault="00E01E56" w:rsidP="00C26D69">
            <w:pPr>
              <w:pStyle w:val="TableExpText"/>
              <w:rPr>
                <w:rFonts w:cs="Segoe UI"/>
                <w:color w:val="000000" w:themeColor="text1"/>
                <w:szCs w:val="19"/>
              </w:rPr>
            </w:pPr>
          </w:p>
        </w:tc>
      </w:tr>
      <w:tr w:rsidR="00E01E56" w:rsidRPr="00BB1AA6" w14:paraId="67BCF592" w14:textId="77777777" w:rsidTr="00C26D69">
        <w:tc>
          <w:tcPr>
            <w:tcW w:w="993" w:type="dxa"/>
            <w:vMerge/>
          </w:tcPr>
          <w:p w14:paraId="6A9BE63D" w14:textId="77777777" w:rsidR="00E01E56" w:rsidRPr="00BB1AA6" w:rsidRDefault="00E01E56" w:rsidP="00C26D69">
            <w:pPr>
              <w:pStyle w:val="TableExpText"/>
              <w:rPr>
                <w:rFonts w:cs="Segoe UI"/>
                <w:color w:val="000000" w:themeColor="text1"/>
                <w:szCs w:val="19"/>
              </w:rPr>
            </w:pPr>
          </w:p>
        </w:tc>
        <w:tc>
          <w:tcPr>
            <w:tcW w:w="3685" w:type="dxa"/>
            <w:vAlign w:val="top"/>
          </w:tcPr>
          <w:p w14:paraId="79DCB4AF" w14:textId="66716C94" w:rsidR="00E01E56" w:rsidRPr="00BB1AA6" w:rsidRDefault="00E13460" w:rsidP="00C26D69">
            <w:pPr>
              <w:pStyle w:val="TableExpText"/>
              <w:rPr>
                <w:rFonts w:cs="Segoe UI"/>
                <w:color w:val="000000" w:themeColor="text1"/>
                <w:szCs w:val="19"/>
                <w:lang w:val="en-US"/>
              </w:rPr>
            </w:pPr>
            <w:r>
              <w:rPr>
                <w:rFonts w:ascii="ZWAdobeF" w:hAnsi="ZWAdobeF" w:cs="ZWAdobeF"/>
                <w:sz w:val="2"/>
                <w:szCs w:val="2"/>
              </w:rPr>
              <w:t>9B</w:t>
            </w:r>
            <w:r w:rsidR="00E01E56" w:rsidRPr="00AA08B3">
              <w:t>Goldfields Land and Sea Council</w:t>
            </w:r>
          </w:p>
        </w:tc>
        <w:tc>
          <w:tcPr>
            <w:tcW w:w="1843" w:type="dxa"/>
            <w:vMerge/>
          </w:tcPr>
          <w:p w14:paraId="230C8773" w14:textId="77777777" w:rsidR="00E01E56" w:rsidRPr="00BB1AA6" w:rsidRDefault="00E01E56" w:rsidP="00C26D69">
            <w:pPr>
              <w:pStyle w:val="TableExpText"/>
              <w:rPr>
                <w:rFonts w:cs="Segoe UI"/>
                <w:color w:val="000000" w:themeColor="text1"/>
                <w:szCs w:val="19"/>
                <w:lang w:val="en-US"/>
              </w:rPr>
            </w:pPr>
          </w:p>
        </w:tc>
        <w:tc>
          <w:tcPr>
            <w:tcW w:w="2410" w:type="dxa"/>
            <w:vMerge/>
          </w:tcPr>
          <w:p w14:paraId="32B51394" w14:textId="77777777" w:rsidR="00E01E56" w:rsidRPr="00BB1AA6" w:rsidRDefault="00E01E56" w:rsidP="00C26D69">
            <w:pPr>
              <w:pStyle w:val="TableExpText"/>
              <w:rPr>
                <w:rFonts w:cs="Segoe UI"/>
                <w:color w:val="000000" w:themeColor="text1"/>
                <w:szCs w:val="19"/>
                <w:lang w:val="en-US"/>
              </w:rPr>
            </w:pPr>
          </w:p>
        </w:tc>
      </w:tr>
      <w:tr w:rsidR="00E01E56" w:rsidRPr="00BB1AA6" w14:paraId="7BFEFCCC" w14:textId="77777777" w:rsidTr="00C26D69">
        <w:tc>
          <w:tcPr>
            <w:tcW w:w="993" w:type="dxa"/>
            <w:vMerge/>
          </w:tcPr>
          <w:p w14:paraId="5725D5F4" w14:textId="77777777" w:rsidR="00E01E56" w:rsidRPr="00BB1AA6" w:rsidRDefault="00E01E56" w:rsidP="00C26D69">
            <w:pPr>
              <w:pStyle w:val="TableExpText"/>
              <w:rPr>
                <w:rFonts w:cs="Segoe UI"/>
                <w:color w:val="000000" w:themeColor="text1"/>
                <w:szCs w:val="19"/>
              </w:rPr>
            </w:pPr>
          </w:p>
        </w:tc>
        <w:tc>
          <w:tcPr>
            <w:tcW w:w="3685" w:type="dxa"/>
            <w:vAlign w:val="top"/>
          </w:tcPr>
          <w:p w14:paraId="618DCB67" w14:textId="7F010D8A" w:rsidR="00E01E56" w:rsidRPr="00E01E56" w:rsidRDefault="00E13460" w:rsidP="00C26D69">
            <w:pPr>
              <w:pStyle w:val="TableExpText"/>
              <w:rPr>
                <w:rFonts w:cs="Segoe UI"/>
                <w:bCs/>
                <w:color w:val="000000" w:themeColor="text1"/>
                <w:szCs w:val="19"/>
                <w:lang w:val="en-US"/>
              </w:rPr>
            </w:pPr>
            <w:r>
              <w:rPr>
                <w:rFonts w:ascii="ZWAdobeF" w:hAnsi="ZWAdobeF" w:cs="ZWAdobeF"/>
                <w:bCs/>
                <w:sz w:val="2"/>
                <w:szCs w:val="2"/>
              </w:rPr>
              <w:t>10B</w:t>
            </w:r>
            <w:r w:rsidR="00E01E56" w:rsidRPr="00E01E56">
              <w:rPr>
                <w:bCs/>
              </w:rPr>
              <w:t>Native Title Services Corporation</w:t>
            </w:r>
          </w:p>
        </w:tc>
        <w:tc>
          <w:tcPr>
            <w:tcW w:w="1843" w:type="dxa"/>
            <w:vMerge/>
          </w:tcPr>
          <w:p w14:paraId="17C11F7D" w14:textId="77777777" w:rsidR="00E01E56" w:rsidRPr="00BB1AA6" w:rsidRDefault="00E01E56" w:rsidP="00C26D69">
            <w:pPr>
              <w:pStyle w:val="TableExpText"/>
              <w:rPr>
                <w:rFonts w:cs="Segoe UI"/>
                <w:color w:val="000000" w:themeColor="text1"/>
                <w:szCs w:val="19"/>
                <w:lang w:val="en-US"/>
              </w:rPr>
            </w:pPr>
          </w:p>
        </w:tc>
        <w:tc>
          <w:tcPr>
            <w:tcW w:w="2410" w:type="dxa"/>
            <w:vMerge/>
          </w:tcPr>
          <w:p w14:paraId="66E1B58E" w14:textId="77777777" w:rsidR="00E01E56" w:rsidRPr="00BB1AA6" w:rsidRDefault="00E01E56" w:rsidP="00C26D69">
            <w:pPr>
              <w:pStyle w:val="TableExpText"/>
              <w:rPr>
                <w:rFonts w:cs="Segoe UI"/>
                <w:color w:val="000000" w:themeColor="text1"/>
                <w:szCs w:val="19"/>
                <w:lang w:val="en-US"/>
              </w:rPr>
            </w:pPr>
          </w:p>
        </w:tc>
      </w:tr>
      <w:tr w:rsidR="00E01E56" w:rsidRPr="00BB1AA6" w14:paraId="7F0D6E9B" w14:textId="77777777" w:rsidTr="00C26D69">
        <w:tc>
          <w:tcPr>
            <w:tcW w:w="993" w:type="dxa"/>
            <w:vMerge/>
          </w:tcPr>
          <w:p w14:paraId="003513C0" w14:textId="77777777" w:rsidR="00E01E56" w:rsidRPr="00BB1AA6" w:rsidRDefault="00E01E56" w:rsidP="00C26D69">
            <w:pPr>
              <w:pStyle w:val="TableExpText"/>
              <w:rPr>
                <w:rFonts w:cs="Segoe UI"/>
                <w:color w:val="000000" w:themeColor="text1"/>
                <w:szCs w:val="19"/>
              </w:rPr>
            </w:pPr>
          </w:p>
        </w:tc>
        <w:tc>
          <w:tcPr>
            <w:tcW w:w="3685" w:type="dxa"/>
            <w:vAlign w:val="top"/>
          </w:tcPr>
          <w:p w14:paraId="0F43671F" w14:textId="5CDF565D" w:rsidR="00E01E56" w:rsidRPr="00131D1D" w:rsidRDefault="00E13460" w:rsidP="00C26D69">
            <w:pPr>
              <w:pStyle w:val="TableExpText"/>
              <w:rPr>
                <w:rFonts w:cs="Segoe UI"/>
                <w:color w:val="000000" w:themeColor="text1"/>
                <w:szCs w:val="19"/>
                <w:lang w:val="en-US"/>
              </w:rPr>
            </w:pPr>
            <w:r>
              <w:rPr>
                <w:rFonts w:ascii="ZWAdobeF" w:hAnsi="ZWAdobeF" w:cs="ZWAdobeF"/>
                <w:sz w:val="2"/>
                <w:szCs w:val="2"/>
              </w:rPr>
              <w:t>11B</w:t>
            </w:r>
            <w:r w:rsidR="00E01E56" w:rsidRPr="00131D1D">
              <w:t>Queensland South Native Title Services</w:t>
            </w:r>
          </w:p>
        </w:tc>
        <w:tc>
          <w:tcPr>
            <w:tcW w:w="1843" w:type="dxa"/>
            <w:vMerge/>
          </w:tcPr>
          <w:p w14:paraId="27D7D6D9" w14:textId="77777777" w:rsidR="00E01E56" w:rsidRPr="00BB1AA6" w:rsidRDefault="00E01E56" w:rsidP="00C26D69">
            <w:pPr>
              <w:pStyle w:val="TableExpText"/>
              <w:rPr>
                <w:rFonts w:cs="Segoe UI"/>
                <w:color w:val="000000" w:themeColor="text1"/>
                <w:szCs w:val="19"/>
                <w:lang w:val="en-US"/>
              </w:rPr>
            </w:pPr>
          </w:p>
        </w:tc>
        <w:tc>
          <w:tcPr>
            <w:tcW w:w="2410" w:type="dxa"/>
            <w:vMerge/>
          </w:tcPr>
          <w:p w14:paraId="1E5A08B9" w14:textId="77777777" w:rsidR="00E01E56" w:rsidRPr="00BB1AA6" w:rsidRDefault="00E01E56" w:rsidP="00C26D69">
            <w:pPr>
              <w:pStyle w:val="TableExpText"/>
              <w:rPr>
                <w:rFonts w:cs="Segoe UI"/>
                <w:color w:val="000000" w:themeColor="text1"/>
                <w:szCs w:val="19"/>
                <w:lang w:val="en-US"/>
              </w:rPr>
            </w:pPr>
          </w:p>
        </w:tc>
      </w:tr>
      <w:tr w:rsidR="00E01E56" w:rsidRPr="00BB1AA6" w14:paraId="1F0C4CA6" w14:textId="77777777" w:rsidTr="00C26D69">
        <w:tc>
          <w:tcPr>
            <w:tcW w:w="993" w:type="dxa"/>
            <w:vMerge w:val="restart"/>
          </w:tcPr>
          <w:p w14:paraId="41592280" w14:textId="6A83C9BD" w:rsidR="00E01E56" w:rsidRPr="00BB1AA6" w:rsidRDefault="00E13460" w:rsidP="00C26D69">
            <w:pPr>
              <w:pStyle w:val="TableExpText"/>
              <w:rPr>
                <w:rFonts w:cs="Segoe UI"/>
                <w:color w:val="000000" w:themeColor="text1"/>
                <w:szCs w:val="19"/>
              </w:rPr>
            </w:pPr>
            <w:r>
              <w:rPr>
                <w:rFonts w:ascii="ZWAdobeF" w:hAnsi="ZWAdobeF" w:cs="ZWAdobeF"/>
                <w:sz w:val="2"/>
                <w:szCs w:val="2"/>
              </w:rPr>
              <w:t>12B</w:t>
            </w:r>
            <w:r w:rsidR="00E01E56">
              <w:rPr>
                <w:rFonts w:cs="Segoe UI"/>
                <w:color w:val="000000" w:themeColor="text1"/>
                <w:szCs w:val="19"/>
              </w:rPr>
              <w:t>Tranche 2 (2018)</w:t>
            </w:r>
          </w:p>
        </w:tc>
        <w:tc>
          <w:tcPr>
            <w:tcW w:w="3685" w:type="dxa"/>
            <w:vAlign w:val="top"/>
          </w:tcPr>
          <w:p w14:paraId="138D5B73" w14:textId="6C35E44A" w:rsidR="00E01E56" w:rsidRPr="00BB1AA6" w:rsidRDefault="00E13460" w:rsidP="00C26D69">
            <w:pPr>
              <w:pStyle w:val="TableExpText"/>
              <w:rPr>
                <w:rFonts w:cs="Segoe UI"/>
                <w:color w:val="000000" w:themeColor="text1"/>
                <w:szCs w:val="19"/>
                <w:lang w:val="en-US"/>
              </w:rPr>
            </w:pPr>
            <w:r>
              <w:rPr>
                <w:rFonts w:ascii="ZWAdobeF" w:hAnsi="ZWAdobeF" w:cs="ZWAdobeF"/>
                <w:sz w:val="2"/>
                <w:szCs w:val="2"/>
              </w:rPr>
              <w:t>13B</w:t>
            </w:r>
            <w:r w:rsidR="00E01E56" w:rsidRPr="00197B40">
              <w:t>Cape York Land Council</w:t>
            </w:r>
          </w:p>
        </w:tc>
        <w:tc>
          <w:tcPr>
            <w:tcW w:w="1843" w:type="dxa"/>
            <w:vMerge w:val="restart"/>
          </w:tcPr>
          <w:p w14:paraId="30FA012D" w14:textId="3F34EB5B" w:rsidR="00E01E56" w:rsidRPr="0036670E" w:rsidRDefault="00E13460" w:rsidP="00C26D69">
            <w:pPr>
              <w:pStyle w:val="TableExpText"/>
              <w:rPr>
                <w:rFonts w:cs="Segoe UI"/>
                <w:color w:val="000000" w:themeColor="text1"/>
                <w:szCs w:val="19"/>
                <w:lang w:val="en-US"/>
              </w:rPr>
            </w:pPr>
            <w:r>
              <w:rPr>
                <w:rFonts w:ascii="ZWAdobeF" w:hAnsi="ZWAdobeF" w:cs="ZWAdobeF"/>
                <w:sz w:val="2"/>
                <w:szCs w:val="2"/>
                <w:lang w:val="en-US"/>
              </w:rPr>
              <w:t>14B</w:t>
            </w:r>
            <w:r w:rsidR="00E01E56">
              <w:rPr>
                <w:rFonts w:cs="Segoe UI"/>
                <w:color w:val="000000" w:themeColor="text1"/>
                <w:szCs w:val="19"/>
                <w:lang w:val="en-US"/>
              </w:rPr>
              <w:t xml:space="preserve">July 2015 – </w:t>
            </w:r>
            <w:r w:rsidR="00E01E56" w:rsidRPr="0036670E">
              <w:rPr>
                <w:rFonts w:cs="Segoe UI"/>
                <w:color w:val="000000" w:themeColor="text1"/>
                <w:szCs w:val="19"/>
                <w:lang w:val="en-US"/>
              </w:rPr>
              <w:t>June 2018</w:t>
            </w:r>
          </w:p>
        </w:tc>
        <w:tc>
          <w:tcPr>
            <w:tcW w:w="2410" w:type="dxa"/>
            <w:vMerge w:val="restart"/>
          </w:tcPr>
          <w:p w14:paraId="020BF03F" w14:textId="3DB0B5A2" w:rsidR="00E01E56" w:rsidRPr="00BB1AA6" w:rsidRDefault="00E13460" w:rsidP="00C26D69">
            <w:pPr>
              <w:pStyle w:val="TableExpText"/>
              <w:rPr>
                <w:rFonts w:cs="Segoe UI"/>
                <w:color w:val="000000" w:themeColor="text1"/>
                <w:szCs w:val="19"/>
                <w:lang w:val="en-US"/>
              </w:rPr>
            </w:pPr>
            <w:r>
              <w:rPr>
                <w:rFonts w:ascii="ZWAdobeF" w:hAnsi="ZWAdobeF" w:cs="ZWAdobeF"/>
                <w:sz w:val="2"/>
                <w:szCs w:val="2"/>
                <w:lang w:val="en-US"/>
              </w:rPr>
              <w:t>15B</w:t>
            </w:r>
            <w:r w:rsidR="00E01E56">
              <w:rPr>
                <w:rFonts w:cs="Segoe UI"/>
                <w:color w:val="000000" w:themeColor="text1"/>
                <w:szCs w:val="19"/>
                <w:lang w:val="en-US"/>
              </w:rPr>
              <w:t>September 2018 – April 2019</w:t>
            </w:r>
          </w:p>
        </w:tc>
      </w:tr>
      <w:tr w:rsidR="00E01E56" w:rsidRPr="00BB1AA6" w14:paraId="714F9DFC" w14:textId="77777777" w:rsidTr="00C26D69">
        <w:tc>
          <w:tcPr>
            <w:tcW w:w="993" w:type="dxa"/>
            <w:vMerge/>
          </w:tcPr>
          <w:p w14:paraId="35E532C8" w14:textId="77777777" w:rsidR="00E01E56" w:rsidRPr="00BB1AA6" w:rsidRDefault="00E01E56" w:rsidP="00C26D69">
            <w:pPr>
              <w:pStyle w:val="TableExpText"/>
              <w:rPr>
                <w:rFonts w:cs="Segoe UI"/>
                <w:color w:val="000000" w:themeColor="text1"/>
                <w:szCs w:val="19"/>
              </w:rPr>
            </w:pPr>
          </w:p>
        </w:tc>
        <w:tc>
          <w:tcPr>
            <w:tcW w:w="3685" w:type="dxa"/>
            <w:vAlign w:val="top"/>
          </w:tcPr>
          <w:p w14:paraId="34D9EF29" w14:textId="4AF89674" w:rsidR="00E01E56" w:rsidRPr="00BB1AA6" w:rsidRDefault="00E13460" w:rsidP="00C26D69">
            <w:pPr>
              <w:pStyle w:val="TableExpText"/>
              <w:rPr>
                <w:rFonts w:cs="Segoe UI"/>
                <w:color w:val="000000" w:themeColor="text1"/>
                <w:szCs w:val="19"/>
                <w:lang w:val="en-US"/>
              </w:rPr>
            </w:pPr>
            <w:r>
              <w:rPr>
                <w:rFonts w:ascii="ZWAdobeF" w:hAnsi="ZWAdobeF" w:cs="ZWAdobeF"/>
                <w:sz w:val="2"/>
                <w:szCs w:val="2"/>
              </w:rPr>
              <w:t>16B</w:t>
            </w:r>
            <w:r w:rsidR="00E01E56" w:rsidRPr="00197B40">
              <w:t xml:space="preserve">Carpentaria </w:t>
            </w:r>
            <w:r w:rsidR="00E01E56">
              <w:t>L</w:t>
            </w:r>
            <w:r w:rsidR="00E01E56" w:rsidRPr="00197B40">
              <w:t>and Council Aboriginal Corporation</w:t>
            </w:r>
          </w:p>
        </w:tc>
        <w:tc>
          <w:tcPr>
            <w:tcW w:w="1843" w:type="dxa"/>
            <w:vMerge/>
          </w:tcPr>
          <w:p w14:paraId="27B8BCD5" w14:textId="77777777" w:rsidR="00E01E56" w:rsidRPr="00BB1AA6" w:rsidRDefault="00E01E56" w:rsidP="00C26D69">
            <w:pPr>
              <w:pStyle w:val="TableExpText"/>
              <w:rPr>
                <w:rFonts w:cs="Segoe UI"/>
                <w:color w:val="000000" w:themeColor="text1"/>
                <w:szCs w:val="19"/>
                <w:lang w:val="en-US"/>
              </w:rPr>
            </w:pPr>
          </w:p>
        </w:tc>
        <w:tc>
          <w:tcPr>
            <w:tcW w:w="2410" w:type="dxa"/>
            <w:vMerge/>
          </w:tcPr>
          <w:p w14:paraId="7530EF0C" w14:textId="77777777" w:rsidR="00E01E56" w:rsidRPr="00BB1AA6" w:rsidRDefault="00E01E56" w:rsidP="00C26D69">
            <w:pPr>
              <w:pStyle w:val="TableExpText"/>
              <w:rPr>
                <w:rFonts w:cs="Segoe UI"/>
                <w:color w:val="000000" w:themeColor="text1"/>
                <w:szCs w:val="19"/>
                <w:lang w:val="en-US"/>
              </w:rPr>
            </w:pPr>
          </w:p>
        </w:tc>
      </w:tr>
      <w:tr w:rsidR="00E01E56" w:rsidRPr="00BB1AA6" w14:paraId="614AEF39" w14:textId="77777777" w:rsidTr="00C26D69">
        <w:tc>
          <w:tcPr>
            <w:tcW w:w="993" w:type="dxa"/>
            <w:vMerge/>
          </w:tcPr>
          <w:p w14:paraId="166CCBDA" w14:textId="77777777" w:rsidR="00E01E56" w:rsidRPr="00BB1AA6" w:rsidRDefault="00E01E56" w:rsidP="00C26D69">
            <w:pPr>
              <w:pStyle w:val="TableExpText"/>
              <w:rPr>
                <w:rFonts w:cs="Segoe UI"/>
                <w:color w:val="000000" w:themeColor="text1"/>
                <w:szCs w:val="19"/>
              </w:rPr>
            </w:pPr>
          </w:p>
        </w:tc>
        <w:tc>
          <w:tcPr>
            <w:tcW w:w="3685" w:type="dxa"/>
            <w:vAlign w:val="top"/>
          </w:tcPr>
          <w:p w14:paraId="66D5350C" w14:textId="0CC70ADE" w:rsidR="00E01E56" w:rsidRPr="00BB1AA6" w:rsidRDefault="00E13460" w:rsidP="00C26D69">
            <w:pPr>
              <w:pStyle w:val="TableExpText"/>
              <w:rPr>
                <w:rFonts w:cs="Segoe UI"/>
                <w:color w:val="000000" w:themeColor="text1"/>
                <w:szCs w:val="19"/>
                <w:lang w:val="en-US"/>
              </w:rPr>
            </w:pPr>
            <w:r>
              <w:rPr>
                <w:rFonts w:ascii="ZWAdobeF" w:hAnsi="ZWAdobeF" w:cs="ZWAdobeF"/>
                <w:sz w:val="2"/>
                <w:szCs w:val="2"/>
              </w:rPr>
              <w:t>17B</w:t>
            </w:r>
            <w:r w:rsidR="00E01E56" w:rsidRPr="00197B40">
              <w:t>Kimberly Land Council</w:t>
            </w:r>
          </w:p>
        </w:tc>
        <w:tc>
          <w:tcPr>
            <w:tcW w:w="1843" w:type="dxa"/>
            <w:vMerge/>
          </w:tcPr>
          <w:p w14:paraId="1C60F8CF" w14:textId="77777777" w:rsidR="00E01E56" w:rsidRPr="00BB1AA6" w:rsidRDefault="00E01E56" w:rsidP="00C26D69">
            <w:pPr>
              <w:pStyle w:val="TableExpText"/>
              <w:rPr>
                <w:rFonts w:cs="Segoe UI"/>
                <w:color w:val="000000" w:themeColor="text1"/>
                <w:szCs w:val="19"/>
                <w:lang w:val="en-US"/>
              </w:rPr>
            </w:pPr>
          </w:p>
        </w:tc>
        <w:tc>
          <w:tcPr>
            <w:tcW w:w="2410" w:type="dxa"/>
            <w:vMerge/>
          </w:tcPr>
          <w:p w14:paraId="4F35E2CF" w14:textId="77777777" w:rsidR="00E01E56" w:rsidRPr="00BB1AA6" w:rsidRDefault="00E01E56" w:rsidP="00C26D69">
            <w:pPr>
              <w:pStyle w:val="TableExpText"/>
              <w:rPr>
                <w:rFonts w:cs="Segoe UI"/>
                <w:color w:val="000000" w:themeColor="text1"/>
                <w:szCs w:val="19"/>
                <w:lang w:val="en-US"/>
              </w:rPr>
            </w:pPr>
          </w:p>
        </w:tc>
      </w:tr>
      <w:tr w:rsidR="00E01E56" w:rsidRPr="00BB1AA6" w14:paraId="411F9E85" w14:textId="77777777" w:rsidTr="00C26D69">
        <w:tc>
          <w:tcPr>
            <w:tcW w:w="993" w:type="dxa"/>
            <w:vMerge/>
          </w:tcPr>
          <w:p w14:paraId="12C83740" w14:textId="77777777" w:rsidR="00E01E56" w:rsidRPr="00BB1AA6" w:rsidRDefault="00E01E56" w:rsidP="00C26D69">
            <w:pPr>
              <w:pStyle w:val="TableExpText"/>
              <w:rPr>
                <w:rFonts w:cs="Segoe UI"/>
                <w:color w:val="000000" w:themeColor="text1"/>
                <w:szCs w:val="19"/>
              </w:rPr>
            </w:pPr>
          </w:p>
        </w:tc>
        <w:tc>
          <w:tcPr>
            <w:tcW w:w="3685" w:type="dxa"/>
            <w:vAlign w:val="top"/>
          </w:tcPr>
          <w:p w14:paraId="25FC480D" w14:textId="599D90C0" w:rsidR="00E01E56" w:rsidRPr="00BB1AA6" w:rsidRDefault="00E13460" w:rsidP="00C26D69">
            <w:pPr>
              <w:pStyle w:val="TableExpText"/>
              <w:rPr>
                <w:rFonts w:cs="Segoe UI"/>
                <w:color w:val="000000" w:themeColor="text1"/>
                <w:szCs w:val="19"/>
                <w:lang w:val="en-US"/>
              </w:rPr>
            </w:pPr>
            <w:r>
              <w:rPr>
                <w:rFonts w:ascii="ZWAdobeF" w:hAnsi="ZWAdobeF" w:cs="ZWAdobeF"/>
                <w:sz w:val="2"/>
                <w:szCs w:val="2"/>
              </w:rPr>
              <w:t>18B</w:t>
            </w:r>
            <w:r w:rsidR="00E01E56" w:rsidRPr="00197B40">
              <w:t xml:space="preserve">North Queensland </w:t>
            </w:r>
            <w:r w:rsidR="00E01E56">
              <w:t>L</w:t>
            </w:r>
            <w:r w:rsidR="00E01E56" w:rsidRPr="00197B40">
              <w:t>and Council</w:t>
            </w:r>
          </w:p>
        </w:tc>
        <w:tc>
          <w:tcPr>
            <w:tcW w:w="1843" w:type="dxa"/>
            <w:vMerge/>
          </w:tcPr>
          <w:p w14:paraId="5A64DE3B" w14:textId="77777777" w:rsidR="00E01E56" w:rsidRPr="00BB1AA6" w:rsidRDefault="00E01E56" w:rsidP="00C26D69">
            <w:pPr>
              <w:pStyle w:val="TableExpText"/>
              <w:rPr>
                <w:rFonts w:cs="Segoe UI"/>
                <w:color w:val="000000" w:themeColor="text1"/>
                <w:szCs w:val="19"/>
                <w:lang w:val="en-US"/>
              </w:rPr>
            </w:pPr>
          </w:p>
        </w:tc>
        <w:tc>
          <w:tcPr>
            <w:tcW w:w="2410" w:type="dxa"/>
            <w:vMerge/>
          </w:tcPr>
          <w:p w14:paraId="6AAE7085" w14:textId="77777777" w:rsidR="00E01E56" w:rsidRPr="00BB1AA6" w:rsidRDefault="00E01E56" w:rsidP="00C26D69">
            <w:pPr>
              <w:pStyle w:val="TableExpText"/>
              <w:rPr>
                <w:rFonts w:cs="Segoe UI"/>
                <w:color w:val="000000" w:themeColor="text1"/>
                <w:szCs w:val="19"/>
                <w:lang w:val="en-US"/>
              </w:rPr>
            </w:pPr>
          </w:p>
        </w:tc>
      </w:tr>
      <w:tr w:rsidR="00E01E56" w:rsidRPr="00BB1AA6" w14:paraId="51B7CC06" w14:textId="77777777" w:rsidTr="00C26D69">
        <w:tc>
          <w:tcPr>
            <w:tcW w:w="993" w:type="dxa"/>
            <w:vMerge/>
          </w:tcPr>
          <w:p w14:paraId="751125FC" w14:textId="77777777" w:rsidR="00E01E56" w:rsidRPr="00BB1AA6" w:rsidRDefault="00E01E56" w:rsidP="00C26D69">
            <w:pPr>
              <w:pStyle w:val="TableExpText"/>
              <w:rPr>
                <w:rFonts w:cs="Segoe UI"/>
                <w:color w:val="000000" w:themeColor="text1"/>
                <w:szCs w:val="19"/>
              </w:rPr>
            </w:pPr>
          </w:p>
        </w:tc>
        <w:tc>
          <w:tcPr>
            <w:tcW w:w="3685" w:type="dxa"/>
            <w:vAlign w:val="top"/>
          </w:tcPr>
          <w:p w14:paraId="2DEB344D" w14:textId="14AD5B8B" w:rsidR="00E01E56" w:rsidRPr="00BB1AA6" w:rsidRDefault="00E13460" w:rsidP="00C26D69">
            <w:pPr>
              <w:pStyle w:val="TableExpText"/>
              <w:rPr>
                <w:rFonts w:cs="Segoe UI"/>
                <w:color w:val="000000" w:themeColor="text1"/>
                <w:szCs w:val="19"/>
                <w:lang w:val="en-US"/>
              </w:rPr>
            </w:pPr>
            <w:r>
              <w:rPr>
                <w:rFonts w:ascii="ZWAdobeF" w:hAnsi="ZWAdobeF" w:cs="ZWAdobeF"/>
                <w:sz w:val="2"/>
                <w:szCs w:val="2"/>
              </w:rPr>
              <w:t>19B</w:t>
            </w:r>
            <w:r w:rsidR="00E01E56" w:rsidRPr="00197B40">
              <w:t>South Australia Native Title Services</w:t>
            </w:r>
          </w:p>
        </w:tc>
        <w:tc>
          <w:tcPr>
            <w:tcW w:w="1843" w:type="dxa"/>
            <w:vMerge/>
          </w:tcPr>
          <w:p w14:paraId="33423C46" w14:textId="77777777" w:rsidR="00E01E56" w:rsidRPr="00BB1AA6" w:rsidRDefault="00E01E56" w:rsidP="00C26D69">
            <w:pPr>
              <w:pStyle w:val="TableExpText"/>
              <w:rPr>
                <w:rFonts w:cs="Segoe UI"/>
                <w:color w:val="000000" w:themeColor="text1"/>
                <w:szCs w:val="19"/>
                <w:lang w:val="en-US"/>
              </w:rPr>
            </w:pPr>
          </w:p>
        </w:tc>
        <w:tc>
          <w:tcPr>
            <w:tcW w:w="2410" w:type="dxa"/>
            <w:vMerge/>
          </w:tcPr>
          <w:p w14:paraId="0F0F1C27" w14:textId="77777777" w:rsidR="00E01E56" w:rsidRPr="00BB1AA6" w:rsidRDefault="00E01E56" w:rsidP="00C26D69">
            <w:pPr>
              <w:pStyle w:val="TableExpText"/>
              <w:rPr>
                <w:rFonts w:cs="Segoe UI"/>
                <w:color w:val="000000" w:themeColor="text1"/>
                <w:szCs w:val="19"/>
                <w:lang w:val="en-US"/>
              </w:rPr>
            </w:pPr>
          </w:p>
        </w:tc>
      </w:tr>
      <w:tr w:rsidR="00E01E56" w:rsidRPr="00BB1AA6" w14:paraId="131B3B50" w14:textId="77777777" w:rsidTr="00C26D69">
        <w:tc>
          <w:tcPr>
            <w:tcW w:w="993" w:type="dxa"/>
            <w:vMerge/>
          </w:tcPr>
          <w:p w14:paraId="131AE371" w14:textId="77777777" w:rsidR="00E01E56" w:rsidRPr="00BB1AA6" w:rsidRDefault="00E01E56" w:rsidP="00C26D69">
            <w:pPr>
              <w:pStyle w:val="TableExpText"/>
              <w:rPr>
                <w:rFonts w:cs="Segoe UI"/>
                <w:color w:val="000000" w:themeColor="text1"/>
                <w:szCs w:val="19"/>
              </w:rPr>
            </w:pPr>
          </w:p>
        </w:tc>
        <w:tc>
          <w:tcPr>
            <w:tcW w:w="3685" w:type="dxa"/>
            <w:vAlign w:val="top"/>
          </w:tcPr>
          <w:p w14:paraId="099410B0" w14:textId="10291F95" w:rsidR="00E01E56" w:rsidRPr="00BB1AA6" w:rsidRDefault="00E13460" w:rsidP="00C26D69">
            <w:pPr>
              <w:pStyle w:val="TableExpText"/>
              <w:rPr>
                <w:rFonts w:cs="Segoe UI"/>
                <w:color w:val="000000" w:themeColor="text1"/>
                <w:szCs w:val="19"/>
                <w:lang w:val="en-US"/>
              </w:rPr>
            </w:pPr>
            <w:r>
              <w:rPr>
                <w:rFonts w:ascii="ZWAdobeF" w:hAnsi="ZWAdobeF" w:cs="ZWAdobeF"/>
                <w:sz w:val="2"/>
                <w:szCs w:val="2"/>
              </w:rPr>
              <w:t>20B</w:t>
            </w:r>
            <w:r w:rsidR="00E01E56" w:rsidRPr="00197B40">
              <w:t>Yamatji Marlpa Aboriginal Corporation</w:t>
            </w:r>
          </w:p>
        </w:tc>
        <w:tc>
          <w:tcPr>
            <w:tcW w:w="1843" w:type="dxa"/>
            <w:vMerge/>
          </w:tcPr>
          <w:p w14:paraId="1050F0FA" w14:textId="77777777" w:rsidR="00E01E56" w:rsidRPr="00BB1AA6" w:rsidRDefault="00E01E56" w:rsidP="00C26D69">
            <w:pPr>
              <w:pStyle w:val="TableExpText"/>
              <w:rPr>
                <w:rFonts w:cs="Segoe UI"/>
                <w:color w:val="000000" w:themeColor="text1"/>
                <w:szCs w:val="19"/>
                <w:lang w:val="en-US"/>
              </w:rPr>
            </w:pPr>
          </w:p>
        </w:tc>
        <w:tc>
          <w:tcPr>
            <w:tcW w:w="2410" w:type="dxa"/>
            <w:vMerge/>
          </w:tcPr>
          <w:p w14:paraId="0C3973C6" w14:textId="77777777" w:rsidR="00E01E56" w:rsidRPr="00BB1AA6" w:rsidRDefault="00E01E56" w:rsidP="00C26D69">
            <w:pPr>
              <w:pStyle w:val="TableExpText"/>
              <w:rPr>
                <w:rFonts w:cs="Segoe UI"/>
                <w:color w:val="000000" w:themeColor="text1"/>
                <w:szCs w:val="19"/>
                <w:lang w:val="en-US"/>
              </w:rPr>
            </w:pPr>
          </w:p>
        </w:tc>
      </w:tr>
      <w:tr w:rsidR="008C5660" w:rsidRPr="00BB1AA6" w14:paraId="67D5CE2E" w14:textId="77777777" w:rsidTr="00C26D69">
        <w:tc>
          <w:tcPr>
            <w:tcW w:w="993" w:type="dxa"/>
            <w:vMerge w:val="restart"/>
          </w:tcPr>
          <w:p w14:paraId="16BF3160" w14:textId="12422F9C" w:rsidR="008C5660" w:rsidRPr="00BB1AA6" w:rsidRDefault="00E13460" w:rsidP="00C26D69">
            <w:pPr>
              <w:pStyle w:val="TableExpText"/>
              <w:rPr>
                <w:rFonts w:cs="Segoe UI"/>
                <w:color w:val="000000" w:themeColor="text1"/>
                <w:szCs w:val="19"/>
              </w:rPr>
            </w:pPr>
            <w:r>
              <w:rPr>
                <w:rFonts w:ascii="ZWAdobeF" w:hAnsi="ZWAdobeF" w:cs="ZWAdobeF"/>
                <w:sz w:val="2"/>
                <w:szCs w:val="2"/>
              </w:rPr>
              <w:t>21B</w:t>
            </w:r>
            <w:r w:rsidR="008C5660">
              <w:rPr>
                <w:rFonts w:cs="Segoe UI"/>
                <w:color w:val="000000" w:themeColor="text1"/>
                <w:szCs w:val="19"/>
              </w:rPr>
              <w:t>Tranche 3 (2020)</w:t>
            </w:r>
          </w:p>
        </w:tc>
        <w:tc>
          <w:tcPr>
            <w:tcW w:w="3685" w:type="dxa"/>
          </w:tcPr>
          <w:p w14:paraId="3FD5E407" w14:textId="27A8D00C" w:rsidR="008C5660" w:rsidRPr="00BB1AA6" w:rsidRDefault="00E13460" w:rsidP="00C26D69">
            <w:pPr>
              <w:pStyle w:val="TableExpText"/>
              <w:rPr>
                <w:rFonts w:cs="Segoe UI"/>
                <w:color w:val="000000" w:themeColor="text1"/>
                <w:szCs w:val="19"/>
                <w:lang w:val="en-US"/>
              </w:rPr>
            </w:pPr>
            <w:r>
              <w:rPr>
                <w:rFonts w:ascii="ZWAdobeF" w:hAnsi="ZWAdobeF" w:cs="ZWAdobeF"/>
                <w:sz w:val="2"/>
                <w:szCs w:val="2"/>
                <w:lang w:val="en-US"/>
              </w:rPr>
              <w:t>22B</w:t>
            </w:r>
            <w:r w:rsidR="008C5660">
              <w:rPr>
                <w:rFonts w:cs="Segoe UI"/>
                <w:color w:val="000000" w:themeColor="text1"/>
                <w:szCs w:val="19"/>
                <w:lang w:val="en-US"/>
              </w:rPr>
              <w:t>Central Land Council</w:t>
            </w:r>
          </w:p>
        </w:tc>
        <w:tc>
          <w:tcPr>
            <w:tcW w:w="1843" w:type="dxa"/>
            <w:vMerge w:val="restart"/>
          </w:tcPr>
          <w:p w14:paraId="0B99A435" w14:textId="2AD42554" w:rsidR="008C5660" w:rsidRPr="0036670E" w:rsidRDefault="00E13460" w:rsidP="00C26D69">
            <w:pPr>
              <w:pStyle w:val="TableExpText"/>
              <w:rPr>
                <w:rFonts w:cs="Segoe UI"/>
                <w:color w:val="000000" w:themeColor="text1"/>
                <w:szCs w:val="19"/>
                <w:lang w:val="en-US"/>
              </w:rPr>
            </w:pPr>
            <w:r>
              <w:rPr>
                <w:rFonts w:ascii="ZWAdobeF" w:hAnsi="ZWAdobeF" w:cs="ZWAdobeF"/>
                <w:sz w:val="2"/>
                <w:szCs w:val="2"/>
                <w:lang w:val="en-US"/>
              </w:rPr>
              <w:t>23B</w:t>
            </w:r>
            <w:r w:rsidR="008C5660">
              <w:rPr>
                <w:rFonts w:cs="Segoe UI"/>
                <w:color w:val="000000" w:themeColor="text1"/>
                <w:szCs w:val="19"/>
                <w:lang w:val="en-US"/>
              </w:rPr>
              <w:t xml:space="preserve">July 2016 – </w:t>
            </w:r>
            <w:r w:rsidR="008C5660" w:rsidRPr="0036670E">
              <w:rPr>
                <w:rFonts w:cs="Segoe UI"/>
                <w:color w:val="000000" w:themeColor="text1"/>
                <w:szCs w:val="19"/>
                <w:lang w:val="en-US"/>
              </w:rPr>
              <w:t>June 2019</w:t>
            </w:r>
          </w:p>
        </w:tc>
        <w:tc>
          <w:tcPr>
            <w:tcW w:w="2410" w:type="dxa"/>
            <w:vMerge w:val="restart"/>
          </w:tcPr>
          <w:p w14:paraId="203D398E" w14:textId="43C655BE" w:rsidR="008C5660" w:rsidRPr="0036670E" w:rsidRDefault="00E13460" w:rsidP="00C26D69">
            <w:pPr>
              <w:pStyle w:val="TableExpText"/>
              <w:rPr>
                <w:rFonts w:cs="Segoe UI"/>
                <w:color w:val="000000" w:themeColor="text1"/>
                <w:szCs w:val="19"/>
                <w:lang w:val="en-US"/>
              </w:rPr>
            </w:pPr>
            <w:r>
              <w:rPr>
                <w:rFonts w:ascii="ZWAdobeF" w:hAnsi="ZWAdobeF" w:cs="ZWAdobeF"/>
                <w:sz w:val="2"/>
                <w:szCs w:val="2"/>
                <w:lang w:val="en-US"/>
              </w:rPr>
              <w:t>24B</w:t>
            </w:r>
            <w:r w:rsidR="008C5660">
              <w:rPr>
                <w:rFonts w:cs="Segoe UI"/>
                <w:color w:val="000000" w:themeColor="text1"/>
                <w:szCs w:val="19"/>
                <w:lang w:val="en-US"/>
              </w:rPr>
              <w:t xml:space="preserve">January 2020 – </w:t>
            </w:r>
            <w:r w:rsidR="008C5660" w:rsidRPr="0036670E">
              <w:rPr>
                <w:rFonts w:cs="Segoe UI"/>
                <w:color w:val="000000" w:themeColor="text1"/>
                <w:szCs w:val="19"/>
                <w:lang w:val="en-US"/>
              </w:rPr>
              <w:t>July 2020</w:t>
            </w:r>
          </w:p>
        </w:tc>
      </w:tr>
      <w:tr w:rsidR="008C5660" w:rsidRPr="00BB1AA6" w14:paraId="56F683F2" w14:textId="77777777" w:rsidTr="00C26D69">
        <w:tc>
          <w:tcPr>
            <w:tcW w:w="993" w:type="dxa"/>
            <w:vMerge/>
          </w:tcPr>
          <w:p w14:paraId="1053B380" w14:textId="77777777" w:rsidR="008C5660" w:rsidRPr="00BB1AA6" w:rsidRDefault="008C5660" w:rsidP="00C26D69">
            <w:pPr>
              <w:spacing w:after="0"/>
              <w:jc w:val="center"/>
              <w:rPr>
                <w:rFonts w:cs="Segoe UI"/>
                <w:color w:val="000000" w:themeColor="text1"/>
                <w:szCs w:val="19"/>
                <w:lang w:eastAsia="en-AU"/>
              </w:rPr>
            </w:pPr>
          </w:p>
        </w:tc>
        <w:tc>
          <w:tcPr>
            <w:tcW w:w="3685" w:type="dxa"/>
          </w:tcPr>
          <w:p w14:paraId="7619E17B" w14:textId="3793FFBA" w:rsidR="008C5660" w:rsidRPr="00BB1AA6" w:rsidRDefault="00E13460" w:rsidP="00C26D69">
            <w:pPr>
              <w:pStyle w:val="TableExpText"/>
              <w:rPr>
                <w:lang w:val="en-US"/>
              </w:rPr>
            </w:pPr>
            <w:r>
              <w:rPr>
                <w:rFonts w:ascii="ZWAdobeF" w:hAnsi="ZWAdobeF" w:cs="ZWAdobeF"/>
                <w:sz w:val="2"/>
                <w:szCs w:val="2"/>
                <w:lang w:val="en-US"/>
              </w:rPr>
              <w:t>25B</w:t>
            </w:r>
            <w:r w:rsidR="008C5660">
              <w:rPr>
                <w:lang w:val="en-US"/>
              </w:rPr>
              <w:t>Northern Land Council</w:t>
            </w:r>
          </w:p>
        </w:tc>
        <w:tc>
          <w:tcPr>
            <w:tcW w:w="1843" w:type="dxa"/>
            <w:vMerge/>
          </w:tcPr>
          <w:p w14:paraId="59EC1D6C" w14:textId="77777777" w:rsidR="008C5660" w:rsidRPr="00BB1AA6" w:rsidRDefault="008C5660" w:rsidP="00C26D69">
            <w:pPr>
              <w:spacing w:after="0"/>
              <w:rPr>
                <w:rFonts w:cs="Segoe UI"/>
                <w:color w:val="000000" w:themeColor="text1"/>
                <w:szCs w:val="19"/>
                <w:lang w:val="en-US"/>
              </w:rPr>
            </w:pPr>
          </w:p>
        </w:tc>
        <w:tc>
          <w:tcPr>
            <w:tcW w:w="2410" w:type="dxa"/>
            <w:vMerge/>
          </w:tcPr>
          <w:p w14:paraId="5231AE3F" w14:textId="77777777" w:rsidR="008C5660" w:rsidRPr="00BB1AA6" w:rsidRDefault="008C5660" w:rsidP="00C26D69">
            <w:pPr>
              <w:spacing w:after="0"/>
              <w:rPr>
                <w:rFonts w:cs="Segoe UI"/>
                <w:color w:val="000000" w:themeColor="text1"/>
                <w:szCs w:val="19"/>
                <w:lang w:val="en-US"/>
              </w:rPr>
            </w:pPr>
          </w:p>
        </w:tc>
      </w:tr>
      <w:tr w:rsidR="008C5660" w:rsidRPr="00BB1AA6" w14:paraId="07D36428" w14:textId="77777777" w:rsidTr="00C26D69">
        <w:tc>
          <w:tcPr>
            <w:tcW w:w="993" w:type="dxa"/>
            <w:vMerge/>
          </w:tcPr>
          <w:p w14:paraId="41762398" w14:textId="77777777" w:rsidR="008C5660" w:rsidRPr="00BB1AA6" w:rsidRDefault="008C5660" w:rsidP="008C5660">
            <w:pPr>
              <w:spacing w:after="0"/>
              <w:jc w:val="center"/>
              <w:rPr>
                <w:rFonts w:cs="Segoe UI"/>
                <w:color w:val="000000" w:themeColor="text1"/>
                <w:szCs w:val="19"/>
                <w:lang w:eastAsia="en-AU"/>
              </w:rPr>
            </w:pPr>
          </w:p>
        </w:tc>
        <w:tc>
          <w:tcPr>
            <w:tcW w:w="3685" w:type="dxa"/>
          </w:tcPr>
          <w:p w14:paraId="6C405B21" w14:textId="1DD60BEB" w:rsidR="008C5660" w:rsidRDefault="00E13460" w:rsidP="008C5660">
            <w:pPr>
              <w:pStyle w:val="TableExpText"/>
              <w:rPr>
                <w:lang w:val="en-US"/>
              </w:rPr>
            </w:pPr>
            <w:r>
              <w:rPr>
                <w:rFonts w:ascii="ZWAdobeF" w:hAnsi="ZWAdobeF" w:cs="ZWAdobeF"/>
                <w:sz w:val="2"/>
                <w:szCs w:val="2"/>
                <w:lang w:val="en-US"/>
              </w:rPr>
              <w:t>26B</w:t>
            </w:r>
            <w:r w:rsidR="008C5660" w:rsidRPr="008C5660">
              <w:rPr>
                <w:lang w:val="en-US"/>
              </w:rPr>
              <w:t>Torres Strait Regional Authority</w:t>
            </w:r>
          </w:p>
        </w:tc>
        <w:tc>
          <w:tcPr>
            <w:tcW w:w="1843" w:type="dxa"/>
          </w:tcPr>
          <w:p w14:paraId="7BF4E3D1" w14:textId="3575AB7A" w:rsidR="008C5660" w:rsidRPr="008C5660" w:rsidRDefault="008C5660" w:rsidP="008C5660">
            <w:pPr>
              <w:spacing w:after="0"/>
              <w:rPr>
                <w:rFonts w:eastAsia="Times New Roman" w:cs="Times New Roman"/>
                <w:sz w:val="16"/>
                <w:szCs w:val="24"/>
                <w:lang w:val="en-US" w:eastAsia="en-AU"/>
              </w:rPr>
            </w:pPr>
            <w:r w:rsidRPr="008C5660">
              <w:rPr>
                <w:rFonts w:eastAsia="Times New Roman" w:cs="Times New Roman"/>
                <w:sz w:val="16"/>
                <w:szCs w:val="24"/>
                <w:lang w:val="en-US" w:eastAsia="en-AU"/>
              </w:rPr>
              <w:t>July 2016 – June 2019</w:t>
            </w:r>
          </w:p>
        </w:tc>
        <w:tc>
          <w:tcPr>
            <w:tcW w:w="2410" w:type="dxa"/>
          </w:tcPr>
          <w:p w14:paraId="7CD4B93D" w14:textId="7E403A43" w:rsidR="008C5660" w:rsidRPr="008C5660" w:rsidRDefault="008C5660" w:rsidP="008C5660">
            <w:pPr>
              <w:spacing w:after="0"/>
              <w:rPr>
                <w:rFonts w:eastAsia="Times New Roman" w:cs="Times New Roman"/>
                <w:sz w:val="16"/>
                <w:szCs w:val="24"/>
                <w:lang w:val="en-US" w:eastAsia="en-AU"/>
              </w:rPr>
            </w:pPr>
            <w:r w:rsidRPr="008C5660">
              <w:rPr>
                <w:rFonts w:eastAsia="Times New Roman" w:cs="Times New Roman"/>
                <w:sz w:val="16"/>
                <w:szCs w:val="24"/>
                <w:lang w:val="en-US" w:eastAsia="en-AU"/>
              </w:rPr>
              <w:t>October 2020 – March 2021</w:t>
            </w:r>
          </w:p>
        </w:tc>
      </w:tr>
    </w:tbl>
    <w:p w14:paraId="4CBE757A" w14:textId="77777777" w:rsidR="0018520D" w:rsidRPr="00F94F37" w:rsidRDefault="0018520D" w:rsidP="0018520D">
      <w:pPr>
        <w:pStyle w:val="xAppendixLevel1"/>
      </w:pPr>
      <w:bookmarkStart w:id="147" w:name="_Ref68019974"/>
      <w:bookmarkStart w:id="148" w:name="_Toc68070604"/>
      <w:r w:rsidRPr="00F94F37">
        <w:lastRenderedPageBreak/>
        <w:t>Stakeholders consulted</w:t>
      </w:r>
      <w:bookmarkEnd w:id="144"/>
      <w:bookmarkEnd w:id="147"/>
      <w:bookmarkEnd w:id="148"/>
    </w:p>
    <w:p w14:paraId="5223BC99" w14:textId="77777777" w:rsidR="00F50E68" w:rsidRPr="00B05C3C" w:rsidRDefault="00421064" w:rsidP="00F50E68">
      <w:r>
        <w:t xml:space="preserve">The Review consulted with over 40 stakeholders in relation to FNLRS’ performance. </w:t>
      </w:r>
      <w:r w:rsidR="00F50E68" w:rsidRPr="00B05C3C">
        <w:t xml:space="preserve">This was directly through interviews, as well as </w:t>
      </w:r>
      <w:r w:rsidR="00F50E68">
        <w:t xml:space="preserve">a qualitative </w:t>
      </w:r>
      <w:r w:rsidR="00F50E68" w:rsidRPr="00B05C3C">
        <w:t>survey conducted as part of the Review.</w:t>
      </w:r>
    </w:p>
    <w:p w14:paraId="5D2AD35E" w14:textId="77777777" w:rsidR="00421064" w:rsidRDefault="00421064" w:rsidP="00421064">
      <w:r>
        <w:t>Stakeholder groups included:</w:t>
      </w:r>
    </w:p>
    <w:p w14:paraId="4EFBB7F5" w14:textId="77777777" w:rsidR="00421064" w:rsidRDefault="00421064" w:rsidP="00421064">
      <w:pPr>
        <w:pStyle w:val="Bullet"/>
        <w:numPr>
          <w:ilvl w:val="0"/>
          <w:numId w:val="6"/>
        </w:numPr>
      </w:pPr>
      <w:r>
        <w:t>people with native title interests in the area:</w:t>
      </w:r>
    </w:p>
    <w:p w14:paraId="29CD00AE" w14:textId="77777777" w:rsidR="00421064" w:rsidRDefault="00421064" w:rsidP="00421064">
      <w:pPr>
        <w:pStyle w:val="Bullet"/>
        <w:numPr>
          <w:ilvl w:val="1"/>
          <w:numId w:val="6"/>
        </w:numPr>
      </w:pPr>
      <w:r>
        <w:t>with native title recognised through the Federal Court</w:t>
      </w:r>
    </w:p>
    <w:p w14:paraId="389FE269" w14:textId="77777777" w:rsidR="00421064" w:rsidRDefault="00421064" w:rsidP="00421064">
      <w:pPr>
        <w:pStyle w:val="Bullet"/>
        <w:numPr>
          <w:ilvl w:val="1"/>
          <w:numId w:val="6"/>
        </w:numPr>
      </w:pPr>
      <w:r>
        <w:t>with Aboriginal title recognised through the Victorian Government</w:t>
      </w:r>
    </w:p>
    <w:p w14:paraId="68BDAFC2" w14:textId="77777777" w:rsidR="00421064" w:rsidRDefault="00421064" w:rsidP="00421064">
      <w:pPr>
        <w:pStyle w:val="Bullet"/>
        <w:numPr>
          <w:ilvl w:val="1"/>
          <w:numId w:val="6"/>
        </w:numPr>
      </w:pPr>
      <w:r>
        <w:t>with claims progressing towards resolution.</w:t>
      </w:r>
    </w:p>
    <w:p w14:paraId="500C889B" w14:textId="77777777" w:rsidR="00421064" w:rsidRDefault="00421064" w:rsidP="00421064">
      <w:pPr>
        <w:pStyle w:val="Bullet"/>
        <w:numPr>
          <w:ilvl w:val="0"/>
          <w:numId w:val="6"/>
        </w:numPr>
      </w:pPr>
      <w:r>
        <w:t>the Federal Court of Australia</w:t>
      </w:r>
    </w:p>
    <w:p w14:paraId="0BE18811" w14:textId="61AAD904" w:rsidR="00421064" w:rsidRDefault="00421064" w:rsidP="00421064">
      <w:pPr>
        <w:pStyle w:val="Bullet"/>
        <w:numPr>
          <w:ilvl w:val="0"/>
          <w:numId w:val="6"/>
        </w:numPr>
      </w:pPr>
      <w:r>
        <w:t>the N</w:t>
      </w:r>
      <w:r w:rsidR="00AF3453">
        <w:t>ational Native Title Tribunal</w:t>
      </w:r>
    </w:p>
    <w:p w14:paraId="662D9AE9" w14:textId="77777777" w:rsidR="00421064" w:rsidRDefault="00421064" w:rsidP="00421064">
      <w:pPr>
        <w:pStyle w:val="Bullet"/>
        <w:numPr>
          <w:ilvl w:val="0"/>
          <w:numId w:val="6"/>
        </w:numPr>
      </w:pPr>
      <w:r>
        <w:t>representatives of Victorian Government</w:t>
      </w:r>
    </w:p>
    <w:p w14:paraId="7E9CD952" w14:textId="77777777" w:rsidR="00421064" w:rsidRDefault="00421064" w:rsidP="00421064">
      <w:pPr>
        <w:pStyle w:val="Bullet"/>
        <w:numPr>
          <w:ilvl w:val="0"/>
          <w:numId w:val="6"/>
        </w:numPr>
      </w:pPr>
      <w:r>
        <w:t xml:space="preserve">FNLRS Board Directors </w:t>
      </w:r>
    </w:p>
    <w:p w14:paraId="624A2895" w14:textId="77777777" w:rsidR="00421064" w:rsidRDefault="00421064" w:rsidP="00421064">
      <w:pPr>
        <w:pStyle w:val="Bullet"/>
        <w:numPr>
          <w:ilvl w:val="0"/>
          <w:numId w:val="6"/>
        </w:numPr>
      </w:pPr>
      <w:r>
        <w:t>FVTOC Board Directors</w:t>
      </w:r>
    </w:p>
    <w:p w14:paraId="5203B777" w14:textId="77777777" w:rsidR="00421064" w:rsidRDefault="00421064" w:rsidP="00421064">
      <w:pPr>
        <w:pStyle w:val="Bullet"/>
        <w:numPr>
          <w:ilvl w:val="0"/>
          <w:numId w:val="6"/>
        </w:numPr>
      </w:pPr>
      <w:r>
        <w:t>FNLRS staff.</w:t>
      </w:r>
    </w:p>
    <w:p w14:paraId="23C70C58" w14:textId="77777777" w:rsidR="00421064" w:rsidRPr="00F94F37" w:rsidRDefault="00421064" w:rsidP="00421064">
      <w:pPr>
        <w:pStyle w:val="Bullet"/>
        <w:numPr>
          <w:ilvl w:val="0"/>
          <w:numId w:val="0"/>
        </w:numPr>
        <w:ind w:left="360" w:hanging="360"/>
      </w:pPr>
    </w:p>
    <w:p w14:paraId="0A5E5A0A" w14:textId="2EF87F1D" w:rsidR="002770F2" w:rsidRDefault="002770F2" w:rsidP="00AB0EA2">
      <w:pPr>
        <w:pStyle w:val="xAppendixLevel1"/>
      </w:pPr>
      <w:bookmarkStart w:id="149" w:name="_Ref37158283"/>
      <w:bookmarkStart w:id="150" w:name="_Toc68070605"/>
      <w:r>
        <w:lastRenderedPageBreak/>
        <w:t>Methodology</w:t>
      </w:r>
      <w:bookmarkEnd w:id="145"/>
      <w:bookmarkEnd w:id="149"/>
      <w:bookmarkEnd w:id="150"/>
    </w:p>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14:paraId="1D719EA7" w14:textId="77777777" w:rsidR="00E8326A" w:rsidRDefault="00E8326A" w:rsidP="00E8326A">
      <w:pPr>
        <w:rPr>
          <w:lang w:eastAsia="en-AU"/>
        </w:rPr>
      </w:pPr>
      <w:r>
        <w:rPr>
          <w:lang w:eastAsia="en-AU"/>
        </w:rPr>
        <w:t xml:space="preserve">Nous designed a detailed methodology to assess NTRB-SP performance against the TORs. The method combines qualitative and quantitative performance to account for the unique context within with each NTRB-SP operates. Given the complexity of measuring performance across different NTRB-SPs, the approach involved six steps to ensure that assessment provided a fair and complete picture of current performance for each NTRB-SP: </w:t>
      </w:r>
    </w:p>
    <w:p w14:paraId="2AE02AEF" w14:textId="77777777" w:rsidR="00E8326A" w:rsidRDefault="00E8326A" w:rsidP="009F248D">
      <w:pPr>
        <w:pStyle w:val="ListParagraph"/>
        <w:numPr>
          <w:ilvl w:val="0"/>
          <w:numId w:val="11"/>
        </w:numPr>
        <w:spacing w:line="360" w:lineRule="auto"/>
        <w:ind w:left="357" w:hanging="357"/>
        <w:rPr>
          <w:lang w:eastAsia="en-AU"/>
        </w:rPr>
      </w:pPr>
      <w:r>
        <w:rPr>
          <w:lang w:eastAsia="en-AU"/>
        </w:rPr>
        <w:t>Develop performance and attribution indicators for each TOR</w:t>
      </w:r>
    </w:p>
    <w:p w14:paraId="74DBEA7D" w14:textId="77777777" w:rsidR="00E8326A" w:rsidRDefault="00E8326A" w:rsidP="009F248D">
      <w:pPr>
        <w:pStyle w:val="ListParagraph"/>
        <w:numPr>
          <w:ilvl w:val="0"/>
          <w:numId w:val="11"/>
        </w:numPr>
        <w:spacing w:line="360" w:lineRule="auto"/>
        <w:ind w:left="357" w:hanging="357"/>
        <w:rPr>
          <w:lang w:eastAsia="en-AU"/>
        </w:rPr>
      </w:pPr>
      <w:r>
        <w:rPr>
          <w:lang w:eastAsia="en-AU"/>
        </w:rPr>
        <w:t>Collect data through desktop research and consultations</w:t>
      </w:r>
    </w:p>
    <w:p w14:paraId="33BFAB2E" w14:textId="77777777" w:rsidR="00E8326A" w:rsidRDefault="00E8326A" w:rsidP="009F248D">
      <w:pPr>
        <w:pStyle w:val="ListParagraph"/>
        <w:numPr>
          <w:ilvl w:val="0"/>
          <w:numId w:val="11"/>
        </w:numPr>
        <w:spacing w:line="360" w:lineRule="auto"/>
        <w:ind w:left="357" w:hanging="357"/>
        <w:rPr>
          <w:lang w:eastAsia="en-AU"/>
        </w:rPr>
      </w:pPr>
      <w:r>
        <w:rPr>
          <w:lang w:eastAsia="en-AU"/>
        </w:rPr>
        <w:t>Assess efficiency and effectiveness against each TOR</w:t>
      </w:r>
    </w:p>
    <w:p w14:paraId="5B16E198" w14:textId="77777777" w:rsidR="00E8326A" w:rsidRDefault="00E8326A" w:rsidP="009F248D">
      <w:pPr>
        <w:pStyle w:val="ListParagraph"/>
        <w:numPr>
          <w:ilvl w:val="0"/>
          <w:numId w:val="11"/>
        </w:numPr>
        <w:spacing w:line="360" w:lineRule="auto"/>
        <w:ind w:left="357" w:hanging="357"/>
        <w:rPr>
          <w:lang w:eastAsia="en-AU"/>
        </w:rPr>
      </w:pPr>
      <w:r>
        <w:rPr>
          <w:lang w:eastAsia="en-AU"/>
        </w:rPr>
        <w:t>Develop individual NTRB-SP Performance Assessment Reports</w:t>
      </w:r>
    </w:p>
    <w:p w14:paraId="17D974EA" w14:textId="77777777" w:rsidR="00E8326A" w:rsidRDefault="00E8326A" w:rsidP="009F248D">
      <w:pPr>
        <w:pStyle w:val="ListParagraph"/>
        <w:numPr>
          <w:ilvl w:val="0"/>
          <w:numId w:val="11"/>
        </w:numPr>
        <w:spacing w:line="360" w:lineRule="auto"/>
        <w:ind w:left="357" w:hanging="357"/>
        <w:rPr>
          <w:lang w:eastAsia="en-AU"/>
        </w:rPr>
      </w:pPr>
      <w:r>
        <w:rPr>
          <w:lang w:eastAsia="en-AU"/>
        </w:rPr>
        <w:t>Review NTRB-SP feedback on Performance Assessment Report</w:t>
      </w:r>
    </w:p>
    <w:p w14:paraId="0C66EFAE" w14:textId="77777777" w:rsidR="00E8326A" w:rsidRDefault="00E8326A" w:rsidP="009F248D">
      <w:pPr>
        <w:pStyle w:val="ListParagraph"/>
        <w:numPr>
          <w:ilvl w:val="0"/>
          <w:numId w:val="11"/>
        </w:numPr>
        <w:ind w:left="357" w:hanging="357"/>
        <w:rPr>
          <w:lang w:eastAsia="en-AU"/>
        </w:rPr>
      </w:pPr>
      <w:r>
        <w:rPr>
          <w:lang w:eastAsia="en-AU"/>
        </w:rPr>
        <w:t>Create NTRB-SP Comparative Performance Report</w:t>
      </w:r>
    </w:p>
    <w:p w14:paraId="6405A24D" w14:textId="77777777" w:rsidR="00E8326A" w:rsidRDefault="00E8326A" w:rsidP="00E8326A">
      <w:pPr>
        <w:rPr>
          <w:lang w:eastAsia="en-AU"/>
        </w:rPr>
      </w:pPr>
      <w:r>
        <w:rPr>
          <w:lang w:eastAsia="en-AU"/>
        </w:rPr>
        <w:t xml:space="preserve">Qualitative and quantitative performance indicators and attribution factors were developed to assess each TOR. Attribution factors refer to factors outside the control of the NTRB-SP (external factors) that have a significant impact on the efficiency or effectiveness of their native title operations.  Quantitative indicators were integrated into the qualitative examination of performance to ensure the correct inferences were drawn from quantitative metrics. The quantitative performance indicators and attribution factors were selected from a draft list of more than 120 performance and attribution indicators on the basis that they provide good coverage of quantitative indicators for each TOR category. The qualitative performance indicators and attribution factors guided the qualitative data collection. </w:t>
      </w:r>
    </w:p>
    <w:p w14:paraId="473057BD" w14:textId="77777777" w:rsidR="00E8326A" w:rsidRDefault="00E8326A" w:rsidP="00E8326A">
      <w:pPr>
        <w:rPr>
          <w:lang w:eastAsia="en-AU"/>
        </w:rPr>
      </w:pPr>
      <w:r>
        <w:rPr>
          <w:lang w:eastAsia="en-AU"/>
        </w:rPr>
        <w:t>While some qualitative indicators that were selected are capable of being quantified, they cannot be quantified in a meaningful way for comparative performance purposes. For example, while Indigenous land use agreements can be an effective tool in delivering native title outcomes there are circumstances in which they may not be the best tool.</w:t>
      </w:r>
    </w:p>
    <w:p w14:paraId="24A2B97D" w14:textId="77777777" w:rsidR="00E8326A" w:rsidRDefault="00E8326A" w:rsidP="00E8326A">
      <w:pPr>
        <w:rPr>
          <w:lang w:eastAsia="en-AU"/>
        </w:rPr>
      </w:pPr>
      <w:r>
        <w:rPr>
          <w:lang w:eastAsia="en-AU"/>
        </w:rPr>
        <w:t>Complaints received by the NIAA and/or each NTRB-SP formed one part of the material considered in the Review where it concerned: NTRB-SP activity since 2014, the efficiency and effectiveness with which the NTRB-SP has conducted its business, or the transparency and respectfulness of the relationships the NTRB-SP maintained with its clients, potential clients or persons refused assistance. Both the relevant elements of the complaint, and the way in which the NTRB-SP responded were considered.</w:t>
      </w:r>
    </w:p>
    <w:p w14:paraId="11B2C35C" w14:textId="77777777" w:rsidR="00E8326A" w:rsidRDefault="00E8326A" w:rsidP="00E8326A">
      <w:pPr>
        <w:rPr>
          <w:lang w:eastAsia="en-AU"/>
        </w:rPr>
      </w:pPr>
      <w:r>
        <w:rPr>
          <w:lang w:eastAsia="en-AU"/>
        </w:rPr>
        <w:t xml:space="preserve">The data and information underpinning the assessment of each NTRB-SPs’ performance was sourced through five channels; desktop research, preliminary discussions with the NTRB-SPs, two rounds of stakeholder interviews and a qualitative survey. These provided an opportunity for stakeholders to contribute to the development process at different points; with the intention being to generate buy-in and encourage the development of indicators which were applicable and meaningful across the contexts of different NTRB-SPs. </w:t>
      </w:r>
    </w:p>
    <w:p w14:paraId="11FD56D3" w14:textId="77777777" w:rsidR="00E8326A" w:rsidRDefault="00E8326A" w:rsidP="00E8326A">
      <w:pPr>
        <w:rPr>
          <w:lang w:eastAsia="en-AU"/>
        </w:rPr>
      </w:pPr>
      <w:r>
        <w:rPr>
          <w:lang w:eastAsia="en-AU"/>
        </w:rPr>
        <w:t xml:space="preserve">The output from the process included individual NTRB-SP Performance Assessment Reports (‘Assessment Reports’) along with a separate NTRB-SP Comparative Performance Report (‘Comparative Report’). The Assessment Reports provided a standardised framework to understand the context and performance of each NTRB-SP; the Comparative Report brings together the findings of each Assessment Report by TOR and discusses the key drivers of performance. </w:t>
      </w:r>
    </w:p>
    <w:p w14:paraId="1975637D" w14:textId="6866938E" w:rsidR="00EB3786" w:rsidRDefault="00EB3786" w:rsidP="00EB3786"/>
    <w:p w14:paraId="5CAF79D0" w14:textId="36581F12" w:rsidR="008F4752" w:rsidRPr="00BB1AA6" w:rsidRDefault="00836DF7" w:rsidP="00BB1AA6">
      <w:pPr>
        <w:pStyle w:val="xAppendixLevel1"/>
      </w:pPr>
      <w:bookmarkStart w:id="151" w:name="_Toc503366789"/>
      <w:bookmarkStart w:id="152" w:name="_Toc505259165"/>
      <w:bookmarkStart w:id="153" w:name="_Toc505256232"/>
      <w:bookmarkStart w:id="154" w:name="_Toc505618275"/>
      <w:bookmarkStart w:id="155" w:name="_Hlk36460153"/>
      <w:r>
        <w:lastRenderedPageBreak/>
        <w:t xml:space="preserve">     </w:t>
      </w:r>
      <w:bookmarkStart w:id="156" w:name="_Toc68070606"/>
      <w:r w:rsidR="008F4752" w:rsidRPr="00BB1AA6">
        <w:t>Glossary</w:t>
      </w:r>
      <w:bookmarkEnd w:id="151"/>
      <w:bookmarkEnd w:id="152"/>
      <w:bookmarkEnd w:id="153"/>
      <w:bookmarkEnd w:id="154"/>
      <w:bookmarkEnd w:id="156"/>
    </w:p>
    <w:p w14:paraId="52E0FDD9" w14:textId="084D5467" w:rsidR="008F4752" w:rsidRPr="00BB1AA6" w:rsidRDefault="008F4752" w:rsidP="008F4752">
      <w:pPr>
        <w:rPr>
          <w:lang w:eastAsia="en-AU"/>
        </w:rPr>
      </w:pPr>
      <w:r w:rsidRPr="00BB1AA6">
        <w:t xml:space="preserve">Throughout this document, the following terms have the meaning prescribed in </w:t>
      </w:r>
      <w:r w:rsidRPr="00BB1AA6">
        <w:fldChar w:fldCharType="begin" w:fldLock="1"/>
      </w:r>
      <w:r w:rsidRPr="00BB1AA6">
        <w:instrText xml:space="preserve"> REF _Ref504381411 \h  \* MERGEFORMAT </w:instrText>
      </w:r>
      <w:r w:rsidRPr="00BB1AA6">
        <w:fldChar w:fldCharType="separate"/>
      </w:r>
      <w:r w:rsidR="006F430C" w:rsidRPr="00BB1AA6">
        <w:t xml:space="preserve">Table </w:t>
      </w:r>
      <w:r w:rsidR="006F430C">
        <w:t>2</w:t>
      </w:r>
      <w:r w:rsidRPr="00BB1AA6">
        <w:fldChar w:fldCharType="end"/>
      </w:r>
      <w:r w:rsidRPr="00BB1AA6">
        <w:t>.</w:t>
      </w:r>
    </w:p>
    <w:p w14:paraId="1C774D25" w14:textId="1127857F" w:rsidR="008F4752" w:rsidRPr="00BB1AA6" w:rsidRDefault="008F4752" w:rsidP="003B225A">
      <w:pPr>
        <w:pStyle w:val="Caption"/>
      </w:pPr>
      <w:bookmarkStart w:id="157" w:name="_Ref504381411"/>
      <w:r w:rsidRPr="00BB1AA6">
        <w:t xml:space="preserve">Table </w:t>
      </w:r>
      <w:r w:rsidR="00477925">
        <w:t>2</w:t>
      </w:r>
      <w:bookmarkEnd w:id="157"/>
      <w:r w:rsidRPr="00BB1AA6">
        <w:t xml:space="preserve"> | </w:t>
      </w:r>
      <w:r w:rsidRPr="003B225A">
        <w:t>Glossary</w:t>
      </w:r>
    </w:p>
    <w:tbl>
      <w:tblPr>
        <w:tblStyle w:val="TableGrid"/>
        <w:tblW w:w="0" w:type="auto"/>
        <w:tblLook w:val="04A0" w:firstRow="1" w:lastRow="0" w:firstColumn="1" w:lastColumn="0" w:noHBand="0" w:noVBand="1"/>
      </w:tblPr>
      <w:tblGrid>
        <w:gridCol w:w="1645"/>
        <w:gridCol w:w="6804"/>
      </w:tblGrid>
      <w:tr w:rsidR="008F4752" w:rsidRPr="00BB1AA6" w14:paraId="2806E0C3" w14:textId="77777777" w:rsidTr="00A94C57">
        <w:trPr>
          <w:cnfStyle w:val="100000000000" w:firstRow="1" w:lastRow="0" w:firstColumn="0" w:lastColumn="0" w:oddVBand="0" w:evenVBand="0" w:oddHBand="0" w:evenHBand="0" w:firstRowFirstColumn="0" w:firstRowLastColumn="0" w:lastRowFirstColumn="0" w:lastRowLastColumn="0"/>
        </w:trPr>
        <w:tc>
          <w:tcPr>
            <w:tcW w:w="1645" w:type="dxa"/>
          </w:tcPr>
          <w:p w14:paraId="27D739B8" w14:textId="77777777" w:rsidR="008F4752" w:rsidRPr="00217830" w:rsidRDefault="008F4752" w:rsidP="00A94C57">
            <w:pPr>
              <w:rPr>
                <w:rFonts w:ascii="Segoe UI Semibold" w:hAnsi="Segoe UI Semibold" w:cs="Segoe UI Semibold"/>
                <w:b w:val="0"/>
                <w:sz w:val="17"/>
                <w:szCs w:val="17"/>
                <w:lang w:eastAsia="en-AU"/>
              </w:rPr>
            </w:pPr>
            <w:r w:rsidRPr="00217830">
              <w:rPr>
                <w:rFonts w:ascii="Segoe UI Semibold" w:hAnsi="Segoe UI Semibold" w:cs="Segoe UI Semibold"/>
                <w:b w:val="0"/>
                <w:sz w:val="17"/>
                <w:szCs w:val="17"/>
                <w:lang w:eastAsia="en-AU"/>
              </w:rPr>
              <w:t>Term</w:t>
            </w:r>
          </w:p>
        </w:tc>
        <w:tc>
          <w:tcPr>
            <w:tcW w:w="6804" w:type="dxa"/>
          </w:tcPr>
          <w:p w14:paraId="06CE00F1" w14:textId="77777777" w:rsidR="008F4752" w:rsidRPr="00217830" w:rsidRDefault="008F4752" w:rsidP="00A94C57">
            <w:pPr>
              <w:rPr>
                <w:rFonts w:ascii="Segoe UI Semibold" w:hAnsi="Segoe UI Semibold" w:cs="Segoe UI Semibold"/>
                <w:b w:val="0"/>
                <w:sz w:val="17"/>
                <w:szCs w:val="17"/>
                <w:lang w:eastAsia="en-AU"/>
              </w:rPr>
            </w:pPr>
            <w:r w:rsidRPr="00217830">
              <w:rPr>
                <w:rFonts w:ascii="Segoe UI Semibold" w:hAnsi="Segoe UI Semibold" w:cs="Segoe UI Semibold"/>
                <w:b w:val="0"/>
                <w:sz w:val="17"/>
                <w:szCs w:val="17"/>
                <w:lang w:eastAsia="en-AU"/>
              </w:rPr>
              <w:t>Meaning</w:t>
            </w:r>
          </w:p>
        </w:tc>
      </w:tr>
      <w:tr w:rsidR="00C14D14" w:rsidRPr="00BB1AA6" w14:paraId="45EED881" w14:textId="77777777" w:rsidTr="00A94C57">
        <w:tc>
          <w:tcPr>
            <w:tcW w:w="1645" w:type="dxa"/>
          </w:tcPr>
          <w:p w14:paraId="22001692" w14:textId="49C3F833" w:rsidR="00C14D14" w:rsidRPr="00217830" w:rsidRDefault="00C14D14" w:rsidP="00C14D14">
            <w:pPr>
              <w:rPr>
                <w:rFonts w:cs="Segoe UI"/>
                <w:color w:val="000000" w:themeColor="text1"/>
                <w:sz w:val="17"/>
                <w:szCs w:val="17"/>
                <w:lang w:eastAsia="en-AU"/>
              </w:rPr>
            </w:pPr>
            <w:r w:rsidRPr="00217830">
              <w:rPr>
                <w:rFonts w:cs="Segoe UI"/>
                <w:i/>
                <w:color w:val="000000" w:themeColor="text1"/>
                <w:sz w:val="17"/>
                <w:szCs w:val="17"/>
                <w:lang w:eastAsia="en-AU"/>
              </w:rPr>
              <w:t>Aboriginal Heritage Act 2006</w:t>
            </w:r>
          </w:p>
        </w:tc>
        <w:tc>
          <w:tcPr>
            <w:tcW w:w="6804" w:type="dxa"/>
          </w:tcPr>
          <w:p w14:paraId="786E98F5" w14:textId="137C7CC3" w:rsidR="00C14D14" w:rsidRPr="00217830" w:rsidRDefault="00C14D14" w:rsidP="00C14D14">
            <w:pPr>
              <w:rPr>
                <w:rFonts w:cs="Segoe UI"/>
                <w:color w:val="000000" w:themeColor="text1"/>
                <w:sz w:val="17"/>
                <w:szCs w:val="17"/>
                <w:lang w:val="en-US"/>
              </w:rPr>
            </w:pPr>
            <w:r w:rsidRPr="00217830">
              <w:rPr>
                <w:rFonts w:cs="Segoe UI"/>
                <w:color w:val="000000" w:themeColor="text1"/>
                <w:sz w:val="17"/>
                <w:szCs w:val="17"/>
                <w:lang w:eastAsia="en-AU"/>
              </w:rPr>
              <w:t xml:space="preserve">The </w:t>
            </w:r>
            <w:r w:rsidRPr="00217830">
              <w:rPr>
                <w:rFonts w:cs="Segoe UI"/>
                <w:i/>
                <w:color w:val="000000" w:themeColor="text1"/>
                <w:sz w:val="17"/>
                <w:szCs w:val="17"/>
                <w:lang w:eastAsia="en-AU"/>
              </w:rPr>
              <w:t xml:space="preserve">Aboriginal Heritage Act 2006 </w:t>
            </w:r>
            <w:r w:rsidRPr="00217830">
              <w:rPr>
                <w:rFonts w:cs="Segoe UI"/>
                <w:color w:val="000000" w:themeColor="text1"/>
                <w:sz w:val="17"/>
                <w:szCs w:val="17"/>
                <w:lang w:eastAsia="en-AU"/>
              </w:rPr>
              <w:t xml:space="preserve">provides </w:t>
            </w:r>
            <w:r w:rsidR="00413B49" w:rsidRPr="00217830">
              <w:rPr>
                <w:rFonts w:cs="Segoe UI"/>
                <w:color w:val="000000" w:themeColor="text1"/>
                <w:sz w:val="17"/>
                <w:szCs w:val="17"/>
                <w:lang w:eastAsia="en-AU"/>
              </w:rPr>
              <w:t>a</w:t>
            </w:r>
            <w:r w:rsidRPr="00217830">
              <w:rPr>
                <w:rFonts w:cs="Segoe UI"/>
                <w:color w:val="000000" w:themeColor="text1"/>
                <w:sz w:val="17"/>
                <w:szCs w:val="17"/>
                <w:lang w:eastAsia="en-AU"/>
              </w:rPr>
              <w:t xml:space="preserve"> framework for local Aboriginal groups to act as Registered Aboriginal Parties to protect Aboriginal heritage Victoria.</w:t>
            </w:r>
          </w:p>
        </w:tc>
      </w:tr>
      <w:tr w:rsidR="00C14D14" w:rsidRPr="00BB1AA6" w14:paraId="42FB9351" w14:textId="77777777" w:rsidTr="00A94C57">
        <w:tc>
          <w:tcPr>
            <w:tcW w:w="1645" w:type="dxa"/>
          </w:tcPr>
          <w:p w14:paraId="2AE9700F" w14:textId="77777777" w:rsidR="00C14D14" w:rsidRPr="00217830" w:rsidRDefault="00C14D14" w:rsidP="00C14D14">
            <w:pPr>
              <w:rPr>
                <w:rFonts w:cs="Segoe UI"/>
                <w:color w:val="000000" w:themeColor="text1"/>
                <w:sz w:val="17"/>
                <w:szCs w:val="17"/>
                <w:lang w:eastAsia="en-AU"/>
              </w:rPr>
            </w:pPr>
            <w:r w:rsidRPr="00217830">
              <w:rPr>
                <w:rFonts w:cs="Segoe UI"/>
                <w:color w:val="000000" w:themeColor="text1"/>
                <w:sz w:val="17"/>
                <w:szCs w:val="17"/>
                <w:lang w:eastAsia="en-AU"/>
              </w:rPr>
              <w:t>Applicant</w:t>
            </w:r>
          </w:p>
        </w:tc>
        <w:tc>
          <w:tcPr>
            <w:tcW w:w="6804" w:type="dxa"/>
          </w:tcPr>
          <w:p w14:paraId="587CB368" w14:textId="77777777" w:rsidR="00C14D14" w:rsidRPr="00217830" w:rsidRDefault="00C14D14" w:rsidP="00C14D14">
            <w:pPr>
              <w:rPr>
                <w:rFonts w:cs="Segoe UI"/>
                <w:color w:val="000000" w:themeColor="text1"/>
                <w:sz w:val="17"/>
                <w:szCs w:val="17"/>
                <w:lang w:val="en-US"/>
              </w:rPr>
            </w:pPr>
            <w:r w:rsidRPr="00217830">
              <w:rPr>
                <w:rFonts w:cs="Segoe UI"/>
                <w:color w:val="000000" w:themeColor="text1"/>
                <w:sz w:val="17"/>
                <w:szCs w:val="17"/>
                <w:lang w:val="en-US"/>
              </w:rPr>
              <w:t>Any person or persons who have been authorised as the selected representative(s) of a native title claim group in native title or determination proceedings.</w:t>
            </w:r>
          </w:p>
        </w:tc>
      </w:tr>
      <w:tr w:rsidR="00C14D14" w:rsidRPr="00BB1AA6" w14:paraId="41FBC25E" w14:textId="77777777" w:rsidTr="00A94C57">
        <w:tc>
          <w:tcPr>
            <w:tcW w:w="1645" w:type="dxa"/>
          </w:tcPr>
          <w:p w14:paraId="484F71E7" w14:textId="77777777" w:rsidR="00C14D14" w:rsidRPr="00217830" w:rsidRDefault="00C14D14" w:rsidP="00C14D14">
            <w:pPr>
              <w:rPr>
                <w:rFonts w:cs="Segoe UI"/>
                <w:color w:val="000000" w:themeColor="text1"/>
                <w:sz w:val="17"/>
                <w:szCs w:val="17"/>
                <w:lang w:eastAsia="en-AU"/>
              </w:rPr>
            </w:pPr>
            <w:r w:rsidRPr="00217830">
              <w:rPr>
                <w:rFonts w:cs="Segoe UI"/>
                <w:color w:val="000000" w:themeColor="text1"/>
                <w:sz w:val="17"/>
                <w:szCs w:val="17"/>
                <w:lang w:eastAsia="en-AU"/>
              </w:rPr>
              <w:t>Client</w:t>
            </w:r>
          </w:p>
        </w:tc>
        <w:tc>
          <w:tcPr>
            <w:tcW w:w="6804" w:type="dxa"/>
          </w:tcPr>
          <w:p w14:paraId="2AD17ED7" w14:textId="77777777" w:rsidR="00C14D14" w:rsidRPr="00217830" w:rsidRDefault="00C14D14" w:rsidP="00C14D14">
            <w:pPr>
              <w:rPr>
                <w:rFonts w:cs="Segoe UI"/>
                <w:color w:val="000000" w:themeColor="text1"/>
                <w:sz w:val="17"/>
                <w:szCs w:val="17"/>
                <w:lang w:eastAsia="en-AU"/>
              </w:rPr>
            </w:pPr>
            <w:r w:rsidRPr="00217830">
              <w:rPr>
                <w:rFonts w:cs="Segoe UI"/>
                <w:color w:val="000000" w:themeColor="text1"/>
                <w:sz w:val="17"/>
                <w:szCs w:val="17"/>
                <w:lang w:eastAsia="en-AU"/>
              </w:rPr>
              <w:t>Any individual or group being provided assistance by an NTRB-SP (including assistance with claims, research and/or PBC support).</w:t>
            </w:r>
          </w:p>
        </w:tc>
      </w:tr>
      <w:tr w:rsidR="00C14D14" w:rsidRPr="00BB1AA6" w14:paraId="7F694900" w14:textId="77777777" w:rsidTr="00A94C57">
        <w:tc>
          <w:tcPr>
            <w:tcW w:w="1645" w:type="dxa"/>
          </w:tcPr>
          <w:p w14:paraId="725C55D4" w14:textId="77777777" w:rsidR="00C14D14" w:rsidRPr="00217830" w:rsidRDefault="00C14D14" w:rsidP="00C14D14">
            <w:pPr>
              <w:rPr>
                <w:rFonts w:cs="Segoe UI"/>
                <w:color w:val="000000" w:themeColor="text1"/>
                <w:sz w:val="17"/>
                <w:szCs w:val="17"/>
                <w:lang w:eastAsia="en-AU"/>
              </w:rPr>
            </w:pPr>
            <w:r w:rsidRPr="00217830">
              <w:rPr>
                <w:rFonts w:cs="Segoe UI"/>
                <w:color w:val="000000" w:themeColor="text1"/>
                <w:sz w:val="17"/>
                <w:szCs w:val="17"/>
                <w:lang w:eastAsia="en-AU"/>
              </w:rPr>
              <w:t>Connection evidence</w:t>
            </w:r>
          </w:p>
        </w:tc>
        <w:tc>
          <w:tcPr>
            <w:tcW w:w="6804" w:type="dxa"/>
          </w:tcPr>
          <w:p w14:paraId="5B55A35F" w14:textId="77777777" w:rsidR="00C14D14" w:rsidRPr="00217830" w:rsidRDefault="00C14D14" w:rsidP="00C14D14">
            <w:pPr>
              <w:rPr>
                <w:rFonts w:cs="Segoe UI"/>
                <w:color w:val="000000" w:themeColor="text1"/>
                <w:sz w:val="17"/>
                <w:szCs w:val="17"/>
                <w:lang w:val="en-US"/>
              </w:rPr>
            </w:pPr>
            <w:r w:rsidRPr="00217830">
              <w:rPr>
                <w:rFonts w:cs="Segoe UI"/>
                <w:color w:val="000000" w:themeColor="text1"/>
                <w:sz w:val="17"/>
                <w:szCs w:val="17"/>
                <w:lang w:val="en-US"/>
              </w:rPr>
              <w:t>Evidence to establish connection of the native title group to the area over which they have lodged a claim. This evidence must demonstrate that the group have continued to observe and acknowledge, in a substantially uninterrupted way, the traditional laws and customs that give rise to their connection with the claim area, from the time of the proclamation of sovereignty to the present day.</w:t>
            </w:r>
          </w:p>
        </w:tc>
      </w:tr>
      <w:tr w:rsidR="00C14D14" w:rsidRPr="00BB1AA6" w14:paraId="518DE299" w14:textId="77777777" w:rsidTr="00A94C57">
        <w:tc>
          <w:tcPr>
            <w:tcW w:w="1645" w:type="dxa"/>
          </w:tcPr>
          <w:p w14:paraId="05228EDF" w14:textId="77777777" w:rsidR="00C14D14" w:rsidRPr="00217830" w:rsidRDefault="00C14D14" w:rsidP="00C14D14">
            <w:pPr>
              <w:rPr>
                <w:rFonts w:cs="Segoe UI"/>
                <w:color w:val="000000" w:themeColor="text1"/>
                <w:sz w:val="17"/>
                <w:szCs w:val="17"/>
                <w:lang w:eastAsia="en-AU"/>
              </w:rPr>
            </w:pPr>
            <w:r w:rsidRPr="00217830">
              <w:rPr>
                <w:rFonts w:cs="Segoe UI"/>
                <w:i/>
                <w:color w:val="000000" w:themeColor="text1"/>
                <w:sz w:val="17"/>
                <w:szCs w:val="17"/>
                <w:lang w:val="en-US"/>
              </w:rPr>
              <w:t xml:space="preserve">Corporations (Aboriginal and Torres Strait Islander) Act 2006 </w:t>
            </w:r>
            <w:r w:rsidRPr="00217830">
              <w:rPr>
                <w:rFonts w:cs="Segoe UI"/>
                <w:color w:val="000000" w:themeColor="text1"/>
                <w:sz w:val="17"/>
                <w:szCs w:val="17"/>
                <w:lang w:val="en-US"/>
              </w:rPr>
              <w:t xml:space="preserve">(Cth) (the </w:t>
            </w:r>
            <w:r w:rsidRPr="00217830">
              <w:rPr>
                <w:rFonts w:cs="Segoe UI"/>
                <w:i/>
                <w:color w:val="000000" w:themeColor="text1"/>
                <w:sz w:val="17"/>
                <w:szCs w:val="17"/>
                <w:lang w:val="en-US"/>
              </w:rPr>
              <w:t>CATSI Act</w:t>
            </w:r>
            <w:r w:rsidRPr="00217830">
              <w:rPr>
                <w:rFonts w:cs="Segoe UI"/>
                <w:color w:val="000000" w:themeColor="text1"/>
                <w:sz w:val="17"/>
                <w:szCs w:val="17"/>
                <w:lang w:val="en-US"/>
              </w:rPr>
              <w:t>)</w:t>
            </w:r>
          </w:p>
        </w:tc>
        <w:tc>
          <w:tcPr>
            <w:tcW w:w="6804" w:type="dxa"/>
          </w:tcPr>
          <w:p w14:paraId="19CFBCE2" w14:textId="77777777" w:rsidR="00C14D14" w:rsidRPr="00217830" w:rsidRDefault="00C14D14" w:rsidP="00C14D14">
            <w:pPr>
              <w:rPr>
                <w:rFonts w:cs="Segoe UI"/>
                <w:color w:val="000000" w:themeColor="text1"/>
                <w:sz w:val="17"/>
                <w:szCs w:val="17"/>
                <w:lang w:val="en-US"/>
              </w:rPr>
            </w:pPr>
            <w:r w:rsidRPr="00217830">
              <w:rPr>
                <w:rFonts w:cs="Segoe UI"/>
                <w:color w:val="000000" w:themeColor="text1"/>
                <w:sz w:val="17"/>
                <w:szCs w:val="17"/>
                <w:lang w:val="en-US"/>
              </w:rPr>
              <w:t xml:space="preserve">The </w:t>
            </w:r>
            <w:r w:rsidRPr="00217830">
              <w:rPr>
                <w:rFonts w:cs="Segoe UI"/>
                <w:i/>
                <w:color w:val="000000" w:themeColor="text1"/>
                <w:sz w:val="17"/>
                <w:szCs w:val="17"/>
                <w:lang w:val="en-US"/>
              </w:rPr>
              <w:t xml:space="preserve">Corporations (Aboriginal and Torres Strait Islander) Act 2006 </w:t>
            </w:r>
            <w:r w:rsidRPr="00217830">
              <w:rPr>
                <w:rFonts w:cs="Segoe UI"/>
                <w:color w:val="000000" w:themeColor="text1"/>
                <w:sz w:val="17"/>
                <w:szCs w:val="17"/>
                <w:lang w:val="en-US"/>
              </w:rPr>
              <w:t>(Cth) is the law that establishes the role of the Registrar of Indigenous Corporations and enables Aboriginal and Torres Strait Islander groups to form Aboriginal and Torres Strait Islander corporations.</w:t>
            </w:r>
          </w:p>
        </w:tc>
      </w:tr>
      <w:tr w:rsidR="00C14D14" w:rsidRPr="00BB1AA6" w14:paraId="31032D14" w14:textId="77777777" w:rsidTr="00A94C57">
        <w:tc>
          <w:tcPr>
            <w:tcW w:w="1645" w:type="dxa"/>
          </w:tcPr>
          <w:p w14:paraId="4B3ADFC6" w14:textId="77777777" w:rsidR="00C14D14" w:rsidRPr="00217830" w:rsidRDefault="00C14D14" w:rsidP="00C14D14">
            <w:pPr>
              <w:rPr>
                <w:rFonts w:cs="Segoe UI"/>
                <w:color w:val="000000" w:themeColor="text1"/>
                <w:sz w:val="17"/>
                <w:szCs w:val="17"/>
                <w:lang w:eastAsia="en-AU"/>
              </w:rPr>
            </w:pPr>
            <w:r w:rsidRPr="00217830">
              <w:rPr>
                <w:rFonts w:cs="Segoe UI"/>
                <w:color w:val="000000" w:themeColor="text1"/>
                <w:sz w:val="17"/>
                <w:szCs w:val="17"/>
                <w:lang w:eastAsia="en-AU"/>
              </w:rPr>
              <w:t>Determination</w:t>
            </w:r>
          </w:p>
        </w:tc>
        <w:tc>
          <w:tcPr>
            <w:tcW w:w="6804" w:type="dxa"/>
          </w:tcPr>
          <w:p w14:paraId="2CA780C1" w14:textId="77777777" w:rsidR="00C14D14" w:rsidRPr="00217830" w:rsidRDefault="00C14D14" w:rsidP="00C14D14">
            <w:pPr>
              <w:rPr>
                <w:rFonts w:cs="Segoe UI"/>
                <w:color w:val="000000" w:themeColor="text1"/>
                <w:sz w:val="17"/>
                <w:szCs w:val="17"/>
                <w:lang w:val="en-US"/>
              </w:rPr>
            </w:pPr>
            <w:r w:rsidRPr="00217830">
              <w:rPr>
                <w:rFonts w:cs="Segoe UI"/>
                <w:color w:val="000000" w:themeColor="text1"/>
                <w:sz w:val="17"/>
                <w:szCs w:val="17"/>
                <w:lang w:val="en-US"/>
              </w:rPr>
              <w:t>A decision by the Federal or High Court of Australia. A determination is made either when parties have reached an agreement after mediation (consent determination) or following a trial process (litigated determination).</w:t>
            </w:r>
          </w:p>
        </w:tc>
      </w:tr>
      <w:tr w:rsidR="00C14D14" w:rsidRPr="00BB1AA6" w14:paraId="2B08360D" w14:textId="77777777" w:rsidTr="00A94C57">
        <w:tc>
          <w:tcPr>
            <w:tcW w:w="1645" w:type="dxa"/>
          </w:tcPr>
          <w:p w14:paraId="61E51E3F" w14:textId="77777777" w:rsidR="00C14D14" w:rsidRPr="00217830" w:rsidRDefault="00C14D14" w:rsidP="00C14D14">
            <w:pPr>
              <w:rPr>
                <w:rFonts w:cs="Segoe UI"/>
                <w:color w:val="000000" w:themeColor="text1"/>
                <w:sz w:val="17"/>
                <w:szCs w:val="17"/>
                <w:lang w:eastAsia="en-AU"/>
              </w:rPr>
            </w:pPr>
            <w:r w:rsidRPr="00217830">
              <w:rPr>
                <w:rFonts w:cs="Segoe UI"/>
                <w:color w:val="000000" w:themeColor="text1"/>
                <w:sz w:val="17"/>
                <w:szCs w:val="17"/>
                <w:lang w:eastAsia="en-AU"/>
              </w:rPr>
              <w:t>Extinguishment</w:t>
            </w:r>
          </w:p>
        </w:tc>
        <w:tc>
          <w:tcPr>
            <w:tcW w:w="6804" w:type="dxa"/>
          </w:tcPr>
          <w:p w14:paraId="2DC649C1" w14:textId="77777777" w:rsidR="00C14D14" w:rsidRPr="00217830" w:rsidRDefault="00C14D14" w:rsidP="00C14D14">
            <w:pPr>
              <w:rPr>
                <w:rFonts w:cs="Segoe UI"/>
                <w:color w:val="000000" w:themeColor="text1"/>
                <w:sz w:val="17"/>
                <w:szCs w:val="17"/>
                <w:lang w:val="en-US"/>
              </w:rPr>
            </w:pPr>
            <w:r w:rsidRPr="00217830">
              <w:rPr>
                <w:rFonts w:cs="Segoe UI"/>
                <w:color w:val="000000" w:themeColor="text1"/>
                <w:sz w:val="17"/>
                <w:szCs w:val="17"/>
                <w:lang w:val="en-US"/>
              </w:rPr>
              <w:t>Occurs over a defined area when Australian law does not recognise the existence of native title rights and interests because of legislation or common law precedent. Extinguishment can be whole or partial.</w:t>
            </w:r>
          </w:p>
        </w:tc>
      </w:tr>
      <w:tr w:rsidR="00C14D14" w:rsidRPr="00BB1AA6" w14:paraId="46D5E9F2" w14:textId="77777777" w:rsidTr="00A94C57">
        <w:tc>
          <w:tcPr>
            <w:tcW w:w="1645" w:type="dxa"/>
          </w:tcPr>
          <w:p w14:paraId="750E4864" w14:textId="77777777" w:rsidR="00C14D14" w:rsidRPr="00217830" w:rsidRDefault="00C14D14" w:rsidP="00C14D14">
            <w:pPr>
              <w:rPr>
                <w:rFonts w:cs="Segoe UI"/>
                <w:color w:val="000000" w:themeColor="text1"/>
                <w:sz w:val="17"/>
                <w:szCs w:val="17"/>
                <w:lang w:eastAsia="en-AU"/>
              </w:rPr>
            </w:pPr>
            <w:r w:rsidRPr="00217830">
              <w:rPr>
                <w:rFonts w:cs="Segoe UI"/>
                <w:color w:val="000000" w:themeColor="text1"/>
                <w:sz w:val="17"/>
                <w:szCs w:val="17"/>
                <w:lang w:eastAsia="en-AU"/>
              </w:rPr>
              <w:t>Future act</w:t>
            </w:r>
          </w:p>
        </w:tc>
        <w:tc>
          <w:tcPr>
            <w:tcW w:w="6804" w:type="dxa"/>
          </w:tcPr>
          <w:p w14:paraId="3FFC22F5" w14:textId="77777777" w:rsidR="00C14D14" w:rsidRPr="00217830" w:rsidRDefault="00C14D14" w:rsidP="00C14D14">
            <w:pPr>
              <w:pStyle w:val="Default"/>
              <w:rPr>
                <w:rFonts w:ascii="Segoe UI" w:hAnsi="Segoe UI" w:cs="Segoe UI"/>
                <w:color w:val="000000" w:themeColor="text1"/>
                <w:sz w:val="17"/>
                <w:szCs w:val="17"/>
              </w:rPr>
            </w:pPr>
            <w:r w:rsidRPr="00217830">
              <w:rPr>
                <w:rFonts w:ascii="Segoe UI" w:hAnsi="Segoe UI" w:cs="Segoe UI"/>
                <w:color w:val="000000" w:themeColor="text1"/>
                <w:sz w:val="17"/>
                <w:szCs w:val="17"/>
              </w:rPr>
              <w:t>A legislative or non-legislative act in relation to land or waters that may impact on the ability of native title holders to exercise native title rights; either through extinguishment or creating interests that are wholly or partly inconsistent with the continued existence of native title.</w:t>
            </w:r>
          </w:p>
        </w:tc>
      </w:tr>
      <w:tr w:rsidR="00C14D14" w:rsidRPr="00BB1AA6" w14:paraId="6047CF62" w14:textId="77777777" w:rsidTr="00A94C57">
        <w:tc>
          <w:tcPr>
            <w:tcW w:w="1645" w:type="dxa"/>
          </w:tcPr>
          <w:p w14:paraId="177CB3B2" w14:textId="77777777" w:rsidR="00C14D14" w:rsidRPr="00217830" w:rsidRDefault="00C14D14" w:rsidP="00C14D14">
            <w:pPr>
              <w:rPr>
                <w:rFonts w:cs="Segoe UI"/>
                <w:color w:val="000000" w:themeColor="text1"/>
                <w:sz w:val="17"/>
                <w:szCs w:val="17"/>
                <w:lang w:eastAsia="en-AU"/>
              </w:rPr>
            </w:pPr>
            <w:r w:rsidRPr="00217830">
              <w:rPr>
                <w:rFonts w:cs="Segoe UI"/>
                <w:color w:val="000000" w:themeColor="text1"/>
                <w:sz w:val="17"/>
                <w:szCs w:val="17"/>
                <w:lang w:eastAsia="en-AU"/>
              </w:rPr>
              <w:t>Indigenous Land Use Agreement (ILUA)</w:t>
            </w:r>
          </w:p>
        </w:tc>
        <w:tc>
          <w:tcPr>
            <w:tcW w:w="6804" w:type="dxa"/>
          </w:tcPr>
          <w:p w14:paraId="260671C8" w14:textId="77777777" w:rsidR="00C14D14" w:rsidRPr="00217830" w:rsidRDefault="00C14D14" w:rsidP="00C14D14">
            <w:pPr>
              <w:rPr>
                <w:rFonts w:cs="Segoe UI"/>
                <w:color w:val="000000" w:themeColor="text1"/>
                <w:sz w:val="17"/>
                <w:szCs w:val="17"/>
                <w:lang w:eastAsia="en-AU"/>
              </w:rPr>
            </w:pPr>
            <w:r w:rsidRPr="00217830">
              <w:rPr>
                <w:rFonts w:cs="Segoe UI"/>
                <w:color w:val="000000" w:themeColor="text1"/>
                <w:sz w:val="17"/>
                <w:szCs w:val="17"/>
                <w:lang w:eastAsia="en-AU"/>
              </w:rPr>
              <w:t>A voluntary, legally binding agreement governing the use and management of land or waters over which native title exists or might exists. The conditions of each ILUA are determined by way of negotiations between native title holders and other interest holders (such as a state or mining company). These negotiations are often facilitated by NTRB-SPs.</w:t>
            </w:r>
          </w:p>
        </w:tc>
      </w:tr>
      <w:tr w:rsidR="00C14D14" w:rsidRPr="00BB1AA6" w14:paraId="7A23795A" w14:textId="77777777" w:rsidTr="00A94C57">
        <w:tc>
          <w:tcPr>
            <w:tcW w:w="1645" w:type="dxa"/>
          </w:tcPr>
          <w:p w14:paraId="3DEBD89D" w14:textId="77777777" w:rsidR="00C14D14" w:rsidRPr="00217830" w:rsidRDefault="00C14D14" w:rsidP="00C14D14">
            <w:pPr>
              <w:rPr>
                <w:rFonts w:cs="Segoe UI"/>
                <w:color w:val="000000" w:themeColor="text1"/>
                <w:sz w:val="17"/>
                <w:szCs w:val="17"/>
                <w:lang w:eastAsia="en-AU"/>
              </w:rPr>
            </w:pPr>
            <w:r w:rsidRPr="00217830">
              <w:rPr>
                <w:rFonts w:cs="Segoe UI"/>
                <w:color w:val="000000" w:themeColor="text1"/>
                <w:sz w:val="17"/>
                <w:szCs w:val="17"/>
                <w:lang w:eastAsia="en-AU"/>
              </w:rPr>
              <w:t>National Native Title Tribunal (NNTT)</w:t>
            </w:r>
          </w:p>
        </w:tc>
        <w:tc>
          <w:tcPr>
            <w:tcW w:w="6804" w:type="dxa"/>
          </w:tcPr>
          <w:p w14:paraId="1BE1DC19" w14:textId="77777777" w:rsidR="00C14D14" w:rsidRPr="00217830" w:rsidRDefault="00C14D14" w:rsidP="00C14D14">
            <w:pPr>
              <w:rPr>
                <w:rFonts w:cs="Segoe UI"/>
                <w:color w:val="000000" w:themeColor="text1"/>
                <w:sz w:val="17"/>
                <w:szCs w:val="17"/>
                <w:lang w:val="en-US"/>
              </w:rPr>
            </w:pPr>
            <w:r w:rsidRPr="00217830">
              <w:rPr>
                <w:rFonts w:cs="Segoe UI"/>
                <w:color w:val="000000" w:themeColor="text1"/>
                <w:sz w:val="17"/>
                <w:szCs w:val="17"/>
                <w:lang w:val="en-US"/>
              </w:rPr>
              <w:t xml:space="preserve">An independent statutory body established under s 107 of the </w:t>
            </w:r>
            <w:r w:rsidRPr="000B2AA2">
              <w:rPr>
                <w:rStyle w:val="Emphasis"/>
                <w:rFonts w:cs="Segoe UI"/>
                <w:i w:val="0"/>
                <w:iCs w:val="0"/>
                <w:color w:val="000000" w:themeColor="text1"/>
                <w:sz w:val="17"/>
                <w:szCs w:val="17"/>
                <w:lang w:val="en-US"/>
              </w:rPr>
              <w:t>NTA</w:t>
            </w:r>
            <w:r w:rsidRPr="00217830">
              <w:rPr>
                <w:rStyle w:val="Emphasis"/>
                <w:rFonts w:cs="Segoe UI"/>
                <w:color w:val="000000" w:themeColor="text1"/>
                <w:sz w:val="17"/>
                <w:szCs w:val="17"/>
                <w:lang w:val="en-US"/>
              </w:rPr>
              <w:t xml:space="preserve"> </w:t>
            </w:r>
            <w:r w:rsidRPr="00217830">
              <w:rPr>
                <w:rFonts w:cs="Segoe UI"/>
                <w:color w:val="000000" w:themeColor="text1"/>
                <w:sz w:val="17"/>
                <w:szCs w:val="17"/>
                <w:lang w:val="en-US"/>
              </w:rPr>
              <w:t>to assist people in resolving native title issues by:</w:t>
            </w:r>
          </w:p>
          <w:p w14:paraId="42C5757C" w14:textId="77777777" w:rsidR="00C14D14" w:rsidRPr="00217830" w:rsidRDefault="00C14D14" w:rsidP="009F248D">
            <w:pPr>
              <w:pStyle w:val="ListParagraph"/>
              <w:numPr>
                <w:ilvl w:val="0"/>
                <w:numId w:val="10"/>
              </w:numPr>
              <w:rPr>
                <w:rFonts w:cs="Segoe UI"/>
                <w:color w:val="000000" w:themeColor="text1"/>
                <w:sz w:val="17"/>
                <w:szCs w:val="17"/>
                <w:lang w:val="en-US"/>
              </w:rPr>
            </w:pPr>
            <w:r w:rsidRPr="00217830">
              <w:rPr>
                <w:rFonts w:cs="Segoe UI"/>
                <w:color w:val="000000" w:themeColor="text1"/>
                <w:sz w:val="17"/>
                <w:szCs w:val="17"/>
                <w:lang w:val="en-US"/>
              </w:rPr>
              <w:t>mediating between the parties to native title applications at the direction of the Federal Court</w:t>
            </w:r>
          </w:p>
          <w:p w14:paraId="2C38FE0D" w14:textId="77777777" w:rsidR="00C14D14" w:rsidRPr="00217830" w:rsidRDefault="00C14D14" w:rsidP="009F248D">
            <w:pPr>
              <w:pStyle w:val="ListParagraph"/>
              <w:numPr>
                <w:ilvl w:val="0"/>
                <w:numId w:val="10"/>
              </w:numPr>
              <w:rPr>
                <w:rFonts w:cs="Segoe UI"/>
                <w:color w:val="000000" w:themeColor="text1"/>
                <w:sz w:val="17"/>
                <w:szCs w:val="17"/>
                <w:lang w:val="en-US"/>
              </w:rPr>
            </w:pPr>
            <w:r w:rsidRPr="00217830">
              <w:rPr>
                <w:rFonts w:cs="Segoe UI"/>
                <w:color w:val="000000" w:themeColor="text1"/>
                <w:sz w:val="17"/>
                <w:szCs w:val="17"/>
                <w:lang w:val="en-US"/>
              </w:rPr>
              <w:t>acting as an arbitrator in situations where the people cannot reach agreement about certain future acts</w:t>
            </w:r>
          </w:p>
          <w:p w14:paraId="2176F0B2" w14:textId="77777777" w:rsidR="00C14D14" w:rsidRPr="00217830" w:rsidRDefault="00C14D14" w:rsidP="009F248D">
            <w:pPr>
              <w:pStyle w:val="ListParagraph"/>
              <w:numPr>
                <w:ilvl w:val="0"/>
                <w:numId w:val="10"/>
              </w:numPr>
              <w:rPr>
                <w:rFonts w:cs="Segoe UI"/>
                <w:color w:val="000000" w:themeColor="text1"/>
                <w:sz w:val="17"/>
                <w:szCs w:val="17"/>
                <w:lang w:val="en-US"/>
              </w:rPr>
            </w:pPr>
            <w:r w:rsidRPr="00217830">
              <w:rPr>
                <w:rFonts w:cs="Segoe UI"/>
                <w:color w:val="000000" w:themeColor="text1"/>
                <w:sz w:val="17"/>
                <w:szCs w:val="17"/>
                <w:lang w:val="en-US"/>
              </w:rPr>
              <w:t>helping people to negotiate ILUAs</w:t>
            </w:r>
          </w:p>
          <w:p w14:paraId="6AFCAA70" w14:textId="1E019E5F" w:rsidR="00C14D14" w:rsidRPr="00217830" w:rsidRDefault="00C14D14" w:rsidP="00C14D14">
            <w:pPr>
              <w:rPr>
                <w:rFonts w:cs="Segoe UI"/>
                <w:color w:val="000000" w:themeColor="text1"/>
                <w:sz w:val="17"/>
                <w:szCs w:val="17"/>
                <w:lang w:val="en-US"/>
              </w:rPr>
            </w:pPr>
            <w:r w:rsidRPr="00217830">
              <w:rPr>
                <w:rFonts w:cs="Segoe UI"/>
                <w:color w:val="000000" w:themeColor="text1"/>
                <w:sz w:val="17"/>
                <w:szCs w:val="17"/>
                <w:lang w:val="en-US"/>
              </w:rPr>
              <w:lastRenderedPageBreak/>
              <w:t xml:space="preserve">The NNTT maintains three registers relating to native title applications, determinations and ILUAs. It also maintains databases regarding future act matters and geospatial tools.   </w:t>
            </w:r>
          </w:p>
        </w:tc>
      </w:tr>
      <w:tr w:rsidR="00C14D14" w:rsidRPr="00BB1AA6" w14:paraId="11D50C5F" w14:textId="77777777" w:rsidTr="00A94C57">
        <w:tc>
          <w:tcPr>
            <w:tcW w:w="1645" w:type="dxa"/>
          </w:tcPr>
          <w:p w14:paraId="3DF37CD6" w14:textId="77777777" w:rsidR="00C14D14" w:rsidRPr="00217830" w:rsidRDefault="00C14D14" w:rsidP="00C14D14">
            <w:pPr>
              <w:rPr>
                <w:rFonts w:cs="Segoe UI"/>
                <w:color w:val="000000" w:themeColor="text1"/>
                <w:sz w:val="17"/>
                <w:szCs w:val="17"/>
                <w:lang w:eastAsia="en-AU"/>
              </w:rPr>
            </w:pPr>
            <w:r w:rsidRPr="00217830">
              <w:rPr>
                <w:rFonts w:cs="Segoe UI"/>
                <w:color w:val="000000" w:themeColor="text1"/>
                <w:sz w:val="17"/>
                <w:szCs w:val="17"/>
                <w:lang w:eastAsia="en-AU"/>
              </w:rPr>
              <w:lastRenderedPageBreak/>
              <w:t>Native title</w:t>
            </w:r>
          </w:p>
        </w:tc>
        <w:tc>
          <w:tcPr>
            <w:tcW w:w="6804" w:type="dxa"/>
          </w:tcPr>
          <w:p w14:paraId="4109036C" w14:textId="77777777" w:rsidR="00C14D14" w:rsidRPr="00217830" w:rsidRDefault="00C14D14" w:rsidP="00C14D14">
            <w:pPr>
              <w:rPr>
                <w:rFonts w:cs="Segoe UI"/>
                <w:color w:val="000000" w:themeColor="text1"/>
                <w:sz w:val="17"/>
                <w:szCs w:val="17"/>
                <w:lang w:val="en-US"/>
              </w:rPr>
            </w:pPr>
            <w:r w:rsidRPr="00217830">
              <w:rPr>
                <w:rFonts w:cs="Segoe UI"/>
                <w:color w:val="000000" w:themeColor="text1"/>
                <w:sz w:val="17"/>
                <w:szCs w:val="17"/>
                <w:lang w:val="en-US"/>
              </w:rPr>
              <w:t xml:space="preserve">The communal, group or individual rights and interests of Aboriginal peoples and Torres Strait Islanders in relation to land and waters, possessed under traditional law and custom, by which those people have a connection with an area which is recognised under Australian law (s 223 </w:t>
            </w:r>
            <w:r w:rsidRPr="00217830">
              <w:rPr>
                <w:rFonts w:cs="Segoe UI"/>
                <w:i/>
                <w:color w:val="000000" w:themeColor="text1"/>
                <w:sz w:val="17"/>
                <w:szCs w:val="17"/>
                <w:lang w:val="en-US"/>
              </w:rPr>
              <w:t>NTA</w:t>
            </w:r>
            <w:r w:rsidRPr="00217830">
              <w:rPr>
                <w:rFonts w:cs="Segoe UI"/>
                <w:color w:val="000000" w:themeColor="text1"/>
                <w:sz w:val="17"/>
                <w:szCs w:val="17"/>
                <w:lang w:val="en-US"/>
              </w:rPr>
              <w:t>).</w:t>
            </w:r>
          </w:p>
        </w:tc>
      </w:tr>
      <w:tr w:rsidR="00C14D14" w:rsidRPr="00BB1AA6" w14:paraId="20A84EA5" w14:textId="77777777" w:rsidTr="00A94C57">
        <w:tc>
          <w:tcPr>
            <w:tcW w:w="1645" w:type="dxa"/>
          </w:tcPr>
          <w:p w14:paraId="35484C96" w14:textId="77777777" w:rsidR="00C14D14" w:rsidRPr="00217830" w:rsidRDefault="00C14D14" w:rsidP="00C14D14">
            <w:pPr>
              <w:rPr>
                <w:rFonts w:cs="Segoe UI"/>
                <w:color w:val="000000" w:themeColor="text1"/>
                <w:sz w:val="17"/>
                <w:szCs w:val="17"/>
                <w:lang w:eastAsia="en-AU"/>
              </w:rPr>
            </w:pPr>
            <w:r w:rsidRPr="00217830">
              <w:rPr>
                <w:rFonts w:cs="Segoe UI"/>
                <w:i/>
                <w:color w:val="000000" w:themeColor="text1"/>
                <w:sz w:val="17"/>
                <w:szCs w:val="17"/>
                <w:lang w:eastAsia="en-AU"/>
              </w:rPr>
              <w:t>Native Title Act 1993</w:t>
            </w:r>
            <w:r w:rsidRPr="00217830">
              <w:rPr>
                <w:rFonts w:cs="Segoe UI"/>
                <w:color w:val="000000" w:themeColor="text1"/>
                <w:sz w:val="17"/>
                <w:szCs w:val="17"/>
                <w:lang w:eastAsia="en-AU"/>
              </w:rPr>
              <w:t xml:space="preserve"> (Cth) (</w:t>
            </w:r>
            <w:r w:rsidRPr="00217830">
              <w:rPr>
                <w:rFonts w:cs="Segoe UI"/>
                <w:i/>
                <w:color w:val="000000" w:themeColor="text1"/>
                <w:sz w:val="17"/>
                <w:szCs w:val="17"/>
                <w:lang w:eastAsia="en-AU"/>
              </w:rPr>
              <w:t>NTA</w:t>
            </w:r>
            <w:r w:rsidRPr="00217830">
              <w:rPr>
                <w:rFonts w:cs="Segoe UI"/>
                <w:color w:val="000000" w:themeColor="text1"/>
                <w:sz w:val="17"/>
                <w:szCs w:val="17"/>
                <w:lang w:eastAsia="en-AU"/>
              </w:rPr>
              <w:t>)</w:t>
            </w:r>
          </w:p>
        </w:tc>
        <w:tc>
          <w:tcPr>
            <w:tcW w:w="6804" w:type="dxa"/>
          </w:tcPr>
          <w:p w14:paraId="31AEF98C" w14:textId="77777777" w:rsidR="00C14D14" w:rsidRPr="00217830" w:rsidRDefault="00C14D14" w:rsidP="00C14D14">
            <w:pPr>
              <w:rPr>
                <w:rFonts w:cs="Segoe UI"/>
                <w:i/>
                <w:color w:val="000000" w:themeColor="text1"/>
                <w:sz w:val="17"/>
                <w:szCs w:val="17"/>
                <w:lang w:eastAsia="en-AU"/>
              </w:rPr>
            </w:pPr>
            <w:r w:rsidRPr="00217830">
              <w:rPr>
                <w:rFonts w:cs="Segoe UI"/>
                <w:sz w:val="17"/>
                <w:szCs w:val="17"/>
                <w:lang w:val="en"/>
              </w:rPr>
              <w:t>The </w:t>
            </w:r>
            <w:r w:rsidRPr="00217830">
              <w:rPr>
                <w:rFonts w:cs="Segoe UI"/>
                <w:i/>
                <w:sz w:val="17"/>
                <w:szCs w:val="17"/>
                <w:lang w:val="en"/>
              </w:rPr>
              <w:t xml:space="preserve">Native Title Act 1993 </w:t>
            </w:r>
            <w:r w:rsidRPr="00217830">
              <w:rPr>
                <w:rFonts w:cs="Segoe UI"/>
                <w:sz w:val="17"/>
                <w:szCs w:val="17"/>
                <w:lang w:val="en"/>
              </w:rPr>
              <w:t>(Cth) established the procedure for making native title claims, and is the primary piece of Commonwealth Government legislation allowing Indigenous Australians to seek rights over land and waters arising from their original ownership under traditional law and custom.</w:t>
            </w:r>
          </w:p>
        </w:tc>
      </w:tr>
      <w:tr w:rsidR="00C14D14" w:rsidRPr="00BB1AA6" w14:paraId="6F40318D" w14:textId="77777777" w:rsidTr="00A94C57">
        <w:tc>
          <w:tcPr>
            <w:tcW w:w="1645" w:type="dxa"/>
          </w:tcPr>
          <w:p w14:paraId="73DDE129" w14:textId="77777777" w:rsidR="00C14D14" w:rsidRPr="00217830" w:rsidRDefault="00C14D14" w:rsidP="00C14D14">
            <w:pPr>
              <w:rPr>
                <w:rFonts w:cs="Segoe UI"/>
                <w:color w:val="000000" w:themeColor="text1"/>
                <w:sz w:val="17"/>
                <w:szCs w:val="17"/>
                <w:lang w:eastAsia="en-AU"/>
              </w:rPr>
            </w:pPr>
            <w:r w:rsidRPr="00217830">
              <w:rPr>
                <w:rFonts w:cs="Segoe UI"/>
                <w:color w:val="000000" w:themeColor="text1"/>
                <w:sz w:val="17"/>
                <w:szCs w:val="17"/>
                <w:lang w:eastAsia="en-AU"/>
              </w:rPr>
              <w:t>Native Title Representative Body (NTRB)</w:t>
            </w:r>
          </w:p>
        </w:tc>
        <w:tc>
          <w:tcPr>
            <w:tcW w:w="6804" w:type="dxa"/>
          </w:tcPr>
          <w:p w14:paraId="2213DE34" w14:textId="77777777" w:rsidR="00C14D14" w:rsidRPr="00217830" w:rsidRDefault="00C14D14" w:rsidP="00C14D14">
            <w:pPr>
              <w:pStyle w:val="Default"/>
              <w:rPr>
                <w:rFonts w:ascii="Segoe UI" w:hAnsi="Segoe UI" w:cs="Segoe UI"/>
                <w:color w:val="000000" w:themeColor="text1"/>
                <w:sz w:val="17"/>
                <w:szCs w:val="17"/>
              </w:rPr>
            </w:pPr>
            <w:r w:rsidRPr="00217830">
              <w:rPr>
                <w:rFonts w:ascii="Segoe UI" w:hAnsi="Segoe UI" w:cs="Segoe UI"/>
                <w:color w:val="000000" w:themeColor="text1"/>
                <w:sz w:val="17"/>
                <w:szCs w:val="17"/>
              </w:rPr>
              <w:t xml:space="preserve">Recognised organisations which are funded by the Australian Government to perform functions to assist native title groups in a specific region, according to the provisions in Part 11 of the </w:t>
            </w:r>
            <w:r w:rsidRPr="00217830">
              <w:rPr>
                <w:rFonts w:ascii="Segoe UI" w:hAnsi="Segoe UI" w:cs="Segoe UI"/>
                <w:i/>
                <w:iCs/>
                <w:color w:val="000000" w:themeColor="text1"/>
                <w:sz w:val="17"/>
                <w:szCs w:val="17"/>
              </w:rPr>
              <w:t>Native Title Act 1993</w:t>
            </w:r>
            <w:r w:rsidRPr="00217830">
              <w:rPr>
                <w:rFonts w:ascii="Segoe UI" w:hAnsi="Segoe UI" w:cs="Segoe UI"/>
                <w:color w:val="000000" w:themeColor="text1"/>
                <w:sz w:val="17"/>
                <w:szCs w:val="17"/>
              </w:rPr>
              <w:t xml:space="preserve">. </w:t>
            </w:r>
          </w:p>
        </w:tc>
      </w:tr>
      <w:tr w:rsidR="00C14D14" w:rsidRPr="00BB1AA6" w14:paraId="44CE44DD" w14:textId="77777777" w:rsidTr="00A94C57">
        <w:tc>
          <w:tcPr>
            <w:tcW w:w="1645" w:type="dxa"/>
          </w:tcPr>
          <w:p w14:paraId="0CB9E510" w14:textId="77777777" w:rsidR="00C14D14" w:rsidRPr="00217830" w:rsidRDefault="00C14D14" w:rsidP="00C14D14">
            <w:pPr>
              <w:rPr>
                <w:rFonts w:cs="Segoe UI"/>
                <w:color w:val="000000" w:themeColor="text1"/>
                <w:sz w:val="17"/>
                <w:szCs w:val="17"/>
                <w:lang w:eastAsia="en-AU"/>
              </w:rPr>
            </w:pPr>
            <w:r w:rsidRPr="00217830">
              <w:rPr>
                <w:rFonts w:cs="Segoe UI"/>
                <w:color w:val="000000" w:themeColor="text1"/>
                <w:sz w:val="17"/>
                <w:szCs w:val="17"/>
                <w:lang w:eastAsia="en-AU"/>
              </w:rPr>
              <w:t>Native Title Service Provider (NTSP)</w:t>
            </w:r>
          </w:p>
        </w:tc>
        <w:tc>
          <w:tcPr>
            <w:tcW w:w="6804" w:type="dxa"/>
          </w:tcPr>
          <w:p w14:paraId="52954D96" w14:textId="77777777" w:rsidR="00C14D14" w:rsidRPr="00217830" w:rsidRDefault="00C14D14" w:rsidP="00C14D14">
            <w:pPr>
              <w:pStyle w:val="Default"/>
              <w:rPr>
                <w:rFonts w:ascii="Segoe UI" w:hAnsi="Segoe UI" w:cs="Segoe UI"/>
                <w:color w:val="000000" w:themeColor="text1"/>
                <w:sz w:val="17"/>
                <w:szCs w:val="17"/>
              </w:rPr>
            </w:pPr>
            <w:r w:rsidRPr="00217830">
              <w:rPr>
                <w:rFonts w:ascii="Segoe UI" w:hAnsi="Segoe UI" w:cs="Segoe UI"/>
                <w:color w:val="000000" w:themeColor="text1"/>
                <w:sz w:val="17"/>
                <w:szCs w:val="17"/>
              </w:rPr>
              <w:t>Organisations funded by the Australian Government to perform all or some of the same functions as NTRBs in areas where NTRBs have not been recognised.</w:t>
            </w:r>
          </w:p>
        </w:tc>
      </w:tr>
      <w:tr w:rsidR="00C14D14" w:rsidRPr="00BB1AA6" w14:paraId="1EFEBF5A" w14:textId="77777777" w:rsidTr="00A94C57">
        <w:tc>
          <w:tcPr>
            <w:tcW w:w="1645" w:type="dxa"/>
          </w:tcPr>
          <w:p w14:paraId="3834B62A" w14:textId="77777777" w:rsidR="00C14D14" w:rsidRPr="00217830" w:rsidRDefault="00C14D14" w:rsidP="00C14D14">
            <w:pPr>
              <w:rPr>
                <w:rFonts w:cs="Segoe UI"/>
                <w:color w:val="000000" w:themeColor="text1"/>
                <w:sz w:val="17"/>
                <w:szCs w:val="17"/>
                <w:lang w:eastAsia="en-AU"/>
              </w:rPr>
            </w:pPr>
            <w:r w:rsidRPr="00217830">
              <w:rPr>
                <w:rFonts w:cs="Segoe UI"/>
                <w:color w:val="000000" w:themeColor="text1"/>
                <w:sz w:val="17"/>
                <w:szCs w:val="17"/>
                <w:lang w:eastAsia="en-AU"/>
              </w:rPr>
              <w:t>Non-claimant application</w:t>
            </w:r>
          </w:p>
        </w:tc>
        <w:tc>
          <w:tcPr>
            <w:tcW w:w="6804" w:type="dxa"/>
          </w:tcPr>
          <w:p w14:paraId="593D47F7" w14:textId="77777777" w:rsidR="00C14D14" w:rsidRPr="00217830" w:rsidRDefault="00C14D14" w:rsidP="00C14D14">
            <w:pPr>
              <w:rPr>
                <w:rFonts w:cs="Segoe UI"/>
                <w:color w:val="000000" w:themeColor="text1"/>
                <w:sz w:val="17"/>
                <w:szCs w:val="17"/>
                <w:lang w:val="en-US"/>
              </w:rPr>
            </w:pPr>
            <w:r w:rsidRPr="00217830">
              <w:rPr>
                <w:rFonts w:cs="Segoe UI"/>
                <w:color w:val="000000" w:themeColor="text1"/>
                <w:sz w:val="17"/>
                <w:szCs w:val="17"/>
                <w:lang w:val="en-US"/>
              </w:rPr>
              <w:t>An application made by a person, who does not claim to have native title but who seeks a determination that native title does or does not exist.</w:t>
            </w:r>
          </w:p>
        </w:tc>
      </w:tr>
      <w:tr w:rsidR="00C14D14" w:rsidRPr="00BB1AA6" w14:paraId="17CDD418" w14:textId="77777777" w:rsidTr="00A94C57">
        <w:tc>
          <w:tcPr>
            <w:tcW w:w="1645" w:type="dxa"/>
          </w:tcPr>
          <w:p w14:paraId="2DFF9366" w14:textId="77777777" w:rsidR="00C14D14" w:rsidRPr="00217830" w:rsidRDefault="00C14D14" w:rsidP="00C14D14">
            <w:pPr>
              <w:rPr>
                <w:rFonts w:cs="Segoe UI"/>
                <w:color w:val="000000" w:themeColor="text1"/>
                <w:sz w:val="17"/>
                <w:szCs w:val="17"/>
                <w:lang w:eastAsia="en-AU"/>
              </w:rPr>
            </w:pPr>
            <w:r w:rsidRPr="00217830">
              <w:rPr>
                <w:rFonts w:cs="Segoe UI"/>
                <w:color w:val="000000" w:themeColor="text1"/>
                <w:sz w:val="17"/>
                <w:szCs w:val="17"/>
                <w:lang w:eastAsia="en-AU"/>
              </w:rPr>
              <w:t>Post-determination</w:t>
            </w:r>
          </w:p>
        </w:tc>
        <w:tc>
          <w:tcPr>
            <w:tcW w:w="6804" w:type="dxa"/>
          </w:tcPr>
          <w:p w14:paraId="40C67045" w14:textId="77777777" w:rsidR="00C14D14" w:rsidRPr="00217830" w:rsidRDefault="00C14D14" w:rsidP="00C14D14">
            <w:pPr>
              <w:rPr>
                <w:rFonts w:cs="Segoe UI"/>
                <w:color w:val="000000" w:themeColor="text1"/>
                <w:sz w:val="17"/>
                <w:szCs w:val="17"/>
                <w:lang w:eastAsia="en-AU"/>
              </w:rPr>
            </w:pPr>
            <w:r w:rsidRPr="00217830">
              <w:rPr>
                <w:rFonts w:cs="Segoe UI"/>
                <w:color w:val="000000" w:themeColor="text1"/>
                <w:sz w:val="17"/>
                <w:szCs w:val="17"/>
                <w:lang w:eastAsia="en-AU"/>
              </w:rPr>
              <w:t>At a claim level, refers to the period following a determination that native title exists. At an NTRB-SP life cycle level, refers to the period following the resolution of all active claims within a RATSIB area.</w:t>
            </w:r>
          </w:p>
        </w:tc>
      </w:tr>
      <w:tr w:rsidR="00C14D14" w:rsidRPr="00BB1AA6" w14:paraId="30264D76" w14:textId="77777777" w:rsidTr="00A94C57">
        <w:tc>
          <w:tcPr>
            <w:tcW w:w="1645" w:type="dxa"/>
          </w:tcPr>
          <w:p w14:paraId="4E4E6C11" w14:textId="77777777" w:rsidR="00C14D14" w:rsidRPr="00217830" w:rsidRDefault="00C14D14" w:rsidP="00C14D14">
            <w:pPr>
              <w:rPr>
                <w:rFonts w:cs="Segoe UI"/>
                <w:color w:val="000000" w:themeColor="text1"/>
                <w:sz w:val="17"/>
                <w:szCs w:val="17"/>
                <w:lang w:eastAsia="en-AU"/>
              </w:rPr>
            </w:pPr>
            <w:r w:rsidRPr="00217830">
              <w:rPr>
                <w:rFonts w:cs="Segoe UI"/>
                <w:color w:val="000000" w:themeColor="text1"/>
                <w:sz w:val="17"/>
                <w:szCs w:val="17"/>
                <w:lang w:eastAsia="en-AU"/>
              </w:rPr>
              <w:t>Prescribed Body Corporate (PBC)</w:t>
            </w:r>
          </w:p>
        </w:tc>
        <w:tc>
          <w:tcPr>
            <w:tcW w:w="6804" w:type="dxa"/>
          </w:tcPr>
          <w:p w14:paraId="3194AFBA" w14:textId="77777777" w:rsidR="00C14D14" w:rsidRPr="00217830" w:rsidRDefault="00C14D14" w:rsidP="00C14D14">
            <w:pPr>
              <w:rPr>
                <w:rFonts w:cs="Segoe UI"/>
                <w:color w:val="000000" w:themeColor="text1"/>
                <w:sz w:val="17"/>
                <w:szCs w:val="17"/>
                <w:lang w:eastAsia="en-AU"/>
              </w:rPr>
            </w:pPr>
            <w:r w:rsidRPr="00217830">
              <w:rPr>
                <w:rFonts w:cs="Segoe UI"/>
                <w:color w:val="000000" w:themeColor="text1"/>
                <w:sz w:val="17"/>
                <w:szCs w:val="17"/>
                <w:lang w:val="en-US"/>
              </w:rPr>
              <w:t xml:space="preserve">A body, established under the </w:t>
            </w:r>
            <w:r w:rsidRPr="00217830">
              <w:rPr>
                <w:rFonts w:cs="Segoe UI"/>
                <w:i/>
                <w:color w:val="000000" w:themeColor="text1"/>
                <w:sz w:val="17"/>
                <w:szCs w:val="17"/>
                <w:lang w:val="en-US"/>
              </w:rPr>
              <w:t xml:space="preserve">Corporations (Aboriginal and Torres Strait Islander) Act 2006 </w:t>
            </w:r>
            <w:r w:rsidRPr="00217830">
              <w:rPr>
                <w:rFonts w:cs="Segoe UI"/>
                <w:color w:val="000000" w:themeColor="text1"/>
                <w:sz w:val="17"/>
                <w:szCs w:val="17"/>
                <w:lang w:val="en-US"/>
              </w:rPr>
              <w:t>(Cth), nominated by native title holders which will represent them and manage their native title rights and interests once a determination that native title exists has been made. </w:t>
            </w:r>
          </w:p>
        </w:tc>
      </w:tr>
      <w:tr w:rsidR="00C14D14" w:rsidRPr="00BB1AA6" w14:paraId="4756247D" w14:textId="77777777" w:rsidTr="00A94C57">
        <w:tc>
          <w:tcPr>
            <w:tcW w:w="1645" w:type="dxa"/>
          </w:tcPr>
          <w:p w14:paraId="48766801" w14:textId="77777777" w:rsidR="00C14D14" w:rsidRPr="00217830" w:rsidRDefault="00C14D14" w:rsidP="00C14D14">
            <w:pPr>
              <w:rPr>
                <w:rFonts w:cs="Segoe UI"/>
                <w:color w:val="000000" w:themeColor="text1"/>
                <w:sz w:val="17"/>
                <w:szCs w:val="17"/>
                <w:lang w:eastAsia="en-AU"/>
              </w:rPr>
            </w:pPr>
            <w:r w:rsidRPr="00217830">
              <w:rPr>
                <w:rFonts w:cs="Segoe UI"/>
                <w:color w:val="000000" w:themeColor="text1"/>
                <w:sz w:val="17"/>
                <w:szCs w:val="17"/>
                <w:lang w:eastAsia="en-AU"/>
              </w:rPr>
              <w:t>Registration test</w:t>
            </w:r>
          </w:p>
        </w:tc>
        <w:tc>
          <w:tcPr>
            <w:tcW w:w="6804" w:type="dxa"/>
          </w:tcPr>
          <w:p w14:paraId="0180DACA" w14:textId="77777777" w:rsidR="00C14D14" w:rsidRPr="00217830" w:rsidRDefault="00C14D14" w:rsidP="00C14D14">
            <w:pPr>
              <w:rPr>
                <w:rFonts w:cs="Segoe UI"/>
                <w:color w:val="000000" w:themeColor="text1"/>
                <w:sz w:val="17"/>
                <w:szCs w:val="17"/>
                <w:lang w:val="en-US"/>
              </w:rPr>
            </w:pPr>
            <w:r w:rsidRPr="00217830">
              <w:rPr>
                <w:rFonts w:cs="Segoe UI"/>
                <w:color w:val="000000" w:themeColor="text1"/>
                <w:sz w:val="17"/>
                <w:szCs w:val="17"/>
                <w:lang w:val="en-US"/>
              </w:rPr>
              <w:t xml:space="preserve">The registration test is a set of conditions applied to the claims made in native title determination applications. The Native Title Registrar, or the Registrar’s delegate, applies the test. If a claim satisfies the conditions of the registration test, details of the application are entered on to the Register of Native Title Claims. This means that the application becomes a registered claim and is able to exercise the procedural rights stipulated in the future act provisions of the </w:t>
            </w:r>
            <w:r w:rsidRPr="000B2AA2">
              <w:rPr>
                <w:rFonts w:cs="Segoe UI"/>
                <w:iCs/>
                <w:color w:val="000000" w:themeColor="text1"/>
                <w:sz w:val="17"/>
                <w:szCs w:val="17"/>
                <w:lang w:val="en-US"/>
              </w:rPr>
              <w:t>NTA</w:t>
            </w:r>
            <w:r w:rsidRPr="00217830">
              <w:rPr>
                <w:rFonts w:cs="Segoe UI"/>
                <w:color w:val="000000" w:themeColor="text1"/>
                <w:sz w:val="17"/>
                <w:szCs w:val="17"/>
                <w:lang w:val="en-US"/>
              </w:rPr>
              <w:t>.</w:t>
            </w:r>
          </w:p>
        </w:tc>
      </w:tr>
      <w:tr w:rsidR="00C14D14" w:rsidRPr="00BB1AA6" w14:paraId="190D1CE1" w14:textId="77777777" w:rsidTr="00A94C57">
        <w:tc>
          <w:tcPr>
            <w:tcW w:w="1645" w:type="dxa"/>
          </w:tcPr>
          <w:p w14:paraId="4EC2B696" w14:textId="77777777" w:rsidR="00C14D14" w:rsidRPr="00217830" w:rsidRDefault="00C14D14" w:rsidP="00C14D14">
            <w:pPr>
              <w:rPr>
                <w:rFonts w:cs="Segoe UI"/>
                <w:color w:val="000000" w:themeColor="text1"/>
                <w:sz w:val="17"/>
                <w:szCs w:val="17"/>
                <w:lang w:eastAsia="en-AU"/>
              </w:rPr>
            </w:pPr>
            <w:r w:rsidRPr="00217830">
              <w:rPr>
                <w:rFonts w:cs="Segoe UI"/>
                <w:color w:val="000000" w:themeColor="text1"/>
                <w:sz w:val="17"/>
                <w:szCs w:val="17"/>
                <w:lang w:eastAsia="en-AU"/>
              </w:rPr>
              <w:t>Representative Aboriginal/ Torres Strait Islander Body area (RATSIB area)</w:t>
            </w:r>
          </w:p>
        </w:tc>
        <w:tc>
          <w:tcPr>
            <w:tcW w:w="6804" w:type="dxa"/>
          </w:tcPr>
          <w:p w14:paraId="1EE3825E" w14:textId="77777777" w:rsidR="00C14D14" w:rsidRPr="00217830" w:rsidRDefault="00C14D14" w:rsidP="00C14D14">
            <w:pPr>
              <w:rPr>
                <w:rFonts w:cs="Segoe UI"/>
                <w:color w:val="000000" w:themeColor="text1"/>
                <w:sz w:val="17"/>
                <w:szCs w:val="17"/>
                <w:lang w:eastAsia="en-AU"/>
              </w:rPr>
            </w:pPr>
            <w:r w:rsidRPr="00217830">
              <w:rPr>
                <w:rFonts w:cs="Segoe UI"/>
                <w:color w:val="000000" w:themeColor="text1"/>
                <w:sz w:val="17"/>
                <w:szCs w:val="17"/>
                <w:lang w:val="en-US"/>
              </w:rPr>
              <w:t xml:space="preserve">The area in which an NTRB-SP performs its functions. </w:t>
            </w:r>
          </w:p>
        </w:tc>
      </w:tr>
      <w:tr w:rsidR="00C14D14" w:rsidRPr="00BB1AA6" w14:paraId="5298E20E" w14:textId="77777777" w:rsidTr="00A94C57">
        <w:tc>
          <w:tcPr>
            <w:tcW w:w="1645" w:type="dxa"/>
          </w:tcPr>
          <w:p w14:paraId="27199737" w14:textId="77777777" w:rsidR="00C14D14" w:rsidRPr="00217830" w:rsidRDefault="00C14D14" w:rsidP="00C14D14">
            <w:pPr>
              <w:rPr>
                <w:rFonts w:cs="Segoe UI"/>
                <w:color w:val="000000" w:themeColor="text1"/>
                <w:sz w:val="17"/>
                <w:szCs w:val="17"/>
                <w:lang w:eastAsia="en-AU"/>
              </w:rPr>
            </w:pPr>
            <w:r w:rsidRPr="00217830">
              <w:rPr>
                <w:rFonts w:cs="Segoe UI"/>
                <w:color w:val="000000" w:themeColor="text1"/>
                <w:sz w:val="17"/>
                <w:szCs w:val="17"/>
                <w:lang w:eastAsia="en-AU"/>
              </w:rPr>
              <w:t>Terms of Reference (TOR)</w:t>
            </w:r>
          </w:p>
        </w:tc>
        <w:tc>
          <w:tcPr>
            <w:tcW w:w="6804" w:type="dxa"/>
          </w:tcPr>
          <w:p w14:paraId="1BCAEAA8" w14:textId="72A1E8CF" w:rsidR="00C14D14" w:rsidRPr="00217830" w:rsidRDefault="00C14D14" w:rsidP="00C14D14">
            <w:pPr>
              <w:rPr>
                <w:rFonts w:cs="Segoe UI"/>
                <w:color w:val="000000" w:themeColor="text1"/>
                <w:sz w:val="17"/>
                <w:szCs w:val="17"/>
                <w:lang w:eastAsia="en-AU"/>
              </w:rPr>
            </w:pPr>
            <w:r w:rsidRPr="00217830">
              <w:rPr>
                <w:rFonts w:cs="Segoe UI"/>
                <w:color w:val="000000" w:themeColor="text1"/>
                <w:sz w:val="17"/>
                <w:szCs w:val="17"/>
                <w:lang w:eastAsia="en-AU"/>
              </w:rPr>
              <w:t xml:space="preserve">Refers to the Terms of Reference provided by the NIAA which govern the scope of the project. These can be found in Appendix A. </w:t>
            </w:r>
          </w:p>
        </w:tc>
      </w:tr>
      <w:tr w:rsidR="006C4CD6" w:rsidRPr="00BB1AA6" w14:paraId="68CFB17C" w14:textId="77777777" w:rsidTr="00A94C57">
        <w:tc>
          <w:tcPr>
            <w:tcW w:w="1645" w:type="dxa"/>
          </w:tcPr>
          <w:p w14:paraId="409204B6" w14:textId="28BFB0FB" w:rsidR="006C4CD6" w:rsidRPr="00217830" w:rsidRDefault="006C4CD6" w:rsidP="006C4CD6">
            <w:pPr>
              <w:rPr>
                <w:rFonts w:cs="Segoe UI"/>
                <w:color w:val="000000" w:themeColor="text1"/>
                <w:sz w:val="17"/>
                <w:szCs w:val="17"/>
                <w:lang w:eastAsia="en-AU"/>
              </w:rPr>
            </w:pPr>
            <w:r w:rsidRPr="00217830">
              <w:rPr>
                <w:rFonts w:cs="Segoe UI"/>
                <w:i/>
                <w:color w:val="000000" w:themeColor="text1"/>
                <w:sz w:val="17"/>
                <w:szCs w:val="17"/>
                <w:lang w:eastAsia="en-AU"/>
              </w:rPr>
              <w:t>Traditional Owner Settlement Act 2010</w:t>
            </w:r>
            <w:r w:rsidRPr="00217830">
              <w:rPr>
                <w:rFonts w:cs="Segoe UI"/>
                <w:color w:val="000000" w:themeColor="text1"/>
                <w:sz w:val="17"/>
                <w:szCs w:val="17"/>
                <w:lang w:eastAsia="en-AU"/>
              </w:rPr>
              <w:t xml:space="preserve"> (</w:t>
            </w:r>
            <w:r w:rsidRPr="00217830">
              <w:rPr>
                <w:rFonts w:cs="Segoe UI"/>
                <w:i/>
                <w:color w:val="000000" w:themeColor="text1"/>
                <w:sz w:val="17"/>
                <w:szCs w:val="17"/>
                <w:lang w:eastAsia="en-AU"/>
              </w:rPr>
              <w:t>TOSA</w:t>
            </w:r>
            <w:r w:rsidRPr="00217830">
              <w:rPr>
                <w:rFonts w:cs="Segoe UI"/>
                <w:color w:val="000000" w:themeColor="text1"/>
                <w:sz w:val="17"/>
                <w:szCs w:val="17"/>
                <w:lang w:eastAsia="en-AU"/>
              </w:rPr>
              <w:t>)</w:t>
            </w:r>
          </w:p>
        </w:tc>
        <w:tc>
          <w:tcPr>
            <w:tcW w:w="6804" w:type="dxa"/>
          </w:tcPr>
          <w:p w14:paraId="3CCB92E8" w14:textId="5CF552B8" w:rsidR="006C4CD6" w:rsidRPr="00217830" w:rsidRDefault="006C4CD6" w:rsidP="006C4CD6">
            <w:pPr>
              <w:rPr>
                <w:rFonts w:cs="Segoe UI"/>
                <w:color w:val="000000" w:themeColor="text1"/>
                <w:sz w:val="17"/>
                <w:szCs w:val="17"/>
                <w:lang w:eastAsia="en-AU"/>
              </w:rPr>
            </w:pPr>
            <w:r w:rsidRPr="00217830">
              <w:rPr>
                <w:rFonts w:cs="Segoe UI"/>
                <w:color w:val="000000" w:themeColor="text1"/>
                <w:sz w:val="17"/>
                <w:szCs w:val="17"/>
                <w:lang w:eastAsia="en-AU"/>
              </w:rPr>
              <w:t xml:space="preserve">The </w:t>
            </w:r>
            <w:r w:rsidRPr="00217830">
              <w:rPr>
                <w:rFonts w:cs="Segoe UI"/>
                <w:i/>
                <w:color w:val="000000" w:themeColor="text1"/>
                <w:sz w:val="17"/>
                <w:szCs w:val="17"/>
                <w:lang w:eastAsia="en-AU"/>
              </w:rPr>
              <w:t xml:space="preserve">Traditional Owner Settlement Act 2010 </w:t>
            </w:r>
            <w:r w:rsidRPr="00217830">
              <w:rPr>
                <w:rFonts w:cs="Segoe UI"/>
                <w:color w:val="000000" w:themeColor="text1"/>
                <w:sz w:val="17"/>
                <w:szCs w:val="17"/>
                <w:lang w:eastAsia="en-AU"/>
              </w:rPr>
              <w:t xml:space="preserve">is a piece of Victorian legislation that provides an alternative mechanism for resolving native title claims under Victorian, rather than Commonwealth, law. It seeks to provide a simpler process and more complete settlements than are possible under the </w:t>
            </w:r>
            <w:r w:rsidRPr="000B2AA2">
              <w:rPr>
                <w:rFonts w:cs="Segoe UI"/>
                <w:iCs/>
                <w:color w:val="000000" w:themeColor="text1"/>
                <w:sz w:val="17"/>
                <w:szCs w:val="17"/>
                <w:lang w:eastAsia="en-AU"/>
              </w:rPr>
              <w:t>NTA</w:t>
            </w:r>
            <w:r w:rsidRPr="00217830">
              <w:rPr>
                <w:rFonts w:cs="Segoe UI"/>
                <w:color w:val="000000" w:themeColor="text1"/>
                <w:sz w:val="17"/>
                <w:szCs w:val="17"/>
                <w:lang w:eastAsia="en-AU"/>
              </w:rPr>
              <w:t>.</w:t>
            </w:r>
          </w:p>
        </w:tc>
      </w:tr>
      <w:tr w:rsidR="006C4CD6" w:rsidRPr="00BB1AA6" w14:paraId="197B56ED" w14:textId="77777777" w:rsidTr="00A94C57">
        <w:tc>
          <w:tcPr>
            <w:tcW w:w="1645" w:type="dxa"/>
          </w:tcPr>
          <w:p w14:paraId="4E2527AC" w14:textId="77777777" w:rsidR="006C4CD6" w:rsidRPr="00217830" w:rsidRDefault="006C4CD6" w:rsidP="006C4CD6">
            <w:pPr>
              <w:rPr>
                <w:rFonts w:cs="Segoe UI"/>
                <w:color w:val="000000" w:themeColor="text1"/>
                <w:sz w:val="17"/>
                <w:szCs w:val="17"/>
                <w:lang w:eastAsia="en-AU"/>
              </w:rPr>
            </w:pPr>
            <w:r w:rsidRPr="00217830">
              <w:rPr>
                <w:rFonts w:cs="Segoe UI"/>
                <w:color w:val="000000" w:themeColor="text1"/>
                <w:sz w:val="17"/>
                <w:szCs w:val="17"/>
                <w:lang w:eastAsia="en-AU"/>
              </w:rPr>
              <w:t>Traditional Owners (TOs)</w:t>
            </w:r>
          </w:p>
        </w:tc>
        <w:tc>
          <w:tcPr>
            <w:tcW w:w="6804" w:type="dxa"/>
          </w:tcPr>
          <w:p w14:paraId="026FE39B" w14:textId="77777777" w:rsidR="006C4CD6" w:rsidRPr="00217830" w:rsidRDefault="006C4CD6" w:rsidP="006C4CD6">
            <w:pPr>
              <w:rPr>
                <w:rFonts w:cs="Segoe UI"/>
                <w:color w:val="000000" w:themeColor="text1"/>
                <w:sz w:val="17"/>
                <w:szCs w:val="17"/>
                <w:lang w:eastAsia="en-AU"/>
              </w:rPr>
            </w:pPr>
            <w:r w:rsidRPr="00217830">
              <w:rPr>
                <w:rFonts w:cs="Segoe UI"/>
                <w:color w:val="000000" w:themeColor="text1"/>
                <w:sz w:val="17"/>
                <w:szCs w:val="17"/>
                <w:lang w:eastAsia="en-AU"/>
              </w:rPr>
              <w:t>Individuals of Aboriginal and/or Torres Strait Islander descent who identify as being a descendant of persons that occupied a particular area prior to European settlement.</w:t>
            </w:r>
          </w:p>
        </w:tc>
      </w:tr>
    </w:tbl>
    <w:p w14:paraId="2BC27C9F" w14:textId="294CB475" w:rsidR="008F4752" w:rsidRDefault="008F4752" w:rsidP="008F4752">
      <w:pPr>
        <w:rPr>
          <w:lang w:eastAsia="en-AU"/>
        </w:rPr>
      </w:pPr>
    </w:p>
    <w:p w14:paraId="5F33A4EB" w14:textId="5A32AF8B" w:rsidR="008F4752" w:rsidRPr="00BB1AA6" w:rsidRDefault="00217830" w:rsidP="00217830">
      <w:pPr>
        <w:spacing w:after="160" w:line="259" w:lineRule="auto"/>
        <w:rPr>
          <w:lang w:eastAsia="en-AU"/>
        </w:rPr>
      </w:pPr>
      <w:r>
        <w:rPr>
          <w:lang w:eastAsia="en-AU"/>
        </w:rPr>
        <w:br w:type="page"/>
      </w:r>
      <w:r w:rsidR="008F4752" w:rsidRPr="00BB1AA6">
        <w:rPr>
          <w:lang w:eastAsia="en-AU"/>
        </w:rPr>
        <w:lastRenderedPageBreak/>
        <w:t xml:space="preserve">This document refers to the functions of NTRB-SPs outlined under the </w:t>
      </w:r>
      <w:r w:rsidR="008F4752" w:rsidRPr="00BB1AA6">
        <w:rPr>
          <w:i/>
          <w:lang w:eastAsia="en-AU"/>
        </w:rPr>
        <w:t xml:space="preserve">Act, </w:t>
      </w:r>
      <w:r w:rsidR="008F4752" w:rsidRPr="00BB1AA6">
        <w:rPr>
          <w:lang w:eastAsia="en-AU"/>
        </w:rPr>
        <w:t xml:space="preserve">and captured in </w:t>
      </w:r>
      <w:r w:rsidR="00B64498">
        <w:rPr>
          <w:lang w:eastAsia="en-AU"/>
        </w:rPr>
        <w:t>Table 3</w:t>
      </w:r>
      <w:r w:rsidR="008F4752" w:rsidRPr="00BB1AA6">
        <w:rPr>
          <w:lang w:eastAsia="en-AU"/>
        </w:rPr>
        <w:t>.</w:t>
      </w:r>
    </w:p>
    <w:p w14:paraId="5B4ABE4F" w14:textId="34E34D7C" w:rsidR="008F4752" w:rsidRPr="00BB1AA6" w:rsidRDefault="008F4752" w:rsidP="008F4752">
      <w:pPr>
        <w:pStyle w:val="Caption"/>
      </w:pPr>
      <w:bookmarkStart w:id="158" w:name="_Ref504381314"/>
      <w:r w:rsidRPr="00BB1AA6">
        <w:t xml:space="preserve">Table </w:t>
      </w:r>
      <w:bookmarkEnd w:id="158"/>
      <w:r w:rsidR="006C4CD6">
        <w:t>3</w:t>
      </w:r>
      <w:r w:rsidRPr="00BB1AA6">
        <w:t xml:space="preserve"> | NTRB functions under the </w:t>
      </w:r>
      <w:r w:rsidRPr="00BB1AA6">
        <w:rPr>
          <w:i/>
        </w:rPr>
        <w:t>Act</w:t>
      </w:r>
    </w:p>
    <w:tbl>
      <w:tblPr>
        <w:tblStyle w:val="TableGrid"/>
        <w:tblW w:w="0" w:type="auto"/>
        <w:tblLook w:val="04A0" w:firstRow="1" w:lastRow="0" w:firstColumn="1" w:lastColumn="0" w:noHBand="0" w:noVBand="1"/>
      </w:tblPr>
      <w:tblGrid>
        <w:gridCol w:w="1075"/>
        <w:gridCol w:w="2233"/>
        <w:gridCol w:w="5622"/>
      </w:tblGrid>
      <w:tr w:rsidR="008F4752" w:rsidRPr="00217830" w14:paraId="2EF7BE66" w14:textId="77777777" w:rsidTr="00A94C57">
        <w:trPr>
          <w:cnfStyle w:val="100000000000" w:firstRow="1" w:lastRow="0" w:firstColumn="0" w:lastColumn="0" w:oddVBand="0" w:evenVBand="0" w:oddHBand="0" w:evenHBand="0" w:firstRowFirstColumn="0" w:firstRowLastColumn="0" w:lastRowFirstColumn="0" w:lastRowLastColumn="0"/>
        </w:trPr>
        <w:tc>
          <w:tcPr>
            <w:tcW w:w="1078" w:type="dxa"/>
          </w:tcPr>
          <w:p w14:paraId="5D73CEF7" w14:textId="77777777" w:rsidR="008F4752" w:rsidRPr="00217830" w:rsidRDefault="008F4752" w:rsidP="00A94C57">
            <w:pPr>
              <w:rPr>
                <w:sz w:val="17"/>
                <w:szCs w:val="17"/>
                <w:lang w:eastAsia="en-AU"/>
              </w:rPr>
            </w:pPr>
            <w:r w:rsidRPr="00217830">
              <w:rPr>
                <w:sz w:val="17"/>
                <w:szCs w:val="17"/>
                <w:lang w:eastAsia="en-AU"/>
              </w:rPr>
              <w:t xml:space="preserve">Reference </w:t>
            </w:r>
          </w:p>
        </w:tc>
        <w:tc>
          <w:tcPr>
            <w:tcW w:w="2268" w:type="dxa"/>
          </w:tcPr>
          <w:p w14:paraId="3ED7B3A5" w14:textId="77777777" w:rsidR="008F4752" w:rsidRPr="00217830" w:rsidRDefault="008F4752" w:rsidP="00A94C57">
            <w:pPr>
              <w:rPr>
                <w:sz w:val="17"/>
                <w:szCs w:val="17"/>
                <w:lang w:eastAsia="en-AU"/>
              </w:rPr>
            </w:pPr>
            <w:r w:rsidRPr="00217830">
              <w:rPr>
                <w:sz w:val="17"/>
                <w:szCs w:val="17"/>
                <w:lang w:eastAsia="en-AU"/>
              </w:rPr>
              <w:t>Function</w:t>
            </w:r>
          </w:p>
        </w:tc>
        <w:tc>
          <w:tcPr>
            <w:tcW w:w="5754" w:type="dxa"/>
          </w:tcPr>
          <w:p w14:paraId="74139994" w14:textId="77777777" w:rsidR="008F4752" w:rsidRPr="00217830" w:rsidRDefault="008F4752" w:rsidP="00A94C57">
            <w:pPr>
              <w:rPr>
                <w:sz w:val="17"/>
                <w:szCs w:val="17"/>
                <w:lang w:eastAsia="en-AU"/>
              </w:rPr>
            </w:pPr>
            <w:r w:rsidRPr="00217830">
              <w:rPr>
                <w:sz w:val="17"/>
                <w:szCs w:val="17"/>
                <w:lang w:eastAsia="en-AU"/>
              </w:rPr>
              <w:t>Detail</w:t>
            </w:r>
          </w:p>
        </w:tc>
      </w:tr>
      <w:tr w:rsidR="008F4752" w:rsidRPr="00217830" w14:paraId="355751CE" w14:textId="77777777" w:rsidTr="00A94C57">
        <w:tc>
          <w:tcPr>
            <w:tcW w:w="1078" w:type="dxa"/>
          </w:tcPr>
          <w:p w14:paraId="71501DCD" w14:textId="77777777" w:rsidR="008F4752" w:rsidRPr="00217830" w:rsidRDefault="008F4752" w:rsidP="00A94C57">
            <w:pPr>
              <w:rPr>
                <w:sz w:val="17"/>
                <w:szCs w:val="17"/>
                <w:lang w:eastAsia="en-AU"/>
              </w:rPr>
            </w:pPr>
            <w:r w:rsidRPr="00217830">
              <w:rPr>
                <w:sz w:val="17"/>
                <w:szCs w:val="17"/>
                <w:lang w:eastAsia="en-AU"/>
              </w:rPr>
              <w:t>s203BB</w:t>
            </w:r>
          </w:p>
        </w:tc>
        <w:tc>
          <w:tcPr>
            <w:tcW w:w="2268" w:type="dxa"/>
          </w:tcPr>
          <w:p w14:paraId="29943E01" w14:textId="77777777" w:rsidR="008F4752" w:rsidRPr="00217830" w:rsidRDefault="008F4752" w:rsidP="00A94C57">
            <w:pPr>
              <w:rPr>
                <w:sz w:val="17"/>
                <w:szCs w:val="17"/>
                <w:lang w:eastAsia="en-AU"/>
              </w:rPr>
            </w:pPr>
            <w:r w:rsidRPr="00217830">
              <w:rPr>
                <w:sz w:val="17"/>
                <w:szCs w:val="17"/>
                <w:lang w:eastAsia="en-AU"/>
              </w:rPr>
              <w:t>Facilitation and assistance</w:t>
            </w:r>
          </w:p>
        </w:tc>
        <w:tc>
          <w:tcPr>
            <w:tcW w:w="5754" w:type="dxa"/>
          </w:tcPr>
          <w:p w14:paraId="371B8202" w14:textId="77777777" w:rsidR="008F4752" w:rsidRPr="00217830" w:rsidRDefault="008F4752" w:rsidP="00A94C57">
            <w:pPr>
              <w:rPr>
                <w:sz w:val="17"/>
                <w:szCs w:val="17"/>
                <w:lang w:eastAsia="en-AU"/>
              </w:rPr>
            </w:pPr>
            <w:r w:rsidRPr="00217830">
              <w:rPr>
                <w:sz w:val="17"/>
                <w:szCs w:val="17"/>
                <w:lang w:eastAsia="en-AU"/>
              </w:rPr>
              <w:t>NTRB-SPs provide assistance to those that hold or may hold native title in relation to native title applications, future acts, agreements, rights of access and other matters.</w:t>
            </w:r>
          </w:p>
        </w:tc>
      </w:tr>
      <w:tr w:rsidR="008F4752" w:rsidRPr="00217830" w14:paraId="2D5EC063" w14:textId="77777777" w:rsidTr="00A94C57">
        <w:tc>
          <w:tcPr>
            <w:tcW w:w="1078" w:type="dxa"/>
          </w:tcPr>
          <w:p w14:paraId="71EA25D2" w14:textId="77777777" w:rsidR="008F4752" w:rsidRPr="00217830" w:rsidRDefault="008F4752" w:rsidP="00A94C57">
            <w:pPr>
              <w:rPr>
                <w:sz w:val="17"/>
                <w:szCs w:val="17"/>
                <w:lang w:eastAsia="en-AU"/>
              </w:rPr>
            </w:pPr>
            <w:r w:rsidRPr="00217830">
              <w:rPr>
                <w:sz w:val="17"/>
                <w:szCs w:val="17"/>
                <w:lang w:eastAsia="en-AU"/>
              </w:rPr>
              <w:t>s203BF</w:t>
            </w:r>
          </w:p>
        </w:tc>
        <w:tc>
          <w:tcPr>
            <w:tcW w:w="2268" w:type="dxa"/>
          </w:tcPr>
          <w:p w14:paraId="3EB9EF43" w14:textId="77777777" w:rsidR="008F4752" w:rsidRPr="00217830" w:rsidRDefault="008F4752" w:rsidP="00A94C57">
            <w:pPr>
              <w:rPr>
                <w:sz w:val="17"/>
                <w:szCs w:val="17"/>
                <w:lang w:eastAsia="en-AU"/>
              </w:rPr>
            </w:pPr>
            <w:r w:rsidRPr="00217830">
              <w:rPr>
                <w:sz w:val="17"/>
                <w:szCs w:val="17"/>
                <w:lang w:eastAsia="en-AU"/>
              </w:rPr>
              <w:t>Certification</w:t>
            </w:r>
          </w:p>
        </w:tc>
        <w:tc>
          <w:tcPr>
            <w:tcW w:w="5754" w:type="dxa"/>
          </w:tcPr>
          <w:p w14:paraId="7E1CAE7C" w14:textId="77777777" w:rsidR="008F4752" w:rsidRPr="00217830" w:rsidRDefault="008F4752" w:rsidP="00A94C57">
            <w:pPr>
              <w:rPr>
                <w:sz w:val="17"/>
                <w:szCs w:val="17"/>
                <w:lang w:eastAsia="en-AU"/>
              </w:rPr>
            </w:pPr>
            <w:r w:rsidRPr="00217830">
              <w:rPr>
                <w:sz w:val="17"/>
                <w:szCs w:val="17"/>
                <w:lang w:eastAsia="en-AU"/>
              </w:rPr>
              <w:t xml:space="preserve">NTRB-SPs certify applications for native title determinations and certify the registration of ILUAs. </w:t>
            </w:r>
          </w:p>
        </w:tc>
      </w:tr>
      <w:tr w:rsidR="008F4752" w:rsidRPr="00217830" w14:paraId="1BFDA1DA" w14:textId="77777777" w:rsidTr="00A94C57">
        <w:tc>
          <w:tcPr>
            <w:tcW w:w="1078" w:type="dxa"/>
          </w:tcPr>
          <w:p w14:paraId="27075AD3" w14:textId="77777777" w:rsidR="008F4752" w:rsidRPr="00217830" w:rsidRDefault="008F4752" w:rsidP="00A94C57">
            <w:pPr>
              <w:rPr>
                <w:sz w:val="17"/>
                <w:szCs w:val="17"/>
                <w:lang w:eastAsia="en-AU"/>
              </w:rPr>
            </w:pPr>
            <w:r w:rsidRPr="00217830">
              <w:rPr>
                <w:sz w:val="17"/>
                <w:szCs w:val="17"/>
                <w:lang w:eastAsia="en-AU"/>
              </w:rPr>
              <w:t>s203BF</w:t>
            </w:r>
          </w:p>
        </w:tc>
        <w:tc>
          <w:tcPr>
            <w:tcW w:w="2268" w:type="dxa"/>
          </w:tcPr>
          <w:p w14:paraId="603427B8" w14:textId="77777777" w:rsidR="008F4752" w:rsidRPr="00217830" w:rsidRDefault="008F4752" w:rsidP="00A94C57">
            <w:pPr>
              <w:rPr>
                <w:sz w:val="17"/>
                <w:szCs w:val="17"/>
                <w:lang w:eastAsia="en-AU"/>
              </w:rPr>
            </w:pPr>
            <w:r w:rsidRPr="00217830">
              <w:rPr>
                <w:sz w:val="17"/>
                <w:szCs w:val="17"/>
                <w:lang w:eastAsia="en-AU"/>
              </w:rPr>
              <w:t>Dispute resolution</w:t>
            </w:r>
          </w:p>
        </w:tc>
        <w:tc>
          <w:tcPr>
            <w:tcW w:w="5754" w:type="dxa"/>
          </w:tcPr>
          <w:p w14:paraId="4BE49A3B" w14:textId="77777777" w:rsidR="008F4752" w:rsidRPr="00217830" w:rsidRDefault="008F4752" w:rsidP="00A94C57">
            <w:pPr>
              <w:rPr>
                <w:sz w:val="17"/>
                <w:szCs w:val="17"/>
                <w:lang w:eastAsia="en-AU"/>
              </w:rPr>
            </w:pPr>
            <w:r w:rsidRPr="00217830">
              <w:rPr>
                <w:sz w:val="17"/>
                <w:szCs w:val="17"/>
                <w:lang w:eastAsia="en-AU"/>
              </w:rPr>
              <w:t xml:space="preserve">NTRB-SPs promote agreement and mediate disputes between native title groups. </w:t>
            </w:r>
          </w:p>
        </w:tc>
      </w:tr>
      <w:tr w:rsidR="008F4752" w:rsidRPr="00217830" w14:paraId="24ED8894" w14:textId="77777777" w:rsidTr="00A94C57">
        <w:tc>
          <w:tcPr>
            <w:tcW w:w="1078" w:type="dxa"/>
          </w:tcPr>
          <w:p w14:paraId="6C36E88E" w14:textId="77777777" w:rsidR="008F4752" w:rsidRPr="00217830" w:rsidRDefault="008F4752" w:rsidP="00A94C57">
            <w:pPr>
              <w:rPr>
                <w:sz w:val="17"/>
                <w:szCs w:val="17"/>
                <w:lang w:eastAsia="en-AU"/>
              </w:rPr>
            </w:pPr>
            <w:r w:rsidRPr="00217830">
              <w:rPr>
                <w:sz w:val="17"/>
                <w:szCs w:val="17"/>
                <w:lang w:eastAsia="en-AU"/>
              </w:rPr>
              <w:t>s203BG</w:t>
            </w:r>
          </w:p>
        </w:tc>
        <w:tc>
          <w:tcPr>
            <w:tcW w:w="2268" w:type="dxa"/>
          </w:tcPr>
          <w:p w14:paraId="118490EA" w14:textId="77777777" w:rsidR="008F4752" w:rsidRPr="00217830" w:rsidRDefault="008F4752" w:rsidP="00A94C57">
            <w:pPr>
              <w:rPr>
                <w:sz w:val="17"/>
                <w:szCs w:val="17"/>
                <w:lang w:eastAsia="en-AU"/>
              </w:rPr>
            </w:pPr>
            <w:r w:rsidRPr="00217830">
              <w:rPr>
                <w:sz w:val="17"/>
                <w:szCs w:val="17"/>
                <w:lang w:eastAsia="en-AU"/>
              </w:rPr>
              <w:t>Notification</w:t>
            </w:r>
          </w:p>
        </w:tc>
        <w:tc>
          <w:tcPr>
            <w:tcW w:w="5754" w:type="dxa"/>
          </w:tcPr>
          <w:p w14:paraId="25B82844" w14:textId="77777777" w:rsidR="008F4752" w:rsidRPr="00217830" w:rsidRDefault="008F4752" w:rsidP="00A94C57">
            <w:pPr>
              <w:rPr>
                <w:sz w:val="17"/>
                <w:szCs w:val="17"/>
                <w:lang w:eastAsia="en-AU"/>
              </w:rPr>
            </w:pPr>
            <w:r w:rsidRPr="00217830">
              <w:rPr>
                <w:sz w:val="17"/>
                <w:szCs w:val="17"/>
                <w:lang w:eastAsia="en-AU"/>
              </w:rPr>
              <w:t xml:space="preserve">NTRB-SPs ensure that people that may hold native title are informed of other claims and of future acts and the time limits for responding to these. </w:t>
            </w:r>
          </w:p>
        </w:tc>
      </w:tr>
      <w:tr w:rsidR="008F4752" w:rsidRPr="00217830" w14:paraId="098EFB2E" w14:textId="77777777" w:rsidTr="00A94C57">
        <w:tc>
          <w:tcPr>
            <w:tcW w:w="1078" w:type="dxa"/>
          </w:tcPr>
          <w:p w14:paraId="479D615E" w14:textId="77777777" w:rsidR="008F4752" w:rsidRPr="00217830" w:rsidRDefault="008F4752" w:rsidP="00A94C57">
            <w:pPr>
              <w:rPr>
                <w:sz w:val="17"/>
                <w:szCs w:val="17"/>
                <w:lang w:eastAsia="en-AU"/>
              </w:rPr>
            </w:pPr>
            <w:r w:rsidRPr="00217830">
              <w:rPr>
                <w:sz w:val="17"/>
                <w:szCs w:val="17"/>
                <w:lang w:eastAsia="en-AU"/>
              </w:rPr>
              <w:t>s203BH</w:t>
            </w:r>
          </w:p>
        </w:tc>
        <w:tc>
          <w:tcPr>
            <w:tcW w:w="2268" w:type="dxa"/>
          </w:tcPr>
          <w:p w14:paraId="7BAD378D" w14:textId="77777777" w:rsidR="008F4752" w:rsidRPr="00217830" w:rsidRDefault="008F4752" w:rsidP="00A94C57">
            <w:pPr>
              <w:rPr>
                <w:sz w:val="17"/>
                <w:szCs w:val="17"/>
                <w:lang w:eastAsia="en-AU"/>
              </w:rPr>
            </w:pPr>
            <w:r w:rsidRPr="00217830">
              <w:rPr>
                <w:sz w:val="17"/>
                <w:szCs w:val="17"/>
                <w:lang w:eastAsia="en-AU"/>
              </w:rPr>
              <w:t>Agreement making</w:t>
            </w:r>
          </w:p>
        </w:tc>
        <w:tc>
          <w:tcPr>
            <w:tcW w:w="5754" w:type="dxa"/>
          </w:tcPr>
          <w:p w14:paraId="3F390559" w14:textId="77777777" w:rsidR="008F4752" w:rsidRPr="00217830" w:rsidRDefault="008F4752" w:rsidP="00A94C57">
            <w:pPr>
              <w:rPr>
                <w:sz w:val="17"/>
                <w:szCs w:val="17"/>
                <w:lang w:eastAsia="en-AU"/>
              </w:rPr>
            </w:pPr>
            <w:r w:rsidRPr="00217830">
              <w:rPr>
                <w:sz w:val="17"/>
                <w:szCs w:val="17"/>
                <w:lang w:eastAsia="en-AU"/>
              </w:rPr>
              <w:t>NTRB-SPs can be a party to ILUAs or other agreements.</w:t>
            </w:r>
          </w:p>
        </w:tc>
      </w:tr>
      <w:tr w:rsidR="008F4752" w:rsidRPr="00217830" w14:paraId="40C9AA1A" w14:textId="77777777" w:rsidTr="00A94C57">
        <w:tc>
          <w:tcPr>
            <w:tcW w:w="1078" w:type="dxa"/>
          </w:tcPr>
          <w:p w14:paraId="4D46D100" w14:textId="77777777" w:rsidR="008F4752" w:rsidRPr="00217830" w:rsidRDefault="008F4752" w:rsidP="00A94C57">
            <w:pPr>
              <w:rPr>
                <w:sz w:val="17"/>
                <w:szCs w:val="17"/>
                <w:lang w:eastAsia="en-AU"/>
              </w:rPr>
            </w:pPr>
            <w:r w:rsidRPr="00217830">
              <w:rPr>
                <w:sz w:val="17"/>
                <w:szCs w:val="17"/>
                <w:lang w:eastAsia="en-AU"/>
              </w:rPr>
              <w:t>s203BI</w:t>
            </w:r>
          </w:p>
        </w:tc>
        <w:tc>
          <w:tcPr>
            <w:tcW w:w="2268" w:type="dxa"/>
          </w:tcPr>
          <w:p w14:paraId="30CCDD2B" w14:textId="77777777" w:rsidR="008F4752" w:rsidRPr="00217830" w:rsidRDefault="008F4752" w:rsidP="00A94C57">
            <w:pPr>
              <w:rPr>
                <w:sz w:val="17"/>
                <w:szCs w:val="17"/>
                <w:lang w:eastAsia="en-AU"/>
              </w:rPr>
            </w:pPr>
            <w:r w:rsidRPr="00217830">
              <w:rPr>
                <w:sz w:val="17"/>
                <w:szCs w:val="17"/>
                <w:lang w:eastAsia="en-AU"/>
              </w:rPr>
              <w:t>Internal review</w:t>
            </w:r>
          </w:p>
        </w:tc>
        <w:tc>
          <w:tcPr>
            <w:tcW w:w="5754" w:type="dxa"/>
          </w:tcPr>
          <w:p w14:paraId="3E4D913D" w14:textId="77777777" w:rsidR="008F4752" w:rsidRPr="00217830" w:rsidRDefault="008F4752" w:rsidP="00A94C57">
            <w:pPr>
              <w:rPr>
                <w:sz w:val="17"/>
                <w:szCs w:val="17"/>
                <w:lang w:eastAsia="en-AU"/>
              </w:rPr>
            </w:pPr>
            <w:r w:rsidRPr="00217830">
              <w:rPr>
                <w:sz w:val="17"/>
                <w:szCs w:val="17"/>
                <w:lang w:eastAsia="en-AU"/>
              </w:rPr>
              <w:t>NTRB-SPs have a process by which native title claimants can seek a review of decisions and actions they have made, and promote access to this process for claimants.</w:t>
            </w:r>
          </w:p>
        </w:tc>
      </w:tr>
      <w:tr w:rsidR="008F4752" w:rsidRPr="00217830" w14:paraId="393BD146" w14:textId="77777777" w:rsidTr="00A94C57">
        <w:tc>
          <w:tcPr>
            <w:tcW w:w="1078" w:type="dxa"/>
          </w:tcPr>
          <w:p w14:paraId="138F723A" w14:textId="77777777" w:rsidR="008F4752" w:rsidRPr="00217830" w:rsidRDefault="008F4752" w:rsidP="00A94C57">
            <w:pPr>
              <w:rPr>
                <w:sz w:val="17"/>
                <w:szCs w:val="17"/>
                <w:lang w:eastAsia="en-AU"/>
              </w:rPr>
            </w:pPr>
            <w:r w:rsidRPr="00217830">
              <w:rPr>
                <w:sz w:val="17"/>
                <w:szCs w:val="17"/>
                <w:lang w:eastAsia="en-AU"/>
              </w:rPr>
              <w:t>s203BJ</w:t>
            </w:r>
          </w:p>
        </w:tc>
        <w:tc>
          <w:tcPr>
            <w:tcW w:w="2268" w:type="dxa"/>
          </w:tcPr>
          <w:p w14:paraId="011DD931" w14:textId="77777777" w:rsidR="008F4752" w:rsidRPr="00217830" w:rsidRDefault="008F4752" w:rsidP="00A94C57">
            <w:pPr>
              <w:rPr>
                <w:sz w:val="17"/>
                <w:szCs w:val="17"/>
                <w:lang w:eastAsia="en-AU"/>
              </w:rPr>
            </w:pPr>
            <w:r w:rsidRPr="00217830">
              <w:rPr>
                <w:sz w:val="17"/>
                <w:szCs w:val="17"/>
                <w:lang w:eastAsia="en-AU"/>
              </w:rPr>
              <w:t>Other functions conferred by the Act or by any other law</w:t>
            </w:r>
          </w:p>
        </w:tc>
        <w:tc>
          <w:tcPr>
            <w:tcW w:w="5754" w:type="dxa"/>
          </w:tcPr>
          <w:p w14:paraId="7121D02A" w14:textId="77777777" w:rsidR="008F4752" w:rsidRPr="00217830" w:rsidRDefault="008F4752" w:rsidP="00A94C57">
            <w:pPr>
              <w:rPr>
                <w:sz w:val="17"/>
                <w:szCs w:val="17"/>
                <w:lang w:eastAsia="en-AU"/>
              </w:rPr>
            </w:pPr>
            <w:r w:rsidRPr="00217830">
              <w:rPr>
                <w:sz w:val="17"/>
                <w:szCs w:val="17"/>
                <w:lang w:eastAsia="en-AU"/>
              </w:rPr>
              <w:t xml:space="preserve">These are largely concerned with cooperation between NTRB-SPs, consulting with Aboriginal and Torres Strait Islander communities, and providing education to these communities on native title matters. </w:t>
            </w:r>
          </w:p>
        </w:tc>
      </w:tr>
      <w:bookmarkEnd w:id="155"/>
    </w:tbl>
    <w:p w14:paraId="53FAEEFE" w14:textId="77777777" w:rsidR="008F4752" w:rsidRDefault="008F4752" w:rsidP="003B225A"/>
    <w:sectPr w:rsidR="008F4752" w:rsidSect="00272EEE">
      <w:headerReference w:type="default" r:id="rId18"/>
      <w:footerReference w:type="default" r:id="rId19"/>
      <w:headerReference w:type="first" r:id="rId20"/>
      <w:footerReference w:type="first" r:id="rId21"/>
      <w:pgSz w:w="11907" w:h="16839" w:code="9"/>
      <w:pgMar w:top="1418" w:right="1418" w:bottom="1701"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0B25A2" w14:textId="77777777" w:rsidR="00C36F23" w:rsidRDefault="00C36F23" w:rsidP="00302076">
      <w:pPr>
        <w:spacing w:after="0"/>
      </w:pPr>
      <w:r>
        <w:separator/>
      </w:r>
    </w:p>
  </w:endnote>
  <w:endnote w:type="continuationSeparator" w:id="0">
    <w:p w14:paraId="1C0DE0A7" w14:textId="77777777" w:rsidR="00C36F23" w:rsidRDefault="00C36F23" w:rsidP="00302076">
      <w:pPr>
        <w:spacing w:after="0"/>
      </w:pPr>
      <w:r>
        <w:continuationSeparator/>
      </w:r>
    </w:p>
  </w:endnote>
  <w:endnote w:type="continuationNotice" w:id="1">
    <w:p w14:paraId="768550AA" w14:textId="77777777" w:rsidR="00C36F23" w:rsidRDefault="00C36F2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ZWAdobeF">
    <w:altName w:val="Calibri"/>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54B71" w14:textId="3AAE75E6" w:rsidR="00A94C57" w:rsidRPr="00FD4AB1" w:rsidRDefault="00A94C57" w:rsidP="000A7531">
    <w:pPr>
      <w:pStyle w:val="Footer"/>
      <w:rPr>
        <w:rFonts w:ascii="Segoe UI Semibold" w:hAnsi="Segoe UI Semibold" w:cs="Segoe UI"/>
        <w:b/>
      </w:rPr>
    </w:pPr>
    <w:r>
      <w:rPr>
        <w:color w:val="808080" w:themeColor="background1" w:themeShade="80"/>
        <w:sz w:val="15"/>
        <w:szCs w:val="15"/>
        <w:lang w:eastAsia="en-AU"/>
      </w:rPr>
      <w:t xml:space="preserve">Nous Group | </w:t>
    </w:r>
    <w:sdt>
      <w:sdtPr>
        <w:rPr>
          <w:color w:val="808080" w:themeColor="background1" w:themeShade="80"/>
          <w:sz w:val="15"/>
          <w:szCs w:val="15"/>
          <w:lang w:eastAsia="en-AU"/>
        </w:rPr>
        <w:alias w:val="Title"/>
        <w:id w:val="480130150"/>
        <w:dataBinding w:prefixMappings="xmlns:ns0='http://purl.org/dc/elements/1.1/' xmlns:ns1='http://schemas.openxmlformats.org/package/2006/metadata/core-properties' " w:xpath="/ns1:coreProperties[1]/ns0:title[1]" w:storeItemID="{6C3C8BC8-F283-45AE-878A-BAB7291924A1}"/>
        <w:text/>
      </w:sdtPr>
      <w:sdtEndPr/>
      <w:sdtContent>
        <w:r w:rsidR="001C1B01">
          <w:rPr>
            <w:color w:val="808080" w:themeColor="background1" w:themeShade="80"/>
            <w:sz w:val="15"/>
            <w:szCs w:val="15"/>
            <w:lang w:eastAsia="en-AU"/>
          </w:rPr>
          <w:t>Review of Performance as a Native Title Service Provider: First Nations Legal and Research Services</w:t>
        </w:r>
      </w:sdtContent>
    </w:sdt>
    <w:r>
      <w:rPr>
        <w:color w:val="808080" w:themeColor="background1" w:themeShade="80"/>
        <w:sz w:val="15"/>
        <w:szCs w:val="15"/>
        <w:lang w:eastAsia="en-AU"/>
      </w:rPr>
      <w:t xml:space="preserve"> | </w:t>
    </w:r>
    <w:sdt>
      <w:sdtPr>
        <w:rPr>
          <w:color w:val="808080" w:themeColor="background1" w:themeShade="80"/>
          <w:sz w:val="15"/>
          <w:szCs w:val="15"/>
          <w:lang w:eastAsia="en-AU"/>
        </w:rPr>
        <w:alias w:val="Publish Date"/>
        <w:id w:val="-1921550597"/>
        <w:dataBinding w:prefixMappings="xmlns:ns0='http://schemas.microsoft.com/office/2006/coverPageProps' " w:xpath="/ns0:CoverPageProperties[1]/ns0:PublishDate[1]" w:storeItemID="{55AF091B-3C7A-41E3-B477-F2FDAA23CFDA}"/>
        <w:date w:fullDate="2020-06-01T00:00:00Z">
          <w:dateFormat w:val="d MMMM yyyy"/>
          <w:lid w:val="en-AU"/>
          <w:storeMappedDataAs w:val="dateTime"/>
          <w:calendar w:val="gregorian"/>
        </w:date>
      </w:sdtPr>
      <w:sdtEndPr/>
      <w:sdtContent>
        <w:r w:rsidR="00E5318B">
          <w:rPr>
            <w:color w:val="808080" w:themeColor="background1" w:themeShade="80"/>
            <w:sz w:val="15"/>
            <w:szCs w:val="15"/>
            <w:lang w:eastAsia="en-AU"/>
          </w:rPr>
          <w:t>1 June 2020</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D" w14:textId="732B70CA" w:rsidR="00A94C57" w:rsidRPr="007A5C67" w:rsidRDefault="00A94C57" w:rsidP="00000A9B">
    <w:pPr>
      <w:spacing w:after="0"/>
      <w:rPr>
        <w:color w:val="808080" w:themeColor="background1" w:themeShade="80"/>
        <w:sz w:val="15"/>
        <w:szCs w:val="15"/>
        <w:lang w:eastAsia="en-AU"/>
      </w:rPr>
    </w:pPr>
    <w:r>
      <w:rPr>
        <w:color w:val="808080" w:themeColor="background1" w:themeShade="80"/>
        <w:sz w:val="15"/>
        <w:szCs w:val="15"/>
        <w:lang w:eastAsia="en-AU"/>
      </w:rPr>
      <w:t xml:space="preserve">Nous Group | Review of NTRB-SPs – </w:t>
    </w:r>
    <w:r w:rsidR="00B45046">
      <w:rPr>
        <w:color w:val="808080" w:themeColor="background1" w:themeShade="80"/>
        <w:sz w:val="15"/>
        <w:szCs w:val="15"/>
        <w:lang w:eastAsia="en-AU"/>
      </w:rPr>
      <w:t>FNLR</w:t>
    </w:r>
    <w:r>
      <w:rPr>
        <w:color w:val="808080" w:themeColor="background1" w:themeShade="80"/>
        <w:sz w:val="15"/>
        <w:szCs w:val="15"/>
        <w:lang w:eastAsia="en-AU"/>
      </w:rPr>
      <w:t xml:space="preserve">S </w:t>
    </w:r>
    <w:r w:rsidR="00B45046">
      <w:rPr>
        <w:color w:val="808080" w:themeColor="background1" w:themeShade="80"/>
        <w:sz w:val="15"/>
        <w:szCs w:val="15"/>
        <w:lang w:eastAsia="en-AU"/>
      </w:rPr>
      <w:t xml:space="preserve">summary </w:t>
    </w:r>
    <w:r>
      <w:rPr>
        <w:color w:val="808080" w:themeColor="background1" w:themeShade="80"/>
        <w:sz w:val="15"/>
        <w:szCs w:val="15"/>
        <w:lang w:eastAsia="en-AU"/>
      </w:rPr>
      <w:t>report</w:t>
    </w:r>
    <w:r w:rsidR="00F20764">
      <w:rPr>
        <w:color w:val="808080" w:themeColor="background1" w:themeShade="80"/>
        <w:sz w:val="15"/>
        <w:szCs w:val="15"/>
        <w:lang w:eastAsia="en-AU"/>
      </w:rPr>
      <w:t xml:space="preserve"> | March 2021</w:t>
    </w:r>
    <w:r w:rsidRPr="008A55C6">
      <w:rPr>
        <w:color w:val="808080" w:themeColor="background1" w:themeShade="80"/>
        <w:sz w:val="15"/>
        <w:szCs w:val="15"/>
      </w:rPr>
      <w:ptab w:relativeTo="margin" w:alignment="right" w:leader="none"/>
    </w:r>
    <w:r w:rsidRPr="008A55C6">
      <w:rPr>
        <w:color w:val="808080" w:themeColor="background1" w:themeShade="80"/>
      </w:rPr>
      <w:t xml:space="preserve">| </w:t>
    </w:r>
    <w:r w:rsidRPr="008A55C6">
      <w:rPr>
        <w:color w:val="808080" w:themeColor="background1" w:themeShade="80"/>
        <w:sz w:val="16"/>
        <w:szCs w:val="16"/>
      </w:rPr>
      <w:fldChar w:fldCharType="begin"/>
    </w:r>
    <w:r w:rsidRPr="008A55C6">
      <w:rPr>
        <w:color w:val="808080" w:themeColor="background1" w:themeShade="80"/>
        <w:sz w:val="16"/>
        <w:szCs w:val="16"/>
      </w:rPr>
      <w:instrText xml:space="preserve"> PAGE  \* Arabic  \* MERGEFORMAT </w:instrText>
    </w:r>
    <w:r w:rsidRPr="008A55C6">
      <w:rPr>
        <w:color w:val="808080" w:themeColor="background1" w:themeShade="80"/>
        <w:sz w:val="16"/>
        <w:szCs w:val="16"/>
      </w:rPr>
      <w:fldChar w:fldCharType="separate"/>
    </w:r>
    <w:r w:rsidR="002E3063">
      <w:rPr>
        <w:noProof/>
        <w:color w:val="808080" w:themeColor="background1" w:themeShade="80"/>
        <w:sz w:val="16"/>
        <w:szCs w:val="16"/>
      </w:rPr>
      <w:t>6</w:t>
    </w:r>
    <w:r w:rsidRPr="008A55C6">
      <w:rPr>
        <w:color w:val="808080" w:themeColor="background1" w:themeShade="80"/>
        <w:sz w:val="16"/>
        <w:szCs w:val="16"/>
      </w:rPr>
      <w:fldChar w:fldCharType="end"/>
    </w:r>
    <w:r w:rsidRPr="008A55C6">
      <w:rPr>
        <w:color w:val="808080" w:themeColor="background1" w:themeShade="8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F" w14:textId="77777777" w:rsidR="00A94C57" w:rsidRDefault="00A94C57">
    <w:pPr>
      <w:pStyle w:val="Footer"/>
    </w:pPr>
    <w:r w:rsidRPr="000D4195">
      <w:rPr>
        <w:noProof/>
        <w:lang w:eastAsia="en-AU"/>
      </w:rPr>
      <w:drawing>
        <wp:anchor distT="0" distB="0" distL="114300" distR="114300" simplePos="0" relativeHeight="251658241" behindDoc="0" locked="0" layoutInCell="1" allowOverlap="1" wp14:anchorId="162CE2B4" wp14:editId="2946C8A5">
          <wp:simplePos x="0" y="0"/>
          <wp:positionH relativeFrom="page">
            <wp:posOffset>6285964</wp:posOffset>
          </wp:positionH>
          <wp:positionV relativeFrom="page">
            <wp:posOffset>10079665</wp:posOffset>
          </wp:positionV>
          <wp:extent cx="856155" cy="234000"/>
          <wp:effectExtent l="0" t="0" r="1270" b="0"/>
          <wp:wrapNone/>
          <wp:docPr id="11" name="Picture 11" descr="no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S_ORANGE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6155"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D643B5" w14:textId="77777777" w:rsidR="00C36F23" w:rsidRDefault="00C36F23" w:rsidP="00302076">
      <w:pPr>
        <w:spacing w:after="0"/>
      </w:pPr>
      <w:r>
        <w:separator/>
      </w:r>
    </w:p>
  </w:footnote>
  <w:footnote w:type="continuationSeparator" w:id="0">
    <w:p w14:paraId="0B3F12A6" w14:textId="77777777" w:rsidR="00C36F23" w:rsidRDefault="00C36F23" w:rsidP="00302076">
      <w:pPr>
        <w:spacing w:after="0"/>
      </w:pPr>
      <w:r>
        <w:continuationSeparator/>
      </w:r>
    </w:p>
  </w:footnote>
  <w:footnote w:type="continuationNotice" w:id="1">
    <w:p w14:paraId="61637171" w14:textId="77777777" w:rsidR="00C36F23" w:rsidRDefault="00C36F23">
      <w:pPr>
        <w:spacing w:after="0"/>
      </w:pPr>
    </w:p>
  </w:footnote>
  <w:footnote w:id="2">
    <w:p w14:paraId="7050BE43" w14:textId="77777777" w:rsidR="001C1B01" w:rsidRDefault="001C1B01" w:rsidP="001C1B01">
      <w:pPr>
        <w:pStyle w:val="FootnoteText"/>
      </w:pPr>
      <w:r w:rsidRPr="00796791">
        <w:rPr>
          <w:rStyle w:val="FootnoteReference"/>
          <w:sz w:val="16"/>
          <w:szCs w:val="16"/>
        </w:rPr>
        <w:footnoteRef/>
      </w:r>
      <w:r w:rsidRPr="00796791">
        <w:rPr>
          <w:sz w:val="16"/>
          <w:szCs w:val="16"/>
        </w:rPr>
        <w:t xml:space="preserve"> Note in</w:t>
      </w:r>
      <w:r>
        <w:rPr>
          <w:sz w:val="16"/>
          <w:szCs w:val="16"/>
        </w:rPr>
        <w:t xml:space="preserve"> July 2019 the National Indigenous Australians Agency (NIAA) was established to lead Indigenous Affairs Policy for the Australian Government. NIAA has commissioned subsequent NTRB-SP Reviews.</w:t>
      </w:r>
    </w:p>
  </w:footnote>
  <w:footnote w:id="3">
    <w:p w14:paraId="69294240" w14:textId="77777777" w:rsidR="001D379E" w:rsidRPr="005D6B0E" w:rsidRDefault="001D379E" w:rsidP="001D379E">
      <w:pPr>
        <w:pStyle w:val="Footer"/>
        <w:rPr>
          <w:sz w:val="17"/>
        </w:rPr>
      </w:pPr>
      <w:r w:rsidRPr="005D6B0E">
        <w:rPr>
          <w:rStyle w:val="FootnoteReference"/>
          <w:sz w:val="17"/>
        </w:rPr>
        <w:footnoteRef/>
      </w:r>
      <w:r w:rsidRPr="005D6B0E">
        <w:rPr>
          <w:sz w:val="17"/>
        </w:rPr>
        <w:t xml:space="preserve"> NTSV, </w:t>
      </w:r>
      <w:r w:rsidRPr="005D6B0E">
        <w:rPr>
          <w:i/>
          <w:sz w:val="17"/>
        </w:rPr>
        <w:t>Annual Report 2016-17</w:t>
      </w:r>
      <w:r w:rsidRPr="005D6B0E">
        <w:rPr>
          <w:sz w:val="17"/>
        </w:rPr>
        <w:t>,</w:t>
      </w:r>
      <w:r w:rsidRPr="005D6B0E">
        <w:rPr>
          <w:i/>
          <w:sz w:val="17"/>
        </w:rPr>
        <w:t xml:space="preserve"> </w:t>
      </w:r>
      <w:r w:rsidRPr="005D6B0E">
        <w:rPr>
          <w:sz w:val="17"/>
        </w:rPr>
        <w:t>p. 16.</w:t>
      </w:r>
      <w:bookmarkStart w:id="36" w:name="_GoBack"/>
      <w:bookmarkEnd w:id="36"/>
    </w:p>
  </w:footnote>
  <w:footnote w:id="4">
    <w:p w14:paraId="7FBD6903" w14:textId="77777777" w:rsidR="00FC605F" w:rsidRPr="00DE5C24" w:rsidRDefault="00FC605F" w:rsidP="00FC605F">
      <w:pPr>
        <w:pStyle w:val="Footer"/>
        <w:rPr>
          <w:sz w:val="17"/>
        </w:rPr>
      </w:pPr>
      <w:r w:rsidRPr="00DE5C24">
        <w:rPr>
          <w:rStyle w:val="FootnoteReference"/>
          <w:sz w:val="17"/>
        </w:rPr>
        <w:footnoteRef/>
      </w:r>
      <w:r w:rsidRPr="00DE5C24">
        <w:rPr>
          <w:sz w:val="17"/>
        </w:rPr>
        <w:t xml:space="preserve"> NNTT data, available from </w:t>
      </w:r>
      <w:hyperlink r:id="rId1" w:history="1">
        <w:r w:rsidRPr="00DE5C24">
          <w:rPr>
            <w:rStyle w:val="Hyperlink"/>
            <w:sz w:val="17"/>
          </w:rPr>
          <w:t>http://www.arcgis.com/home/webmap/viewer.html?url=https://services2.arcgis.com/rzk7fNEt0xoEp3cX/ArcGIS/rest/services/NNTT_Custodial_AGOL/FeatureServer/6&amp;source=sd</w:t>
        </w:r>
      </w:hyperlink>
      <w:r w:rsidRPr="00DE5C24">
        <w:rPr>
          <w:sz w:val="17"/>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463AB" w14:textId="77777777" w:rsidR="00A94C57" w:rsidRDefault="00A94C57">
    <w:pPr>
      <w:pStyle w:val="Header"/>
    </w:pPr>
    <w:r>
      <w:rPr>
        <w:noProof/>
        <w:sz w:val="20"/>
        <w:szCs w:val="20"/>
        <w:lang w:eastAsia="en-AU"/>
      </w:rPr>
      <w:drawing>
        <wp:anchor distT="0" distB="0" distL="114300" distR="114300" simplePos="0" relativeHeight="251658243" behindDoc="0" locked="0" layoutInCell="1" allowOverlap="1" wp14:anchorId="05DF786C" wp14:editId="691B6DE5">
          <wp:simplePos x="0" y="0"/>
          <wp:positionH relativeFrom="page">
            <wp:posOffset>3337</wp:posOffset>
          </wp:positionH>
          <wp:positionV relativeFrom="page">
            <wp:posOffset>-6985</wp:posOffset>
          </wp:positionV>
          <wp:extent cx="7559749" cy="116958"/>
          <wp:effectExtent l="0" t="0" r="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2A14F" w14:textId="77777777" w:rsidR="00A94C57" w:rsidRDefault="00A94C57" w:rsidP="000A7531">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C" w14:textId="77777777" w:rsidR="00A94C57" w:rsidRPr="00B2563A" w:rsidRDefault="00A94C57" w:rsidP="00B2563A">
    <w:pPr>
      <w:pStyle w:val="Header"/>
    </w:pPr>
    <w:r w:rsidRPr="000D4195">
      <w:rPr>
        <w:noProof/>
        <w:lang w:eastAsia="en-AU"/>
      </w:rPr>
      <w:drawing>
        <wp:anchor distT="0" distB="0" distL="114300" distR="114300" simplePos="0" relativeHeight="251658242" behindDoc="0" locked="0" layoutInCell="1" allowOverlap="1" wp14:anchorId="162CE2B0" wp14:editId="162CE2B1">
          <wp:simplePos x="0" y="0"/>
          <wp:positionH relativeFrom="page">
            <wp:posOffset>3810</wp:posOffset>
          </wp:positionH>
          <wp:positionV relativeFrom="page">
            <wp:posOffset>-3620</wp:posOffset>
          </wp:positionV>
          <wp:extent cx="7562850" cy="114300"/>
          <wp:effectExtent l="0" t="0" r="0"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285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E" w14:textId="77777777" w:rsidR="00A94C57" w:rsidRDefault="00A94C57">
    <w:pPr>
      <w:pStyle w:val="Header"/>
    </w:pPr>
    <w:r w:rsidRPr="000D4195">
      <w:rPr>
        <w:noProof/>
        <w:lang w:eastAsia="en-AU"/>
      </w:rPr>
      <w:drawing>
        <wp:anchor distT="0" distB="0" distL="114300" distR="114300" simplePos="0" relativeHeight="251658240" behindDoc="0" locked="0" layoutInCell="1" allowOverlap="1" wp14:anchorId="162CE2B2" wp14:editId="162CE2B3">
          <wp:simplePos x="0" y="0"/>
          <wp:positionH relativeFrom="page">
            <wp:posOffset>-4255</wp:posOffset>
          </wp:positionH>
          <wp:positionV relativeFrom="page">
            <wp:posOffset>635</wp:posOffset>
          </wp:positionV>
          <wp:extent cx="7562850" cy="114300"/>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285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B9E4A3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D64DA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3162F1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3A4B31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ECAC2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1A2714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9C9A5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2E6136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AC6F4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EBAAD4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9A31A2"/>
    <w:multiLevelType w:val="multilevel"/>
    <w:tmpl w:val="86143C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3625D8B"/>
    <w:multiLevelType w:val="hybridMultilevel"/>
    <w:tmpl w:val="F4482672"/>
    <w:lvl w:ilvl="0" w:tplc="DDC68316">
      <w:start w:val="1"/>
      <w:numFmt w:val="decimal"/>
      <w:pStyle w:val="Listnumbered"/>
      <w:lvlText w:val="%1."/>
      <w:lvlJc w:val="left"/>
      <w:pPr>
        <w:ind w:left="397" w:hanging="397"/>
      </w:pPr>
      <w:rPr>
        <w:rFonts w:hint="default"/>
      </w:rPr>
    </w:lvl>
    <w:lvl w:ilvl="1" w:tplc="511616EA">
      <w:start w:val="1"/>
      <w:numFmt w:val="lowerLetter"/>
      <w:lvlText w:val="%2."/>
      <w:lvlJc w:val="left"/>
      <w:pPr>
        <w:ind w:left="794" w:hanging="397"/>
      </w:pPr>
      <w:rPr>
        <w:rFonts w:hint="default"/>
      </w:rPr>
    </w:lvl>
    <w:lvl w:ilvl="2" w:tplc="14D0C1D8">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2E4365"/>
    <w:multiLevelType w:val="hybridMultilevel"/>
    <w:tmpl w:val="00A2A170"/>
    <w:lvl w:ilvl="0" w:tplc="C9D8D988">
      <w:start w:val="1"/>
      <w:numFmt w:val="bullet"/>
      <w:pStyle w:val="Bullet"/>
      <w:lvlText w:val=""/>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376A2698"/>
    <w:multiLevelType w:val="hybridMultilevel"/>
    <w:tmpl w:val="FF6EE4A2"/>
    <w:lvl w:ilvl="0" w:tplc="9E3E472C">
      <w:start w:val="1"/>
      <w:numFmt w:val="decimal"/>
      <w:pStyle w:val="TableNLis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D32309"/>
    <w:multiLevelType w:val="hybridMultilevel"/>
    <w:tmpl w:val="B71432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9D1413D"/>
    <w:multiLevelType w:val="multilevel"/>
    <w:tmpl w:val="E14812AE"/>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67" w:hanging="283"/>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6" w15:restartNumberingAfterBreak="0">
    <w:nsid w:val="67074625"/>
    <w:multiLevelType w:val="hybridMultilevel"/>
    <w:tmpl w:val="5330B676"/>
    <w:lvl w:ilvl="0" w:tplc="BF6AEE8E">
      <w:numFmt w:val="bullet"/>
      <w:lvlText w:val=""/>
      <w:lvlJc w:val="left"/>
      <w:pPr>
        <w:ind w:left="360" w:hanging="360"/>
      </w:pPr>
      <w:rPr>
        <w:rFonts w:ascii="Symbol" w:eastAsiaTheme="minorHAnsi" w:hAnsi="Symbo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C9606EF"/>
    <w:multiLevelType w:val="multilevel"/>
    <w:tmpl w:val="6A187F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71A16EBA"/>
    <w:multiLevelType w:val="multilevel"/>
    <w:tmpl w:val="2698E5C8"/>
    <w:lvl w:ilvl="0">
      <w:start w:val="1"/>
      <w:numFmt w:val="upperLetter"/>
      <w:pStyle w:val="xAppendixLevel1"/>
      <w:lvlText w:val="Appendix %1"/>
      <w:lvlJc w:val="left"/>
      <w:pPr>
        <w:ind w:left="2268" w:hanging="2268"/>
      </w:pPr>
      <w:rPr>
        <w:rFonts w:hint="default"/>
        <w:color w:val="00264D"/>
        <w:sz w:val="44"/>
        <w:szCs w:val="44"/>
      </w:r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9B7218E"/>
    <w:multiLevelType w:val="hybridMultilevel"/>
    <w:tmpl w:val="9C061010"/>
    <w:lvl w:ilvl="0" w:tplc="3D506FDA">
      <w:start w:val="1"/>
      <w:numFmt w:val="bullet"/>
      <w:lvlText w:val=""/>
      <w:lvlJc w:val="left"/>
      <w:pPr>
        <w:ind w:left="340"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11"/>
  </w:num>
  <w:num w:numId="4">
    <w:abstractNumId w:val="10"/>
  </w:num>
  <w:num w:numId="5">
    <w:abstractNumId w:val="15"/>
  </w:num>
  <w:num w:numId="6">
    <w:abstractNumId w:val="19"/>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1"/>
    <w:lvlOverride w:ilvl="0">
      <w:startOverride w:val="1"/>
    </w:lvlOverride>
  </w:num>
  <w:num w:numId="10">
    <w:abstractNumId w:val="16"/>
  </w:num>
  <w:num w:numId="11">
    <w:abstractNumId w:val="14"/>
  </w:num>
  <w:num w:numId="12">
    <w:abstractNumId w:val="17"/>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bQwMrKwtLAwsjA0NDZT0lEKTi0uzszPAykwrAUAiSbytywAAAA="/>
  </w:docVars>
  <w:rsids>
    <w:rsidRoot w:val="007A76D0"/>
    <w:rsid w:val="000001EB"/>
    <w:rsid w:val="0000085F"/>
    <w:rsid w:val="00000A9B"/>
    <w:rsid w:val="00002727"/>
    <w:rsid w:val="00002C94"/>
    <w:rsid w:val="000032DC"/>
    <w:rsid w:val="00004A8F"/>
    <w:rsid w:val="00004DAE"/>
    <w:rsid w:val="000051CE"/>
    <w:rsid w:val="00005E07"/>
    <w:rsid w:val="00005E13"/>
    <w:rsid w:val="0000734B"/>
    <w:rsid w:val="00007710"/>
    <w:rsid w:val="00007D42"/>
    <w:rsid w:val="00007ED1"/>
    <w:rsid w:val="00013097"/>
    <w:rsid w:val="00014DF0"/>
    <w:rsid w:val="00015658"/>
    <w:rsid w:val="0001589A"/>
    <w:rsid w:val="00017DF5"/>
    <w:rsid w:val="00017E30"/>
    <w:rsid w:val="0002010C"/>
    <w:rsid w:val="00024163"/>
    <w:rsid w:val="00027F13"/>
    <w:rsid w:val="00030B3D"/>
    <w:rsid w:val="000318EA"/>
    <w:rsid w:val="00033603"/>
    <w:rsid w:val="000337F9"/>
    <w:rsid w:val="00034486"/>
    <w:rsid w:val="000354E7"/>
    <w:rsid w:val="00040629"/>
    <w:rsid w:val="000408A6"/>
    <w:rsid w:val="00040D2B"/>
    <w:rsid w:val="000438DD"/>
    <w:rsid w:val="00043FEB"/>
    <w:rsid w:val="00044653"/>
    <w:rsid w:val="00044DA0"/>
    <w:rsid w:val="00045290"/>
    <w:rsid w:val="000456DC"/>
    <w:rsid w:val="00045B96"/>
    <w:rsid w:val="00047A54"/>
    <w:rsid w:val="00047BDF"/>
    <w:rsid w:val="00047D19"/>
    <w:rsid w:val="00047D2B"/>
    <w:rsid w:val="0005212F"/>
    <w:rsid w:val="00052805"/>
    <w:rsid w:val="00053F85"/>
    <w:rsid w:val="00054B9E"/>
    <w:rsid w:val="00054BB2"/>
    <w:rsid w:val="000567C1"/>
    <w:rsid w:val="00056B67"/>
    <w:rsid w:val="00057844"/>
    <w:rsid w:val="0005789D"/>
    <w:rsid w:val="00057E8D"/>
    <w:rsid w:val="0006048B"/>
    <w:rsid w:val="0006164C"/>
    <w:rsid w:val="00063399"/>
    <w:rsid w:val="00064BB7"/>
    <w:rsid w:val="00065939"/>
    <w:rsid w:val="00067145"/>
    <w:rsid w:val="00067E21"/>
    <w:rsid w:val="00067FC8"/>
    <w:rsid w:val="0007063F"/>
    <w:rsid w:val="00072D25"/>
    <w:rsid w:val="00074D81"/>
    <w:rsid w:val="00074DC7"/>
    <w:rsid w:val="00075CF8"/>
    <w:rsid w:val="0008372D"/>
    <w:rsid w:val="00083992"/>
    <w:rsid w:val="00083A9E"/>
    <w:rsid w:val="000841F4"/>
    <w:rsid w:val="000850B3"/>
    <w:rsid w:val="000856E3"/>
    <w:rsid w:val="00085834"/>
    <w:rsid w:val="00085999"/>
    <w:rsid w:val="000862FB"/>
    <w:rsid w:val="00087874"/>
    <w:rsid w:val="0009188F"/>
    <w:rsid w:val="00091A80"/>
    <w:rsid w:val="00093378"/>
    <w:rsid w:val="00093F96"/>
    <w:rsid w:val="00095D0D"/>
    <w:rsid w:val="00096AFA"/>
    <w:rsid w:val="00096C5F"/>
    <w:rsid w:val="00096EF0"/>
    <w:rsid w:val="000979F5"/>
    <w:rsid w:val="00097C4D"/>
    <w:rsid w:val="00097F2C"/>
    <w:rsid w:val="000A0883"/>
    <w:rsid w:val="000A0D3C"/>
    <w:rsid w:val="000A0D6B"/>
    <w:rsid w:val="000A13C3"/>
    <w:rsid w:val="000A1F02"/>
    <w:rsid w:val="000A239B"/>
    <w:rsid w:val="000A2F1B"/>
    <w:rsid w:val="000A6A29"/>
    <w:rsid w:val="000A6B36"/>
    <w:rsid w:val="000A7348"/>
    <w:rsid w:val="000A7531"/>
    <w:rsid w:val="000B1534"/>
    <w:rsid w:val="000B2AA2"/>
    <w:rsid w:val="000B3E04"/>
    <w:rsid w:val="000B4528"/>
    <w:rsid w:val="000B54F3"/>
    <w:rsid w:val="000B6DF8"/>
    <w:rsid w:val="000B720D"/>
    <w:rsid w:val="000B754F"/>
    <w:rsid w:val="000B7985"/>
    <w:rsid w:val="000B7AA3"/>
    <w:rsid w:val="000C0472"/>
    <w:rsid w:val="000C1CEF"/>
    <w:rsid w:val="000C2D05"/>
    <w:rsid w:val="000C34BB"/>
    <w:rsid w:val="000C3D88"/>
    <w:rsid w:val="000C41DE"/>
    <w:rsid w:val="000C459D"/>
    <w:rsid w:val="000C7926"/>
    <w:rsid w:val="000D01AD"/>
    <w:rsid w:val="000D04FD"/>
    <w:rsid w:val="000D0DA3"/>
    <w:rsid w:val="000D3203"/>
    <w:rsid w:val="000D4195"/>
    <w:rsid w:val="000D4216"/>
    <w:rsid w:val="000D4B5E"/>
    <w:rsid w:val="000D5CE3"/>
    <w:rsid w:val="000D64CD"/>
    <w:rsid w:val="000D744F"/>
    <w:rsid w:val="000D7987"/>
    <w:rsid w:val="000D7DBA"/>
    <w:rsid w:val="000E073E"/>
    <w:rsid w:val="000E0D33"/>
    <w:rsid w:val="000E1391"/>
    <w:rsid w:val="000E325F"/>
    <w:rsid w:val="000E5751"/>
    <w:rsid w:val="000E6705"/>
    <w:rsid w:val="000F0338"/>
    <w:rsid w:val="000F1763"/>
    <w:rsid w:val="000F21C9"/>
    <w:rsid w:val="000F2C6B"/>
    <w:rsid w:val="000F4294"/>
    <w:rsid w:val="000F4A27"/>
    <w:rsid w:val="000F6D04"/>
    <w:rsid w:val="000F6ED7"/>
    <w:rsid w:val="000F7B48"/>
    <w:rsid w:val="000F7DF2"/>
    <w:rsid w:val="000F7F2F"/>
    <w:rsid w:val="00101343"/>
    <w:rsid w:val="00101C45"/>
    <w:rsid w:val="00101CE6"/>
    <w:rsid w:val="001028F8"/>
    <w:rsid w:val="00102B5D"/>
    <w:rsid w:val="001032A4"/>
    <w:rsid w:val="0010462B"/>
    <w:rsid w:val="00104668"/>
    <w:rsid w:val="00104822"/>
    <w:rsid w:val="00104C3A"/>
    <w:rsid w:val="001069F9"/>
    <w:rsid w:val="00107587"/>
    <w:rsid w:val="001111D5"/>
    <w:rsid w:val="001124FA"/>
    <w:rsid w:val="001129C9"/>
    <w:rsid w:val="00112F98"/>
    <w:rsid w:val="00112FD2"/>
    <w:rsid w:val="00113188"/>
    <w:rsid w:val="0011406B"/>
    <w:rsid w:val="001150EC"/>
    <w:rsid w:val="0011553E"/>
    <w:rsid w:val="001157CD"/>
    <w:rsid w:val="0011585E"/>
    <w:rsid w:val="00116182"/>
    <w:rsid w:val="0011718E"/>
    <w:rsid w:val="00117855"/>
    <w:rsid w:val="00120C51"/>
    <w:rsid w:val="00121CA1"/>
    <w:rsid w:val="001221EF"/>
    <w:rsid w:val="0012285B"/>
    <w:rsid w:val="00122A88"/>
    <w:rsid w:val="001242E7"/>
    <w:rsid w:val="00124C53"/>
    <w:rsid w:val="00125AE9"/>
    <w:rsid w:val="00126688"/>
    <w:rsid w:val="0013091F"/>
    <w:rsid w:val="00131A1F"/>
    <w:rsid w:val="00132C79"/>
    <w:rsid w:val="00135B2C"/>
    <w:rsid w:val="00135ED7"/>
    <w:rsid w:val="00137279"/>
    <w:rsid w:val="00140A6C"/>
    <w:rsid w:val="001413E6"/>
    <w:rsid w:val="00141995"/>
    <w:rsid w:val="0014203C"/>
    <w:rsid w:val="001423D0"/>
    <w:rsid w:val="001427C1"/>
    <w:rsid w:val="00143CBA"/>
    <w:rsid w:val="00144001"/>
    <w:rsid w:val="0014429D"/>
    <w:rsid w:val="00145516"/>
    <w:rsid w:val="00147322"/>
    <w:rsid w:val="00151249"/>
    <w:rsid w:val="00151988"/>
    <w:rsid w:val="001523D7"/>
    <w:rsid w:val="00152B89"/>
    <w:rsid w:val="00152FF3"/>
    <w:rsid w:val="0015435F"/>
    <w:rsid w:val="00154BDF"/>
    <w:rsid w:val="0015524B"/>
    <w:rsid w:val="001568C5"/>
    <w:rsid w:val="00157603"/>
    <w:rsid w:val="001600C1"/>
    <w:rsid w:val="00160955"/>
    <w:rsid w:val="00160A3F"/>
    <w:rsid w:val="00162F23"/>
    <w:rsid w:val="001634A5"/>
    <w:rsid w:val="0016356D"/>
    <w:rsid w:val="00165D5C"/>
    <w:rsid w:val="00165FFA"/>
    <w:rsid w:val="00166CD5"/>
    <w:rsid w:val="0016703D"/>
    <w:rsid w:val="00167672"/>
    <w:rsid w:val="00171042"/>
    <w:rsid w:val="00171F62"/>
    <w:rsid w:val="00171F80"/>
    <w:rsid w:val="001737E1"/>
    <w:rsid w:val="0017418C"/>
    <w:rsid w:val="00174E49"/>
    <w:rsid w:val="0017752B"/>
    <w:rsid w:val="001809F4"/>
    <w:rsid w:val="00180AB8"/>
    <w:rsid w:val="00180D9A"/>
    <w:rsid w:val="001819A2"/>
    <w:rsid w:val="00181F59"/>
    <w:rsid w:val="0018273B"/>
    <w:rsid w:val="001831B4"/>
    <w:rsid w:val="001835E7"/>
    <w:rsid w:val="0018360A"/>
    <w:rsid w:val="001838BC"/>
    <w:rsid w:val="00183B36"/>
    <w:rsid w:val="0018520D"/>
    <w:rsid w:val="00185E0F"/>
    <w:rsid w:val="0018662E"/>
    <w:rsid w:val="00186C82"/>
    <w:rsid w:val="00187B26"/>
    <w:rsid w:val="00191526"/>
    <w:rsid w:val="00192859"/>
    <w:rsid w:val="00192F9A"/>
    <w:rsid w:val="00193435"/>
    <w:rsid w:val="001942B3"/>
    <w:rsid w:val="001946F0"/>
    <w:rsid w:val="001959FB"/>
    <w:rsid w:val="00196E9A"/>
    <w:rsid w:val="00197211"/>
    <w:rsid w:val="001A1C5B"/>
    <w:rsid w:val="001A1ED3"/>
    <w:rsid w:val="001A28C6"/>
    <w:rsid w:val="001A2AC5"/>
    <w:rsid w:val="001A3EDE"/>
    <w:rsid w:val="001A4083"/>
    <w:rsid w:val="001A58E6"/>
    <w:rsid w:val="001A5B49"/>
    <w:rsid w:val="001A7C76"/>
    <w:rsid w:val="001A7EA7"/>
    <w:rsid w:val="001B0795"/>
    <w:rsid w:val="001B18D6"/>
    <w:rsid w:val="001B21E2"/>
    <w:rsid w:val="001B2391"/>
    <w:rsid w:val="001B2EB8"/>
    <w:rsid w:val="001B31E9"/>
    <w:rsid w:val="001B44DE"/>
    <w:rsid w:val="001B4B46"/>
    <w:rsid w:val="001B4D27"/>
    <w:rsid w:val="001B7431"/>
    <w:rsid w:val="001C1921"/>
    <w:rsid w:val="001C1B01"/>
    <w:rsid w:val="001C35F2"/>
    <w:rsid w:val="001C409E"/>
    <w:rsid w:val="001C42CF"/>
    <w:rsid w:val="001C4669"/>
    <w:rsid w:val="001C46FD"/>
    <w:rsid w:val="001C533D"/>
    <w:rsid w:val="001C66F6"/>
    <w:rsid w:val="001D0BAC"/>
    <w:rsid w:val="001D14D4"/>
    <w:rsid w:val="001D1A57"/>
    <w:rsid w:val="001D2806"/>
    <w:rsid w:val="001D290F"/>
    <w:rsid w:val="001D2C88"/>
    <w:rsid w:val="001D379E"/>
    <w:rsid w:val="001D461F"/>
    <w:rsid w:val="001D4846"/>
    <w:rsid w:val="001D561B"/>
    <w:rsid w:val="001D5C32"/>
    <w:rsid w:val="001D6572"/>
    <w:rsid w:val="001D6A88"/>
    <w:rsid w:val="001E0867"/>
    <w:rsid w:val="001E20F1"/>
    <w:rsid w:val="001E3397"/>
    <w:rsid w:val="001E4136"/>
    <w:rsid w:val="001E4DA1"/>
    <w:rsid w:val="001E62F9"/>
    <w:rsid w:val="001E6D9E"/>
    <w:rsid w:val="001E717A"/>
    <w:rsid w:val="001F04B8"/>
    <w:rsid w:val="001F20AA"/>
    <w:rsid w:val="001F24CF"/>
    <w:rsid w:val="001F2EB2"/>
    <w:rsid w:val="001F403D"/>
    <w:rsid w:val="001F5E1B"/>
    <w:rsid w:val="001F619C"/>
    <w:rsid w:val="001F669D"/>
    <w:rsid w:val="0020000D"/>
    <w:rsid w:val="002014F6"/>
    <w:rsid w:val="00201C0E"/>
    <w:rsid w:val="002023B8"/>
    <w:rsid w:val="00203863"/>
    <w:rsid w:val="0020588F"/>
    <w:rsid w:val="00207ABD"/>
    <w:rsid w:val="00207F1C"/>
    <w:rsid w:val="0021021F"/>
    <w:rsid w:val="0021098F"/>
    <w:rsid w:val="002146DC"/>
    <w:rsid w:val="002148C5"/>
    <w:rsid w:val="00214B24"/>
    <w:rsid w:val="00214C96"/>
    <w:rsid w:val="002166BB"/>
    <w:rsid w:val="002169D5"/>
    <w:rsid w:val="00217830"/>
    <w:rsid w:val="0021792C"/>
    <w:rsid w:val="00217C0E"/>
    <w:rsid w:val="002211E8"/>
    <w:rsid w:val="00221D0F"/>
    <w:rsid w:val="00221F26"/>
    <w:rsid w:val="00225779"/>
    <w:rsid w:val="00225FF4"/>
    <w:rsid w:val="00226A75"/>
    <w:rsid w:val="00227D19"/>
    <w:rsid w:val="00227D7F"/>
    <w:rsid w:val="002308DD"/>
    <w:rsid w:val="0023225A"/>
    <w:rsid w:val="002325FF"/>
    <w:rsid w:val="00232694"/>
    <w:rsid w:val="00232862"/>
    <w:rsid w:val="002329E7"/>
    <w:rsid w:val="00232CE6"/>
    <w:rsid w:val="0023346F"/>
    <w:rsid w:val="00233F42"/>
    <w:rsid w:val="00234F2A"/>
    <w:rsid w:val="00234F3D"/>
    <w:rsid w:val="002351C1"/>
    <w:rsid w:val="00235E34"/>
    <w:rsid w:val="00240113"/>
    <w:rsid w:val="00240D2C"/>
    <w:rsid w:val="00240FF6"/>
    <w:rsid w:val="002417F6"/>
    <w:rsid w:val="00241E9E"/>
    <w:rsid w:val="0024251C"/>
    <w:rsid w:val="00242FE5"/>
    <w:rsid w:val="00243FCA"/>
    <w:rsid w:val="00244300"/>
    <w:rsid w:val="002448AE"/>
    <w:rsid w:val="00244AF3"/>
    <w:rsid w:val="00244B2F"/>
    <w:rsid w:val="00244F45"/>
    <w:rsid w:val="0024561E"/>
    <w:rsid w:val="0024564E"/>
    <w:rsid w:val="0024715C"/>
    <w:rsid w:val="00247CC3"/>
    <w:rsid w:val="00250079"/>
    <w:rsid w:val="002516B8"/>
    <w:rsid w:val="0025193D"/>
    <w:rsid w:val="002535B4"/>
    <w:rsid w:val="00253BD3"/>
    <w:rsid w:val="00253E86"/>
    <w:rsid w:val="00256611"/>
    <w:rsid w:val="00261161"/>
    <w:rsid w:val="00261A86"/>
    <w:rsid w:val="00261FB5"/>
    <w:rsid w:val="0026286F"/>
    <w:rsid w:val="00263500"/>
    <w:rsid w:val="00265D92"/>
    <w:rsid w:val="00266109"/>
    <w:rsid w:val="0026639C"/>
    <w:rsid w:val="00267E38"/>
    <w:rsid w:val="0027024E"/>
    <w:rsid w:val="00270396"/>
    <w:rsid w:val="00270FD5"/>
    <w:rsid w:val="0027210B"/>
    <w:rsid w:val="00272EEE"/>
    <w:rsid w:val="00273A00"/>
    <w:rsid w:val="00274A34"/>
    <w:rsid w:val="00275F0C"/>
    <w:rsid w:val="00276B8E"/>
    <w:rsid w:val="002770AF"/>
    <w:rsid w:val="002770F2"/>
    <w:rsid w:val="0027723F"/>
    <w:rsid w:val="00281D42"/>
    <w:rsid w:val="002836EF"/>
    <w:rsid w:val="0028391B"/>
    <w:rsid w:val="00283AF6"/>
    <w:rsid w:val="00284476"/>
    <w:rsid w:val="0028521C"/>
    <w:rsid w:val="00285281"/>
    <w:rsid w:val="00285654"/>
    <w:rsid w:val="00285D1A"/>
    <w:rsid w:val="00286480"/>
    <w:rsid w:val="00287CAE"/>
    <w:rsid w:val="00287D47"/>
    <w:rsid w:val="00287E4C"/>
    <w:rsid w:val="0029017D"/>
    <w:rsid w:val="0029320C"/>
    <w:rsid w:val="00293CAA"/>
    <w:rsid w:val="002946D0"/>
    <w:rsid w:val="00294C6F"/>
    <w:rsid w:val="002956EB"/>
    <w:rsid w:val="0029592F"/>
    <w:rsid w:val="0029711A"/>
    <w:rsid w:val="00297FB2"/>
    <w:rsid w:val="002A1024"/>
    <w:rsid w:val="002A1E2F"/>
    <w:rsid w:val="002A3273"/>
    <w:rsid w:val="002A36A4"/>
    <w:rsid w:val="002A4541"/>
    <w:rsid w:val="002A54BC"/>
    <w:rsid w:val="002A6C27"/>
    <w:rsid w:val="002A73E5"/>
    <w:rsid w:val="002B0099"/>
    <w:rsid w:val="002B111C"/>
    <w:rsid w:val="002B1968"/>
    <w:rsid w:val="002B1EEF"/>
    <w:rsid w:val="002B2BF8"/>
    <w:rsid w:val="002B2EE6"/>
    <w:rsid w:val="002B4815"/>
    <w:rsid w:val="002B5822"/>
    <w:rsid w:val="002B758E"/>
    <w:rsid w:val="002C09DE"/>
    <w:rsid w:val="002C0A60"/>
    <w:rsid w:val="002C0F67"/>
    <w:rsid w:val="002C3710"/>
    <w:rsid w:val="002C3B26"/>
    <w:rsid w:val="002C3E18"/>
    <w:rsid w:val="002C400D"/>
    <w:rsid w:val="002C4462"/>
    <w:rsid w:val="002C7BF3"/>
    <w:rsid w:val="002D05C8"/>
    <w:rsid w:val="002D067D"/>
    <w:rsid w:val="002D2801"/>
    <w:rsid w:val="002D55AD"/>
    <w:rsid w:val="002D5685"/>
    <w:rsid w:val="002D64A4"/>
    <w:rsid w:val="002D6614"/>
    <w:rsid w:val="002D66A7"/>
    <w:rsid w:val="002D67B5"/>
    <w:rsid w:val="002D6FE3"/>
    <w:rsid w:val="002D7469"/>
    <w:rsid w:val="002D794A"/>
    <w:rsid w:val="002E0098"/>
    <w:rsid w:val="002E08F5"/>
    <w:rsid w:val="002E1538"/>
    <w:rsid w:val="002E254C"/>
    <w:rsid w:val="002E2628"/>
    <w:rsid w:val="002E3063"/>
    <w:rsid w:val="002E4005"/>
    <w:rsid w:val="002E4BA7"/>
    <w:rsid w:val="002E57AD"/>
    <w:rsid w:val="002E5D9A"/>
    <w:rsid w:val="002E6086"/>
    <w:rsid w:val="002E753E"/>
    <w:rsid w:val="002E7BB3"/>
    <w:rsid w:val="002F032A"/>
    <w:rsid w:val="002F0518"/>
    <w:rsid w:val="002F0572"/>
    <w:rsid w:val="002F1CDF"/>
    <w:rsid w:val="002F297B"/>
    <w:rsid w:val="002F35E8"/>
    <w:rsid w:val="002F53C2"/>
    <w:rsid w:val="002F57F5"/>
    <w:rsid w:val="002F59A9"/>
    <w:rsid w:val="002F70C1"/>
    <w:rsid w:val="00300411"/>
    <w:rsid w:val="00301E62"/>
    <w:rsid w:val="00302076"/>
    <w:rsid w:val="003023FB"/>
    <w:rsid w:val="00303170"/>
    <w:rsid w:val="00303865"/>
    <w:rsid w:val="0030424A"/>
    <w:rsid w:val="003045C6"/>
    <w:rsid w:val="00304F86"/>
    <w:rsid w:val="00305E01"/>
    <w:rsid w:val="00307E26"/>
    <w:rsid w:val="0031086C"/>
    <w:rsid w:val="00312BDA"/>
    <w:rsid w:val="00313F32"/>
    <w:rsid w:val="003156E7"/>
    <w:rsid w:val="003160C5"/>
    <w:rsid w:val="00316199"/>
    <w:rsid w:val="00320286"/>
    <w:rsid w:val="0032099F"/>
    <w:rsid w:val="00321398"/>
    <w:rsid w:val="00321641"/>
    <w:rsid w:val="0032339C"/>
    <w:rsid w:val="00324156"/>
    <w:rsid w:val="0032506B"/>
    <w:rsid w:val="00326093"/>
    <w:rsid w:val="00326A05"/>
    <w:rsid w:val="00326E51"/>
    <w:rsid w:val="0032740A"/>
    <w:rsid w:val="00330115"/>
    <w:rsid w:val="00330715"/>
    <w:rsid w:val="003316BF"/>
    <w:rsid w:val="00331A69"/>
    <w:rsid w:val="00331AC8"/>
    <w:rsid w:val="003327FE"/>
    <w:rsid w:val="00332C7A"/>
    <w:rsid w:val="00335367"/>
    <w:rsid w:val="003356FE"/>
    <w:rsid w:val="00335FBA"/>
    <w:rsid w:val="00340399"/>
    <w:rsid w:val="00340AB5"/>
    <w:rsid w:val="00340ED0"/>
    <w:rsid w:val="00341928"/>
    <w:rsid w:val="00341BB9"/>
    <w:rsid w:val="003441A4"/>
    <w:rsid w:val="0034491B"/>
    <w:rsid w:val="003465D8"/>
    <w:rsid w:val="003476B1"/>
    <w:rsid w:val="00351396"/>
    <w:rsid w:val="00351455"/>
    <w:rsid w:val="00351D4B"/>
    <w:rsid w:val="00351DEB"/>
    <w:rsid w:val="003535F2"/>
    <w:rsid w:val="00353628"/>
    <w:rsid w:val="00355F88"/>
    <w:rsid w:val="003560B3"/>
    <w:rsid w:val="0035639E"/>
    <w:rsid w:val="0035723E"/>
    <w:rsid w:val="00357533"/>
    <w:rsid w:val="003576BD"/>
    <w:rsid w:val="00357E49"/>
    <w:rsid w:val="00357EEA"/>
    <w:rsid w:val="00361D25"/>
    <w:rsid w:val="00361EC0"/>
    <w:rsid w:val="00363784"/>
    <w:rsid w:val="00363AB8"/>
    <w:rsid w:val="0036479A"/>
    <w:rsid w:val="00366DCC"/>
    <w:rsid w:val="0037031B"/>
    <w:rsid w:val="0037218A"/>
    <w:rsid w:val="003726CD"/>
    <w:rsid w:val="00373054"/>
    <w:rsid w:val="00373ED3"/>
    <w:rsid w:val="00373F4B"/>
    <w:rsid w:val="00374A32"/>
    <w:rsid w:val="003756BF"/>
    <w:rsid w:val="00376DCF"/>
    <w:rsid w:val="003772AE"/>
    <w:rsid w:val="00381B2C"/>
    <w:rsid w:val="00381EE3"/>
    <w:rsid w:val="00382110"/>
    <w:rsid w:val="00382517"/>
    <w:rsid w:val="00383701"/>
    <w:rsid w:val="00383AD0"/>
    <w:rsid w:val="00383FD2"/>
    <w:rsid w:val="00385DD0"/>
    <w:rsid w:val="00386F82"/>
    <w:rsid w:val="00386FE1"/>
    <w:rsid w:val="0038760F"/>
    <w:rsid w:val="003876C5"/>
    <w:rsid w:val="00387745"/>
    <w:rsid w:val="00390B53"/>
    <w:rsid w:val="00391C60"/>
    <w:rsid w:val="003923BA"/>
    <w:rsid w:val="00393D85"/>
    <w:rsid w:val="0039516F"/>
    <w:rsid w:val="0039690F"/>
    <w:rsid w:val="00396DF4"/>
    <w:rsid w:val="00396FF7"/>
    <w:rsid w:val="003973F2"/>
    <w:rsid w:val="00397FF8"/>
    <w:rsid w:val="003A02C9"/>
    <w:rsid w:val="003A0CA4"/>
    <w:rsid w:val="003A1C1C"/>
    <w:rsid w:val="003A1C98"/>
    <w:rsid w:val="003A23AC"/>
    <w:rsid w:val="003A2DAD"/>
    <w:rsid w:val="003A375F"/>
    <w:rsid w:val="003A3C72"/>
    <w:rsid w:val="003A400A"/>
    <w:rsid w:val="003A4F52"/>
    <w:rsid w:val="003A6F6D"/>
    <w:rsid w:val="003B1480"/>
    <w:rsid w:val="003B21FF"/>
    <w:rsid w:val="003B225A"/>
    <w:rsid w:val="003B4031"/>
    <w:rsid w:val="003B5517"/>
    <w:rsid w:val="003B61C1"/>
    <w:rsid w:val="003B6325"/>
    <w:rsid w:val="003B6614"/>
    <w:rsid w:val="003B6D2E"/>
    <w:rsid w:val="003B6E28"/>
    <w:rsid w:val="003B7E4B"/>
    <w:rsid w:val="003C1545"/>
    <w:rsid w:val="003C1D62"/>
    <w:rsid w:val="003C270A"/>
    <w:rsid w:val="003C2C36"/>
    <w:rsid w:val="003C3644"/>
    <w:rsid w:val="003C37C4"/>
    <w:rsid w:val="003C480F"/>
    <w:rsid w:val="003C4836"/>
    <w:rsid w:val="003C4EB4"/>
    <w:rsid w:val="003C6B8B"/>
    <w:rsid w:val="003C6D6D"/>
    <w:rsid w:val="003C7B5D"/>
    <w:rsid w:val="003D0FB0"/>
    <w:rsid w:val="003D1C84"/>
    <w:rsid w:val="003D313D"/>
    <w:rsid w:val="003D5404"/>
    <w:rsid w:val="003D6286"/>
    <w:rsid w:val="003E02E5"/>
    <w:rsid w:val="003E211B"/>
    <w:rsid w:val="003E2442"/>
    <w:rsid w:val="003E5926"/>
    <w:rsid w:val="003E5BDC"/>
    <w:rsid w:val="003E7C0F"/>
    <w:rsid w:val="003F029F"/>
    <w:rsid w:val="003F0730"/>
    <w:rsid w:val="003F0D71"/>
    <w:rsid w:val="003F2D57"/>
    <w:rsid w:val="003F2F6A"/>
    <w:rsid w:val="003F467E"/>
    <w:rsid w:val="003F5093"/>
    <w:rsid w:val="003F5205"/>
    <w:rsid w:val="003F68BC"/>
    <w:rsid w:val="003F6EBB"/>
    <w:rsid w:val="003F6EFA"/>
    <w:rsid w:val="003F7365"/>
    <w:rsid w:val="003F7F9E"/>
    <w:rsid w:val="00401459"/>
    <w:rsid w:val="00401CDD"/>
    <w:rsid w:val="004021A5"/>
    <w:rsid w:val="00404032"/>
    <w:rsid w:val="00405E7E"/>
    <w:rsid w:val="0040679F"/>
    <w:rsid w:val="00407CF9"/>
    <w:rsid w:val="00410BA9"/>
    <w:rsid w:val="00410D0C"/>
    <w:rsid w:val="004118CA"/>
    <w:rsid w:val="00411E8C"/>
    <w:rsid w:val="00413599"/>
    <w:rsid w:val="00413A52"/>
    <w:rsid w:val="00413B49"/>
    <w:rsid w:val="00413E6A"/>
    <w:rsid w:val="00414C9E"/>
    <w:rsid w:val="00415090"/>
    <w:rsid w:val="00416399"/>
    <w:rsid w:val="00416591"/>
    <w:rsid w:val="00416856"/>
    <w:rsid w:val="00417050"/>
    <w:rsid w:val="00417F38"/>
    <w:rsid w:val="0042018D"/>
    <w:rsid w:val="00421064"/>
    <w:rsid w:val="004215AC"/>
    <w:rsid w:val="00421ED9"/>
    <w:rsid w:val="00423244"/>
    <w:rsid w:val="004245E5"/>
    <w:rsid w:val="00425051"/>
    <w:rsid w:val="00426562"/>
    <w:rsid w:val="004277DD"/>
    <w:rsid w:val="00427EEF"/>
    <w:rsid w:val="00430203"/>
    <w:rsid w:val="00430E82"/>
    <w:rsid w:val="004322D3"/>
    <w:rsid w:val="00432673"/>
    <w:rsid w:val="00433922"/>
    <w:rsid w:val="00434E5D"/>
    <w:rsid w:val="00435ABC"/>
    <w:rsid w:val="00436FB9"/>
    <w:rsid w:val="0043722D"/>
    <w:rsid w:val="00437476"/>
    <w:rsid w:val="004377EB"/>
    <w:rsid w:val="00437DBB"/>
    <w:rsid w:val="0044042D"/>
    <w:rsid w:val="00444F98"/>
    <w:rsid w:val="004455BE"/>
    <w:rsid w:val="00446231"/>
    <w:rsid w:val="004464AD"/>
    <w:rsid w:val="00450060"/>
    <w:rsid w:val="004507CC"/>
    <w:rsid w:val="00451284"/>
    <w:rsid w:val="0045207B"/>
    <w:rsid w:val="00453C8C"/>
    <w:rsid w:val="0045441A"/>
    <w:rsid w:val="00454AA5"/>
    <w:rsid w:val="004555A5"/>
    <w:rsid w:val="00456097"/>
    <w:rsid w:val="00460C7E"/>
    <w:rsid w:val="0046172A"/>
    <w:rsid w:val="00464D6F"/>
    <w:rsid w:val="00465761"/>
    <w:rsid w:val="004660B6"/>
    <w:rsid w:val="004665AF"/>
    <w:rsid w:val="004669BD"/>
    <w:rsid w:val="00470351"/>
    <w:rsid w:val="004704AF"/>
    <w:rsid w:val="0047152B"/>
    <w:rsid w:val="0047201C"/>
    <w:rsid w:val="00472105"/>
    <w:rsid w:val="00472635"/>
    <w:rsid w:val="004737D0"/>
    <w:rsid w:val="004742DE"/>
    <w:rsid w:val="00476937"/>
    <w:rsid w:val="00476B5E"/>
    <w:rsid w:val="00476C2A"/>
    <w:rsid w:val="0047778E"/>
    <w:rsid w:val="00477925"/>
    <w:rsid w:val="00480117"/>
    <w:rsid w:val="00482489"/>
    <w:rsid w:val="0048275E"/>
    <w:rsid w:val="00482DEA"/>
    <w:rsid w:val="004836B0"/>
    <w:rsid w:val="004864F1"/>
    <w:rsid w:val="0049007A"/>
    <w:rsid w:val="00490317"/>
    <w:rsid w:val="004907BB"/>
    <w:rsid w:val="00490990"/>
    <w:rsid w:val="0049189B"/>
    <w:rsid w:val="00492574"/>
    <w:rsid w:val="00493FC1"/>
    <w:rsid w:val="00494D17"/>
    <w:rsid w:val="00494D4F"/>
    <w:rsid w:val="004952C6"/>
    <w:rsid w:val="004956D4"/>
    <w:rsid w:val="00495A73"/>
    <w:rsid w:val="00496403"/>
    <w:rsid w:val="004964A6"/>
    <w:rsid w:val="004A0725"/>
    <w:rsid w:val="004A1634"/>
    <w:rsid w:val="004A16CF"/>
    <w:rsid w:val="004A2DAA"/>
    <w:rsid w:val="004A2DFE"/>
    <w:rsid w:val="004A2EDB"/>
    <w:rsid w:val="004A31E9"/>
    <w:rsid w:val="004A39CA"/>
    <w:rsid w:val="004A3C89"/>
    <w:rsid w:val="004A442B"/>
    <w:rsid w:val="004A6757"/>
    <w:rsid w:val="004A76F1"/>
    <w:rsid w:val="004A7DA5"/>
    <w:rsid w:val="004A7E57"/>
    <w:rsid w:val="004B0190"/>
    <w:rsid w:val="004B0C9A"/>
    <w:rsid w:val="004B0EFA"/>
    <w:rsid w:val="004B1316"/>
    <w:rsid w:val="004B1F4F"/>
    <w:rsid w:val="004B26D7"/>
    <w:rsid w:val="004B3750"/>
    <w:rsid w:val="004B4234"/>
    <w:rsid w:val="004B4499"/>
    <w:rsid w:val="004B4B2E"/>
    <w:rsid w:val="004B6077"/>
    <w:rsid w:val="004B79FC"/>
    <w:rsid w:val="004C02FC"/>
    <w:rsid w:val="004C036A"/>
    <w:rsid w:val="004C0F7F"/>
    <w:rsid w:val="004C14E2"/>
    <w:rsid w:val="004C3FAF"/>
    <w:rsid w:val="004C68A0"/>
    <w:rsid w:val="004C73A6"/>
    <w:rsid w:val="004D0073"/>
    <w:rsid w:val="004D01BA"/>
    <w:rsid w:val="004D1B83"/>
    <w:rsid w:val="004D1D28"/>
    <w:rsid w:val="004D27CD"/>
    <w:rsid w:val="004D5065"/>
    <w:rsid w:val="004D5FA0"/>
    <w:rsid w:val="004D61EE"/>
    <w:rsid w:val="004D6661"/>
    <w:rsid w:val="004D6C14"/>
    <w:rsid w:val="004D7145"/>
    <w:rsid w:val="004D7A0B"/>
    <w:rsid w:val="004D7D22"/>
    <w:rsid w:val="004E0A85"/>
    <w:rsid w:val="004E0BCB"/>
    <w:rsid w:val="004E141D"/>
    <w:rsid w:val="004E1BA9"/>
    <w:rsid w:val="004E3084"/>
    <w:rsid w:val="004E328E"/>
    <w:rsid w:val="004E46E3"/>
    <w:rsid w:val="004E6A8F"/>
    <w:rsid w:val="004F0340"/>
    <w:rsid w:val="004F40F8"/>
    <w:rsid w:val="004F64FB"/>
    <w:rsid w:val="004F6976"/>
    <w:rsid w:val="004F72E8"/>
    <w:rsid w:val="00500290"/>
    <w:rsid w:val="00504264"/>
    <w:rsid w:val="00504F9F"/>
    <w:rsid w:val="005052CE"/>
    <w:rsid w:val="00505B3A"/>
    <w:rsid w:val="005067F3"/>
    <w:rsid w:val="00506BBE"/>
    <w:rsid w:val="00506BC9"/>
    <w:rsid w:val="00506E77"/>
    <w:rsid w:val="00506FD2"/>
    <w:rsid w:val="00507EC9"/>
    <w:rsid w:val="00510569"/>
    <w:rsid w:val="00510E61"/>
    <w:rsid w:val="00511938"/>
    <w:rsid w:val="005121F0"/>
    <w:rsid w:val="005124CF"/>
    <w:rsid w:val="00513A37"/>
    <w:rsid w:val="00513C59"/>
    <w:rsid w:val="0051412B"/>
    <w:rsid w:val="00515B62"/>
    <w:rsid w:val="00516067"/>
    <w:rsid w:val="0051637F"/>
    <w:rsid w:val="0051717D"/>
    <w:rsid w:val="005171EE"/>
    <w:rsid w:val="00517A92"/>
    <w:rsid w:val="00517AB8"/>
    <w:rsid w:val="00517BDB"/>
    <w:rsid w:val="005201E6"/>
    <w:rsid w:val="0052112D"/>
    <w:rsid w:val="00523746"/>
    <w:rsid w:val="005244BA"/>
    <w:rsid w:val="00525012"/>
    <w:rsid w:val="00525AF9"/>
    <w:rsid w:val="00527BC7"/>
    <w:rsid w:val="00527E67"/>
    <w:rsid w:val="00530912"/>
    <w:rsid w:val="00530E1C"/>
    <w:rsid w:val="00532D2E"/>
    <w:rsid w:val="00532F21"/>
    <w:rsid w:val="00533A76"/>
    <w:rsid w:val="0053411F"/>
    <w:rsid w:val="0053728A"/>
    <w:rsid w:val="005401B8"/>
    <w:rsid w:val="005403BD"/>
    <w:rsid w:val="005414A9"/>
    <w:rsid w:val="005423C0"/>
    <w:rsid w:val="00545F10"/>
    <w:rsid w:val="005471B8"/>
    <w:rsid w:val="0055184C"/>
    <w:rsid w:val="00551888"/>
    <w:rsid w:val="00552178"/>
    <w:rsid w:val="00553DC7"/>
    <w:rsid w:val="00553EBB"/>
    <w:rsid w:val="00554281"/>
    <w:rsid w:val="005544BB"/>
    <w:rsid w:val="0055483D"/>
    <w:rsid w:val="00554CFF"/>
    <w:rsid w:val="00555538"/>
    <w:rsid w:val="005555B3"/>
    <w:rsid w:val="005576F7"/>
    <w:rsid w:val="00557BE8"/>
    <w:rsid w:val="00562F9A"/>
    <w:rsid w:val="005634F4"/>
    <w:rsid w:val="00563646"/>
    <w:rsid w:val="005644D3"/>
    <w:rsid w:val="00565220"/>
    <w:rsid w:val="00567306"/>
    <w:rsid w:val="0057076A"/>
    <w:rsid w:val="00571006"/>
    <w:rsid w:val="00571B00"/>
    <w:rsid w:val="00571E2F"/>
    <w:rsid w:val="00572037"/>
    <w:rsid w:val="00572039"/>
    <w:rsid w:val="00572266"/>
    <w:rsid w:val="00572F09"/>
    <w:rsid w:val="00573651"/>
    <w:rsid w:val="00575E4A"/>
    <w:rsid w:val="00576A29"/>
    <w:rsid w:val="005774FE"/>
    <w:rsid w:val="00577894"/>
    <w:rsid w:val="00580B89"/>
    <w:rsid w:val="00580F8C"/>
    <w:rsid w:val="00581ECE"/>
    <w:rsid w:val="005824A0"/>
    <w:rsid w:val="00582938"/>
    <w:rsid w:val="00584AB9"/>
    <w:rsid w:val="005854A7"/>
    <w:rsid w:val="00587145"/>
    <w:rsid w:val="005873E0"/>
    <w:rsid w:val="00587D06"/>
    <w:rsid w:val="00591252"/>
    <w:rsid w:val="0059131A"/>
    <w:rsid w:val="00591601"/>
    <w:rsid w:val="005922FA"/>
    <w:rsid w:val="00592A97"/>
    <w:rsid w:val="005939E0"/>
    <w:rsid w:val="00594954"/>
    <w:rsid w:val="0059630F"/>
    <w:rsid w:val="00596502"/>
    <w:rsid w:val="0059650A"/>
    <w:rsid w:val="0059662A"/>
    <w:rsid w:val="00596892"/>
    <w:rsid w:val="00596B01"/>
    <w:rsid w:val="005A13D5"/>
    <w:rsid w:val="005A3CCA"/>
    <w:rsid w:val="005A4B0B"/>
    <w:rsid w:val="005A52E4"/>
    <w:rsid w:val="005A6211"/>
    <w:rsid w:val="005A634C"/>
    <w:rsid w:val="005A644F"/>
    <w:rsid w:val="005A6B1E"/>
    <w:rsid w:val="005A6B61"/>
    <w:rsid w:val="005A775B"/>
    <w:rsid w:val="005A7C20"/>
    <w:rsid w:val="005B01EB"/>
    <w:rsid w:val="005B0290"/>
    <w:rsid w:val="005B0F01"/>
    <w:rsid w:val="005B169C"/>
    <w:rsid w:val="005B17DA"/>
    <w:rsid w:val="005B29D4"/>
    <w:rsid w:val="005B29DA"/>
    <w:rsid w:val="005B58CE"/>
    <w:rsid w:val="005B5D28"/>
    <w:rsid w:val="005B68DA"/>
    <w:rsid w:val="005B715A"/>
    <w:rsid w:val="005B7C5B"/>
    <w:rsid w:val="005C1218"/>
    <w:rsid w:val="005C12F2"/>
    <w:rsid w:val="005C1CA9"/>
    <w:rsid w:val="005C2953"/>
    <w:rsid w:val="005C32C3"/>
    <w:rsid w:val="005C3909"/>
    <w:rsid w:val="005C3AC7"/>
    <w:rsid w:val="005C3E7E"/>
    <w:rsid w:val="005C4173"/>
    <w:rsid w:val="005C43D7"/>
    <w:rsid w:val="005C4E58"/>
    <w:rsid w:val="005C54A4"/>
    <w:rsid w:val="005C5752"/>
    <w:rsid w:val="005C62AE"/>
    <w:rsid w:val="005C6A86"/>
    <w:rsid w:val="005C6CDB"/>
    <w:rsid w:val="005D040E"/>
    <w:rsid w:val="005D1983"/>
    <w:rsid w:val="005D2A44"/>
    <w:rsid w:val="005D3D7E"/>
    <w:rsid w:val="005D41ED"/>
    <w:rsid w:val="005D46FD"/>
    <w:rsid w:val="005D4A29"/>
    <w:rsid w:val="005D4E5E"/>
    <w:rsid w:val="005D57D0"/>
    <w:rsid w:val="005D5D96"/>
    <w:rsid w:val="005E0BE4"/>
    <w:rsid w:val="005E281A"/>
    <w:rsid w:val="005E39D3"/>
    <w:rsid w:val="005E4305"/>
    <w:rsid w:val="005E5898"/>
    <w:rsid w:val="005E5EDE"/>
    <w:rsid w:val="005E670D"/>
    <w:rsid w:val="005E7FA8"/>
    <w:rsid w:val="005F04A7"/>
    <w:rsid w:val="005F0F45"/>
    <w:rsid w:val="005F10D9"/>
    <w:rsid w:val="005F2996"/>
    <w:rsid w:val="005F3018"/>
    <w:rsid w:val="005F3042"/>
    <w:rsid w:val="005F3D47"/>
    <w:rsid w:val="005F4402"/>
    <w:rsid w:val="005F5448"/>
    <w:rsid w:val="005F62D2"/>
    <w:rsid w:val="005F6558"/>
    <w:rsid w:val="005F66EA"/>
    <w:rsid w:val="005F758B"/>
    <w:rsid w:val="0060066B"/>
    <w:rsid w:val="0060073C"/>
    <w:rsid w:val="0060147F"/>
    <w:rsid w:val="006025FD"/>
    <w:rsid w:val="006031C6"/>
    <w:rsid w:val="00603238"/>
    <w:rsid w:val="00603BA5"/>
    <w:rsid w:val="00603C44"/>
    <w:rsid w:val="006040D3"/>
    <w:rsid w:val="00605C5C"/>
    <w:rsid w:val="00606598"/>
    <w:rsid w:val="00606BED"/>
    <w:rsid w:val="00610683"/>
    <w:rsid w:val="0061082D"/>
    <w:rsid w:val="00610A4F"/>
    <w:rsid w:val="00611A08"/>
    <w:rsid w:val="00613743"/>
    <w:rsid w:val="006139E0"/>
    <w:rsid w:val="006145A3"/>
    <w:rsid w:val="006151C7"/>
    <w:rsid w:val="00615391"/>
    <w:rsid w:val="006154FF"/>
    <w:rsid w:val="006172E3"/>
    <w:rsid w:val="0062148C"/>
    <w:rsid w:val="00623F2E"/>
    <w:rsid w:val="00624041"/>
    <w:rsid w:val="00624280"/>
    <w:rsid w:val="006244AE"/>
    <w:rsid w:val="00624A8B"/>
    <w:rsid w:val="00625B54"/>
    <w:rsid w:val="00626BFC"/>
    <w:rsid w:val="00627170"/>
    <w:rsid w:val="00627DC8"/>
    <w:rsid w:val="0063059E"/>
    <w:rsid w:val="00631B0F"/>
    <w:rsid w:val="006320A0"/>
    <w:rsid w:val="0063226D"/>
    <w:rsid w:val="00634652"/>
    <w:rsid w:val="006349B1"/>
    <w:rsid w:val="00634B49"/>
    <w:rsid w:val="00636006"/>
    <w:rsid w:val="00640368"/>
    <w:rsid w:val="0064064A"/>
    <w:rsid w:val="00641FF6"/>
    <w:rsid w:val="006451CF"/>
    <w:rsid w:val="006459FE"/>
    <w:rsid w:val="00647322"/>
    <w:rsid w:val="006502C1"/>
    <w:rsid w:val="00650F02"/>
    <w:rsid w:val="00652BEB"/>
    <w:rsid w:val="00653665"/>
    <w:rsid w:val="00653916"/>
    <w:rsid w:val="00654392"/>
    <w:rsid w:val="00656344"/>
    <w:rsid w:val="00656464"/>
    <w:rsid w:val="006566EA"/>
    <w:rsid w:val="00656BA5"/>
    <w:rsid w:val="00657958"/>
    <w:rsid w:val="006579A5"/>
    <w:rsid w:val="00660463"/>
    <w:rsid w:val="006629DE"/>
    <w:rsid w:val="0066309D"/>
    <w:rsid w:val="006637FA"/>
    <w:rsid w:val="006647D2"/>
    <w:rsid w:val="00664B10"/>
    <w:rsid w:val="00664CC5"/>
    <w:rsid w:val="0066569F"/>
    <w:rsid w:val="006657BA"/>
    <w:rsid w:val="00665D23"/>
    <w:rsid w:val="0066667A"/>
    <w:rsid w:val="0066728E"/>
    <w:rsid w:val="0067028E"/>
    <w:rsid w:val="0067093F"/>
    <w:rsid w:val="00672723"/>
    <w:rsid w:val="006731EE"/>
    <w:rsid w:val="00673A86"/>
    <w:rsid w:val="00673B2B"/>
    <w:rsid w:val="00675317"/>
    <w:rsid w:val="0067610F"/>
    <w:rsid w:val="0067684C"/>
    <w:rsid w:val="00676B80"/>
    <w:rsid w:val="00676E4B"/>
    <w:rsid w:val="0067725A"/>
    <w:rsid w:val="00677D25"/>
    <w:rsid w:val="00680669"/>
    <w:rsid w:val="006813A6"/>
    <w:rsid w:val="00681650"/>
    <w:rsid w:val="00681A2E"/>
    <w:rsid w:val="00681F4F"/>
    <w:rsid w:val="0068292F"/>
    <w:rsid w:val="00682DE1"/>
    <w:rsid w:val="00683798"/>
    <w:rsid w:val="00683840"/>
    <w:rsid w:val="00683AEA"/>
    <w:rsid w:val="00684158"/>
    <w:rsid w:val="00684CB1"/>
    <w:rsid w:val="00686006"/>
    <w:rsid w:val="006867B3"/>
    <w:rsid w:val="00690F78"/>
    <w:rsid w:val="006910EB"/>
    <w:rsid w:val="0069136F"/>
    <w:rsid w:val="00691428"/>
    <w:rsid w:val="006917C2"/>
    <w:rsid w:val="00691D71"/>
    <w:rsid w:val="00692747"/>
    <w:rsid w:val="006937A3"/>
    <w:rsid w:val="0069591B"/>
    <w:rsid w:val="00696F48"/>
    <w:rsid w:val="0069744D"/>
    <w:rsid w:val="006A0EF4"/>
    <w:rsid w:val="006A17FE"/>
    <w:rsid w:val="006A1AA0"/>
    <w:rsid w:val="006A1F4B"/>
    <w:rsid w:val="006A27C0"/>
    <w:rsid w:val="006A2CB8"/>
    <w:rsid w:val="006A40AF"/>
    <w:rsid w:val="006A54CB"/>
    <w:rsid w:val="006A5AE5"/>
    <w:rsid w:val="006A5B18"/>
    <w:rsid w:val="006A5DCC"/>
    <w:rsid w:val="006A6B67"/>
    <w:rsid w:val="006B1158"/>
    <w:rsid w:val="006B5415"/>
    <w:rsid w:val="006B5532"/>
    <w:rsid w:val="006B6ACE"/>
    <w:rsid w:val="006B6E74"/>
    <w:rsid w:val="006B7B98"/>
    <w:rsid w:val="006C07C0"/>
    <w:rsid w:val="006C18F2"/>
    <w:rsid w:val="006C3E0E"/>
    <w:rsid w:val="006C4534"/>
    <w:rsid w:val="006C45EB"/>
    <w:rsid w:val="006C473D"/>
    <w:rsid w:val="006C4A6D"/>
    <w:rsid w:val="006C4CD6"/>
    <w:rsid w:val="006C52A4"/>
    <w:rsid w:val="006C5371"/>
    <w:rsid w:val="006C5698"/>
    <w:rsid w:val="006C6E4C"/>
    <w:rsid w:val="006C6EDB"/>
    <w:rsid w:val="006D0604"/>
    <w:rsid w:val="006D0ACF"/>
    <w:rsid w:val="006D17FB"/>
    <w:rsid w:val="006D1876"/>
    <w:rsid w:val="006D32AC"/>
    <w:rsid w:val="006D58E8"/>
    <w:rsid w:val="006D6B5A"/>
    <w:rsid w:val="006D6F9B"/>
    <w:rsid w:val="006D766A"/>
    <w:rsid w:val="006D780C"/>
    <w:rsid w:val="006D7911"/>
    <w:rsid w:val="006E0BE4"/>
    <w:rsid w:val="006E27E6"/>
    <w:rsid w:val="006E36A3"/>
    <w:rsid w:val="006E413B"/>
    <w:rsid w:val="006E4C77"/>
    <w:rsid w:val="006E500B"/>
    <w:rsid w:val="006E5CA4"/>
    <w:rsid w:val="006E634A"/>
    <w:rsid w:val="006E6DC9"/>
    <w:rsid w:val="006E7AD3"/>
    <w:rsid w:val="006F15CE"/>
    <w:rsid w:val="006F218D"/>
    <w:rsid w:val="006F31B4"/>
    <w:rsid w:val="006F3D31"/>
    <w:rsid w:val="006F430C"/>
    <w:rsid w:val="006F4577"/>
    <w:rsid w:val="006F5B5A"/>
    <w:rsid w:val="006F7005"/>
    <w:rsid w:val="0070030A"/>
    <w:rsid w:val="00700F04"/>
    <w:rsid w:val="0070125C"/>
    <w:rsid w:val="00701E46"/>
    <w:rsid w:val="00703BC5"/>
    <w:rsid w:val="00704F45"/>
    <w:rsid w:val="007051E7"/>
    <w:rsid w:val="007052EB"/>
    <w:rsid w:val="00707E3A"/>
    <w:rsid w:val="00710087"/>
    <w:rsid w:val="007103C2"/>
    <w:rsid w:val="007104C6"/>
    <w:rsid w:val="00710BBA"/>
    <w:rsid w:val="00710EEC"/>
    <w:rsid w:val="007111ED"/>
    <w:rsid w:val="0071261D"/>
    <w:rsid w:val="00713AB6"/>
    <w:rsid w:val="00713BFB"/>
    <w:rsid w:val="007154EF"/>
    <w:rsid w:val="00720D59"/>
    <w:rsid w:val="00720F29"/>
    <w:rsid w:val="00721056"/>
    <w:rsid w:val="00721627"/>
    <w:rsid w:val="0072227E"/>
    <w:rsid w:val="00722EE0"/>
    <w:rsid w:val="00723A9B"/>
    <w:rsid w:val="00723C16"/>
    <w:rsid w:val="0072420D"/>
    <w:rsid w:val="00726FF2"/>
    <w:rsid w:val="00727701"/>
    <w:rsid w:val="007312A4"/>
    <w:rsid w:val="00731D6A"/>
    <w:rsid w:val="0073299C"/>
    <w:rsid w:val="00732CAB"/>
    <w:rsid w:val="00733ABC"/>
    <w:rsid w:val="00733AC6"/>
    <w:rsid w:val="0073412A"/>
    <w:rsid w:val="00734149"/>
    <w:rsid w:val="00735D7F"/>
    <w:rsid w:val="00736663"/>
    <w:rsid w:val="0073695E"/>
    <w:rsid w:val="007376B2"/>
    <w:rsid w:val="00737791"/>
    <w:rsid w:val="007408A3"/>
    <w:rsid w:val="0074091A"/>
    <w:rsid w:val="007409E3"/>
    <w:rsid w:val="00742F8C"/>
    <w:rsid w:val="007432E2"/>
    <w:rsid w:val="007441E5"/>
    <w:rsid w:val="007444AB"/>
    <w:rsid w:val="007450A0"/>
    <w:rsid w:val="0074514D"/>
    <w:rsid w:val="007457BA"/>
    <w:rsid w:val="007464BD"/>
    <w:rsid w:val="00747A64"/>
    <w:rsid w:val="00750950"/>
    <w:rsid w:val="007509CC"/>
    <w:rsid w:val="0075123E"/>
    <w:rsid w:val="00752258"/>
    <w:rsid w:val="00752805"/>
    <w:rsid w:val="00752CB1"/>
    <w:rsid w:val="007532E7"/>
    <w:rsid w:val="007536A1"/>
    <w:rsid w:val="007601AE"/>
    <w:rsid w:val="007607C8"/>
    <w:rsid w:val="00760834"/>
    <w:rsid w:val="00761788"/>
    <w:rsid w:val="00761B39"/>
    <w:rsid w:val="007638F8"/>
    <w:rsid w:val="007639CF"/>
    <w:rsid w:val="00763A3F"/>
    <w:rsid w:val="00764086"/>
    <w:rsid w:val="00764732"/>
    <w:rsid w:val="00765305"/>
    <w:rsid w:val="007659AF"/>
    <w:rsid w:val="007672EB"/>
    <w:rsid w:val="007676AB"/>
    <w:rsid w:val="00770250"/>
    <w:rsid w:val="007702E2"/>
    <w:rsid w:val="00771346"/>
    <w:rsid w:val="00771C9D"/>
    <w:rsid w:val="00771CAE"/>
    <w:rsid w:val="00772EDD"/>
    <w:rsid w:val="00773B10"/>
    <w:rsid w:val="0077403C"/>
    <w:rsid w:val="00774182"/>
    <w:rsid w:val="00775B2F"/>
    <w:rsid w:val="00776163"/>
    <w:rsid w:val="007771CF"/>
    <w:rsid w:val="00777DEE"/>
    <w:rsid w:val="00777EBD"/>
    <w:rsid w:val="00777FF6"/>
    <w:rsid w:val="00780B24"/>
    <w:rsid w:val="00781584"/>
    <w:rsid w:val="00782AA6"/>
    <w:rsid w:val="0078334D"/>
    <w:rsid w:val="00783AD2"/>
    <w:rsid w:val="007842C4"/>
    <w:rsid w:val="00784AF7"/>
    <w:rsid w:val="00784DB2"/>
    <w:rsid w:val="00784E34"/>
    <w:rsid w:val="00784FBE"/>
    <w:rsid w:val="0078512B"/>
    <w:rsid w:val="007909FF"/>
    <w:rsid w:val="007918FF"/>
    <w:rsid w:val="00792CA2"/>
    <w:rsid w:val="00793E6C"/>
    <w:rsid w:val="00794B49"/>
    <w:rsid w:val="0079602B"/>
    <w:rsid w:val="00796EC5"/>
    <w:rsid w:val="00797BB6"/>
    <w:rsid w:val="007A0AB5"/>
    <w:rsid w:val="007A18B4"/>
    <w:rsid w:val="007A1E3A"/>
    <w:rsid w:val="007A22D7"/>
    <w:rsid w:val="007A55E5"/>
    <w:rsid w:val="007A5C67"/>
    <w:rsid w:val="007A5E59"/>
    <w:rsid w:val="007A6411"/>
    <w:rsid w:val="007A6BD9"/>
    <w:rsid w:val="007A76D0"/>
    <w:rsid w:val="007B1B9C"/>
    <w:rsid w:val="007B342E"/>
    <w:rsid w:val="007B39C0"/>
    <w:rsid w:val="007B3A6D"/>
    <w:rsid w:val="007B54F3"/>
    <w:rsid w:val="007B5A23"/>
    <w:rsid w:val="007B5CD1"/>
    <w:rsid w:val="007B6A54"/>
    <w:rsid w:val="007B75EC"/>
    <w:rsid w:val="007B7E25"/>
    <w:rsid w:val="007C0332"/>
    <w:rsid w:val="007C10DC"/>
    <w:rsid w:val="007C1DC5"/>
    <w:rsid w:val="007C2334"/>
    <w:rsid w:val="007C30CC"/>
    <w:rsid w:val="007C5A43"/>
    <w:rsid w:val="007C5C59"/>
    <w:rsid w:val="007C5D58"/>
    <w:rsid w:val="007C6452"/>
    <w:rsid w:val="007C64D6"/>
    <w:rsid w:val="007C6DC5"/>
    <w:rsid w:val="007D00D1"/>
    <w:rsid w:val="007D0C21"/>
    <w:rsid w:val="007D21CF"/>
    <w:rsid w:val="007D69EC"/>
    <w:rsid w:val="007D7498"/>
    <w:rsid w:val="007D7EAF"/>
    <w:rsid w:val="007E05EE"/>
    <w:rsid w:val="007E0BD6"/>
    <w:rsid w:val="007E2540"/>
    <w:rsid w:val="007E3421"/>
    <w:rsid w:val="007E41FB"/>
    <w:rsid w:val="007E522D"/>
    <w:rsid w:val="007E634C"/>
    <w:rsid w:val="007E68BA"/>
    <w:rsid w:val="007F03DC"/>
    <w:rsid w:val="007F057A"/>
    <w:rsid w:val="007F067C"/>
    <w:rsid w:val="007F0D0A"/>
    <w:rsid w:val="007F1114"/>
    <w:rsid w:val="007F1D33"/>
    <w:rsid w:val="007F2970"/>
    <w:rsid w:val="007F2FE2"/>
    <w:rsid w:val="007F3061"/>
    <w:rsid w:val="007F3C56"/>
    <w:rsid w:val="007F3D82"/>
    <w:rsid w:val="007F3FBD"/>
    <w:rsid w:val="007F465A"/>
    <w:rsid w:val="007F4D55"/>
    <w:rsid w:val="007F5A7E"/>
    <w:rsid w:val="007F7588"/>
    <w:rsid w:val="007F7C98"/>
    <w:rsid w:val="008005FB"/>
    <w:rsid w:val="008008C1"/>
    <w:rsid w:val="00801B02"/>
    <w:rsid w:val="00801C98"/>
    <w:rsid w:val="00801CE0"/>
    <w:rsid w:val="00801F67"/>
    <w:rsid w:val="008026AA"/>
    <w:rsid w:val="0080287A"/>
    <w:rsid w:val="00803996"/>
    <w:rsid w:val="00804286"/>
    <w:rsid w:val="00804C2E"/>
    <w:rsid w:val="00805EB2"/>
    <w:rsid w:val="008107FD"/>
    <w:rsid w:val="00810A36"/>
    <w:rsid w:val="00810B33"/>
    <w:rsid w:val="00811E3C"/>
    <w:rsid w:val="0081477B"/>
    <w:rsid w:val="0081480D"/>
    <w:rsid w:val="0081518B"/>
    <w:rsid w:val="00816825"/>
    <w:rsid w:val="00817BC4"/>
    <w:rsid w:val="0082008B"/>
    <w:rsid w:val="00820662"/>
    <w:rsid w:val="00822ABB"/>
    <w:rsid w:val="00823AF6"/>
    <w:rsid w:val="00823E24"/>
    <w:rsid w:val="00824BB0"/>
    <w:rsid w:val="00825F19"/>
    <w:rsid w:val="008306C1"/>
    <w:rsid w:val="00830E37"/>
    <w:rsid w:val="00831073"/>
    <w:rsid w:val="0083171E"/>
    <w:rsid w:val="008317F2"/>
    <w:rsid w:val="0083219B"/>
    <w:rsid w:val="00833492"/>
    <w:rsid w:val="00833816"/>
    <w:rsid w:val="00834648"/>
    <w:rsid w:val="00835CA6"/>
    <w:rsid w:val="00836DF7"/>
    <w:rsid w:val="00840534"/>
    <w:rsid w:val="00840F83"/>
    <w:rsid w:val="00841DF2"/>
    <w:rsid w:val="00843548"/>
    <w:rsid w:val="00844CA0"/>
    <w:rsid w:val="008458DB"/>
    <w:rsid w:val="00845A83"/>
    <w:rsid w:val="00846EAF"/>
    <w:rsid w:val="0084761C"/>
    <w:rsid w:val="00847A1D"/>
    <w:rsid w:val="00847DCC"/>
    <w:rsid w:val="00850032"/>
    <w:rsid w:val="008511BB"/>
    <w:rsid w:val="00854457"/>
    <w:rsid w:val="00854B5B"/>
    <w:rsid w:val="00854EDD"/>
    <w:rsid w:val="00854F8A"/>
    <w:rsid w:val="00855103"/>
    <w:rsid w:val="00855B51"/>
    <w:rsid w:val="0085641E"/>
    <w:rsid w:val="00856493"/>
    <w:rsid w:val="008602AD"/>
    <w:rsid w:val="008633C0"/>
    <w:rsid w:val="00864C4E"/>
    <w:rsid w:val="0086528A"/>
    <w:rsid w:val="008661E6"/>
    <w:rsid w:val="00866894"/>
    <w:rsid w:val="008700D8"/>
    <w:rsid w:val="00870F68"/>
    <w:rsid w:val="00872246"/>
    <w:rsid w:val="008728B5"/>
    <w:rsid w:val="00873E64"/>
    <w:rsid w:val="00874515"/>
    <w:rsid w:val="00875859"/>
    <w:rsid w:val="00876FF7"/>
    <w:rsid w:val="008805ED"/>
    <w:rsid w:val="00882460"/>
    <w:rsid w:val="008826AE"/>
    <w:rsid w:val="00883665"/>
    <w:rsid w:val="00883DA4"/>
    <w:rsid w:val="00883E03"/>
    <w:rsid w:val="00883F2E"/>
    <w:rsid w:val="008853E6"/>
    <w:rsid w:val="0088564E"/>
    <w:rsid w:val="00885D70"/>
    <w:rsid w:val="008861C7"/>
    <w:rsid w:val="008900A8"/>
    <w:rsid w:val="0089012E"/>
    <w:rsid w:val="008922A5"/>
    <w:rsid w:val="00892458"/>
    <w:rsid w:val="00892A20"/>
    <w:rsid w:val="00892D76"/>
    <w:rsid w:val="008952D4"/>
    <w:rsid w:val="008A0256"/>
    <w:rsid w:val="008A0F52"/>
    <w:rsid w:val="008A145F"/>
    <w:rsid w:val="008A2B8F"/>
    <w:rsid w:val="008A2D69"/>
    <w:rsid w:val="008A3C71"/>
    <w:rsid w:val="008A4B23"/>
    <w:rsid w:val="008A55C6"/>
    <w:rsid w:val="008A5892"/>
    <w:rsid w:val="008A61CB"/>
    <w:rsid w:val="008A70CC"/>
    <w:rsid w:val="008A79FD"/>
    <w:rsid w:val="008B044E"/>
    <w:rsid w:val="008B0737"/>
    <w:rsid w:val="008B18F8"/>
    <w:rsid w:val="008B2A6D"/>
    <w:rsid w:val="008B2C29"/>
    <w:rsid w:val="008B3C81"/>
    <w:rsid w:val="008B4431"/>
    <w:rsid w:val="008B4EE5"/>
    <w:rsid w:val="008B516B"/>
    <w:rsid w:val="008B521D"/>
    <w:rsid w:val="008B67FE"/>
    <w:rsid w:val="008B6C26"/>
    <w:rsid w:val="008B7323"/>
    <w:rsid w:val="008B7B2E"/>
    <w:rsid w:val="008C091C"/>
    <w:rsid w:val="008C1316"/>
    <w:rsid w:val="008C1B46"/>
    <w:rsid w:val="008C21F8"/>
    <w:rsid w:val="008C2FEC"/>
    <w:rsid w:val="008C394C"/>
    <w:rsid w:val="008C4439"/>
    <w:rsid w:val="008C45EA"/>
    <w:rsid w:val="008C5660"/>
    <w:rsid w:val="008C586A"/>
    <w:rsid w:val="008C5979"/>
    <w:rsid w:val="008C5C6A"/>
    <w:rsid w:val="008C6493"/>
    <w:rsid w:val="008C6B86"/>
    <w:rsid w:val="008D1A0F"/>
    <w:rsid w:val="008D295A"/>
    <w:rsid w:val="008D3542"/>
    <w:rsid w:val="008D5A51"/>
    <w:rsid w:val="008D6F62"/>
    <w:rsid w:val="008D71D0"/>
    <w:rsid w:val="008D7259"/>
    <w:rsid w:val="008E014E"/>
    <w:rsid w:val="008E23F3"/>
    <w:rsid w:val="008E3039"/>
    <w:rsid w:val="008E3392"/>
    <w:rsid w:val="008E383D"/>
    <w:rsid w:val="008E3E4A"/>
    <w:rsid w:val="008E4CA0"/>
    <w:rsid w:val="008E52FB"/>
    <w:rsid w:val="008E5950"/>
    <w:rsid w:val="008E59B1"/>
    <w:rsid w:val="008E5DA8"/>
    <w:rsid w:val="008E5FDB"/>
    <w:rsid w:val="008E6C25"/>
    <w:rsid w:val="008E790B"/>
    <w:rsid w:val="008E7F8D"/>
    <w:rsid w:val="008F1D01"/>
    <w:rsid w:val="008F23B0"/>
    <w:rsid w:val="008F3AD4"/>
    <w:rsid w:val="008F436A"/>
    <w:rsid w:val="008F4752"/>
    <w:rsid w:val="008F5C94"/>
    <w:rsid w:val="008F675E"/>
    <w:rsid w:val="008F703E"/>
    <w:rsid w:val="008F789B"/>
    <w:rsid w:val="00900204"/>
    <w:rsid w:val="00900880"/>
    <w:rsid w:val="00901028"/>
    <w:rsid w:val="009028A5"/>
    <w:rsid w:val="00904E72"/>
    <w:rsid w:val="00905A6D"/>
    <w:rsid w:val="00905F11"/>
    <w:rsid w:val="009078EC"/>
    <w:rsid w:val="009079A2"/>
    <w:rsid w:val="009123AD"/>
    <w:rsid w:val="00913268"/>
    <w:rsid w:val="00913CE8"/>
    <w:rsid w:val="009143E9"/>
    <w:rsid w:val="00914405"/>
    <w:rsid w:val="00914DD8"/>
    <w:rsid w:val="00915188"/>
    <w:rsid w:val="009157C5"/>
    <w:rsid w:val="0091623B"/>
    <w:rsid w:val="00922751"/>
    <w:rsid w:val="009232B0"/>
    <w:rsid w:val="009236B7"/>
    <w:rsid w:val="00924CEC"/>
    <w:rsid w:val="009253C9"/>
    <w:rsid w:val="00926619"/>
    <w:rsid w:val="009273C6"/>
    <w:rsid w:val="0092790D"/>
    <w:rsid w:val="00930510"/>
    <w:rsid w:val="00933083"/>
    <w:rsid w:val="009330E0"/>
    <w:rsid w:val="00933404"/>
    <w:rsid w:val="00933FDD"/>
    <w:rsid w:val="00935899"/>
    <w:rsid w:val="00937211"/>
    <w:rsid w:val="00937A7C"/>
    <w:rsid w:val="00940E37"/>
    <w:rsid w:val="00941016"/>
    <w:rsid w:val="009426C0"/>
    <w:rsid w:val="00945FA7"/>
    <w:rsid w:val="0094658D"/>
    <w:rsid w:val="00946A90"/>
    <w:rsid w:val="00946F49"/>
    <w:rsid w:val="00947C4B"/>
    <w:rsid w:val="00950649"/>
    <w:rsid w:val="00950ECE"/>
    <w:rsid w:val="00951001"/>
    <w:rsid w:val="009515AD"/>
    <w:rsid w:val="00952BB6"/>
    <w:rsid w:val="0095478E"/>
    <w:rsid w:val="00955F75"/>
    <w:rsid w:val="009563A9"/>
    <w:rsid w:val="00956FF3"/>
    <w:rsid w:val="009574FA"/>
    <w:rsid w:val="00960D0D"/>
    <w:rsid w:val="00961DCB"/>
    <w:rsid w:val="0096232C"/>
    <w:rsid w:val="0096243A"/>
    <w:rsid w:val="009624B5"/>
    <w:rsid w:val="009626FD"/>
    <w:rsid w:val="00962BF8"/>
    <w:rsid w:val="00963C39"/>
    <w:rsid w:val="00964E05"/>
    <w:rsid w:val="00964F44"/>
    <w:rsid w:val="00965257"/>
    <w:rsid w:val="009654DC"/>
    <w:rsid w:val="0096592D"/>
    <w:rsid w:val="00965A24"/>
    <w:rsid w:val="0096620D"/>
    <w:rsid w:val="00966231"/>
    <w:rsid w:val="00972A53"/>
    <w:rsid w:val="0097324B"/>
    <w:rsid w:val="0097385E"/>
    <w:rsid w:val="009740D6"/>
    <w:rsid w:val="00974BFD"/>
    <w:rsid w:val="0097506E"/>
    <w:rsid w:val="009765A0"/>
    <w:rsid w:val="009775AC"/>
    <w:rsid w:val="0098028F"/>
    <w:rsid w:val="009802E3"/>
    <w:rsid w:val="00981D3D"/>
    <w:rsid w:val="0098248A"/>
    <w:rsid w:val="00982D9C"/>
    <w:rsid w:val="009831D9"/>
    <w:rsid w:val="00983F10"/>
    <w:rsid w:val="00983F53"/>
    <w:rsid w:val="0098438E"/>
    <w:rsid w:val="009845B7"/>
    <w:rsid w:val="009845DC"/>
    <w:rsid w:val="00984B54"/>
    <w:rsid w:val="00984CEE"/>
    <w:rsid w:val="00984DF7"/>
    <w:rsid w:val="00986653"/>
    <w:rsid w:val="009871E8"/>
    <w:rsid w:val="009871FF"/>
    <w:rsid w:val="009900F3"/>
    <w:rsid w:val="00990121"/>
    <w:rsid w:val="00990529"/>
    <w:rsid w:val="009907A5"/>
    <w:rsid w:val="009914AA"/>
    <w:rsid w:val="009914F0"/>
    <w:rsid w:val="00992166"/>
    <w:rsid w:val="009926ED"/>
    <w:rsid w:val="009929BD"/>
    <w:rsid w:val="00993882"/>
    <w:rsid w:val="0099441D"/>
    <w:rsid w:val="00995697"/>
    <w:rsid w:val="009958DC"/>
    <w:rsid w:val="00995C03"/>
    <w:rsid w:val="00995D40"/>
    <w:rsid w:val="00996078"/>
    <w:rsid w:val="00997287"/>
    <w:rsid w:val="00997A4C"/>
    <w:rsid w:val="009A056E"/>
    <w:rsid w:val="009A0A65"/>
    <w:rsid w:val="009A0F4F"/>
    <w:rsid w:val="009A15AC"/>
    <w:rsid w:val="009A2AA9"/>
    <w:rsid w:val="009A2D70"/>
    <w:rsid w:val="009A3602"/>
    <w:rsid w:val="009A42EF"/>
    <w:rsid w:val="009A62E5"/>
    <w:rsid w:val="009A69FE"/>
    <w:rsid w:val="009A6D99"/>
    <w:rsid w:val="009A771A"/>
    <w:rsid w:val="009A7865"/>
    <w:rsid w:val="009A7E94"/>
    <w:rsid w:val="009B0D47"/>
    <w:rsid w:val="009B1E72"/>
    <w:rsid w:val="009B4DA7"/>
    <w:rsid w:val="009B5063"/>
    <w:rsid w:val="009B548D"/>
    <w:rsid w:val="009B58DB"/>
    <w:rsid w:val="009B6145"/>
    <w:rsid w:val="009B743E"/>
    <w:rsid w:val="009B782A"/>
    <w:rsid w:val="009B7ECE"/>
    <w:rsid w:val="009C0802"/>
    <w:rsid w:val="009C0A7E"/>
    <w:rsid w:val="009C43D7"/>
    <w:rsid w:val="009C52D3"/>
    <w:rsid w:val="009C555E"/>
    <w:rsid w:val="009C62D5"/>
    <w:rsid w:val="009C673C"/>
    <w:rsid w:val="009C6FE8"/>
    <w:rsid w:val="009C750F"/>
    <w:rsid w:val="009C7F02"/>
    <w:rsid w:val="009C7FC7"/>
    <w:rsid w:val="009D0C8F"/>
    <w:rsid w:val="009D1E92"/>
    <w:rsid w:val="009D30F9"/>
    <w:rsid w:val="009D3DC6"/>
    <w:rsid w:val="009D4A32"/>
    <w:rsid w:val="009D5B21"/>
    <w:rsid w:val="009D6037"/>
    <w:rsid w:val="009D7E47"/>
    <w:rsid w:val="009E01DA"/>
    <w:rsid w:val="009E1053"/>
    <w:rsid w:val="009E2705"/>
    <w:rsid w:val="009E2C82"/>
    <w:rsid w:val="009E2F39"/>
    <w:rsid w:val="009E60DF"/>
    <w:rsid w:val="009E6709"/>
    <w:rsid w:val="009E6ED4"/>
    <w:rsid w:val="009E701F"/>
    <w:rsid w:val="009F0FDC"/>
    <w:rsid w:val="009F1C01"/>
    <w:rsid w:val="009F20E4"/>
    <w:rsid w:val="009F248D"/>
    <w:rsid w:val="009F3E71"/>
    <w:rsid w:val="009F4487"/>
    <w:rsid w:val="009F4B2F"/>
    <w:rsid w:val="009F55AD"/>
    <w:rsid w:val="009F6B04"/>
    <w:rsid w:val="009F7484"/>
    <w:rsid w:val="009F7979"/>
    <w:rsid w:val="00A00ACF"/>
    <w:rsid w:val="00A00BA1"/>
    <w:rsid w:val="00A0125C"/>
    <w:rsid w:val="00A01563"/>
    <w:rsid w:val="00A01EB9"/>
    <w:rsid w:val="00A01EEA"/>
    <w:rsid w:val="00A02040"/>
    <w:rsid w:val="00A0233F"/>
    <w:rsid w:val="00A0255B"/>
    <w:rsid w:val="00A02E7B"/>
    <w:rsid w:val="00A0302F"/>
    <w:rsid w:val="00A03A67"/>
    <w:rsid w:val="00A0448E"/>
    <w:rsid w:val="00A060B6"/>
    <w:rsid w:val="00A06693"/>
    <w:rsid w:val="00A0752E"/>
    <w:rsid w:val="00A1169E"/>
    <w:rsid w:val="00A1211C"/>
    <w:rsid w:val="00A13A3E"/>
    <w:rsid w:val="00A14C7A"/>
    <w:rsid w:val="00A154BA"/>
    <w:rsid w:val="00A16650"/>
    <w:rsid w:val="00A17051"/>
    <w:rsid w:val="00A17810"/>
    <w:rsid w:val="00A21A16"/>
    <w:rsid w:val="00A2236A"/>
    <w:rsid w:val="00A23792"/>
    <w:rsid w:val="00A23ACC"/>
    <w:rsid w:val="00A243E9"/>
    <w:rsid w:val="00A24FFD"/>
    <w:rsid w:val="00A26DC7"/>
    <w:rsid w:val="00A30872"/>
    <w:rsid w:val="00A30E26"/>
    <w:rsid w:val="00A315F5"/>
    <w:rsid w:val="00A31BF3"/>
    <w:rsid w:val="00A3235B"/>
    <w:rsid w:val="00A33318"/>
    <w:rsid w:val="00A337E0"/>
    <w:rsid w:val="00A3613A"/>
    <w:rsid w:val="00A3680D"/>
    <w:rsid w:val="00A36920"/>
    <w:rsid w:val="00A37D54"/>
    <w:rsid w:val="00A37FB8"/>
    <w:rsid w:val="00A400D4"/>
    <w:rsid w:val="00A41837"/>
    <w:rsid w:val="00A43B5C"/>
    <w:rsid w:val="00A43DE6"/>
    <w:rsid w:val="00A443AD"/>
    <w:rsid w:val="00A44620"/>
    <w:rsid w:val="00A452D4"/>
    <w:rsid w:val="00A46340"/>
    <w:rsid w:val="00A46E21"/>
    <w:rsid w:val="00A51A23"/>
    <w:rsid w:val="00A51BE7"/>
    <w:rsid w:val="00A52B68"/>
    <w:rsid w:val="00A53FB1"/>
    <w:rsid w:val="00A548A0"/>
    <w:rsid w:val="00A60275"/>
    <w:rsid w:val="00A6079A"/>
    <w:rsid w:val="00A60BA1"/>
    <w:rsid w:val="00A6291B"/>
    <w:rsid w:val="00A63CBE"/>
    <w:rsid w:val="00A6434E"/>
    <w:rsid w:val="00A646E3"/>
    <w:rsid w:val="00A67603"/>
    <w:rsid w:val="00A7197D"/>
    <w:rsid w:val="00A72F96"/>
    <w:rsid w:val="00A73A2D"/>
    <w:rsid w:val="00A7585B"/>
    <w:rsid w:val="00A75BFF"/>
    <w:rsid w:val="00A777A0"/>
    <w:rsid w:val="00A80ABB"/>
    <w:rsid w:val="00A80C0D"/>
    <w:rsid w:val="00A81C48"/>
    <w:rsid w:val="00A823C8"/>
    <w:rsid w:val="00A849E7"/>
    <w:rsid w:val="00A85369"/>
    <w:rsid w:val="00A85CF6"/>
    <w:rsid w:val="00A869D6"/>
    <w:rsid w:val="00A8722C"/>
    <w:rsid w:val="00A91507"/>
    <w:rsid w:val="00A9186E"/>
    <w:rsid w:val="00A91D81"/>
    <w:rsid w:val="00A92246"/>
    <w:rsid w:val="00A92F03"/>
    <w:rsid w:val="00A93CD5"/>
    <w:rsid w:val="00A94C57"/>
    <w:rsid w:val="00A95800"/>
    <w:rsid w:val="00A964C7"/>
    <w:rsid w:val="00A965D7"/>
    <w:rsid w:val="00A9687E"/>
    <w:rsid w:val="00A96DD1"/>
    <w:rsid w:val="00A97F1B"/>
    <w:rsid w:val="00A97F5C"/>
    <w:rsid w:val="00AA019C"/>
    <w:rsid w:val="00AA0C94"/>
    <w:rsid w:val="00AA2492"/>
    <w:rsid w:val="00AA4BDA"/>
    <w:rsid w:val="00AA565E"/>
    <w:rsid w:val="00AA5FFB"/>
    <w:rsid w:val="00AA76D5"/>
    <w:rsid w:val="00AA7FB4"/>
    <w:rsid w:val="00AB0011"/>
    <w:rsid w:val="00AB0EA2"/>
    <w:rsid w:val="00AB2607"/>
    <w:rsid w:val="00AB267C"/>
    <w:rsid w:val="00AB2EB0"/>
    <w:rsid w:val="00AB3BFF"/>
    <w:rsid w:val="00AB3D6B"/>
    <w:rsid w:val="00AB68E9"/>
    <w:rsid w:val="00AC0FA3"/>
    <w:rsid w:val="00AC1574"/>
    <w:rsid w:val="00AC29A0"/>
    <w:rsid w:val="00AC2BF2"/>
    <w:rsid w:val="00AC39FF"/>
    <w:rsid w:val="00AC3A61"/>
    <w:rsid w:val="00AC3AD7"/>
    <w:rsid w:val="00AC46B7"/>
    <w:rsid w:val="00AC49D5"/>
    <w:rsid w:val="00AC516E"/>
    <w:rsid w:val="00AC5607"/>
    <w:rsid w:val="00AC692F"/>
    <w:rsid w:val="00AC7228"/>
    <w:rsid w:val="00AC79C8"/>
    <w:rsid w:val="00AD041C"/>
    <w:rsid w:val="00AD3EE1"/>
    <w:rsid w:val="00AD3F5D"/>
    <w:rsid w:val="00AD5223"/>
    <w:rsid w:val="00AD5992"/>
    <w:rsid w:val="00AD5AD9"/>
    <w:rsid w:val="00AE178A"/>
    <w:rsid w:val="00AE1DD7"/>
    <w:rsid w:val="00AE4069"/>
    <w:rsid w:val="00AE4ED6"/>
    <w:rsid w:val="00AE5233"/>
    <w:rsid w:val="00AE7AEB"/>
    <w:rsid w:val="00AE7DBC"/>
    <w:rsid w:val="00AF18B7"/>
    <w:rsid w:val="00AF1A63"/>
    <w:rsid w:val="00AF1C7F"/>
    <w:rsid w:val="00AF3453"/>
    <w:rsid w:val="00AF3D77"/>
    <w:rsid w:val="00AF4A8A"/>
    <w:rsid w:val="00AF4BDE"/>
    <w:rsid w:val="00AF6AFD"/>
    <w:rsid w:val="00AF71E8"/>
    <w:rsid w:val="00AF7215"/>
    <w:rsid w:val="00B00FA0"/>
    <w:rsid w:val="00B01950"/>
    <w:rsid w:val="00B023EE"/>
    <w:rsid w:val="00B02E49"/>
    <w:rsid w:val="00B03784"/>
    <w:rsid w:val="00B03A87"/>
    <w:rsid w:val="00B06101"/>
    <w:rsid w:val="00B067C1"/>
    <w:rsid w:val="00B06A41"/>
    <w:rsid w:val="00B07731"/>
    <w:rsid w:val="00B10A3C"/>
    <w:rsid w:val="00B10C4A"/>
    <w:rsid w:val="00B119DE"/>
    <w:rsid w:val="00B11B1E"/>
    <w:rsid w:val="00B12EA7"/>
    <w:rsid w:val="00B15197"/>
    <w:rsid w:val="00B15336"/>
    <w:rsid w:val="00B15F07"/>
    <w:rsid w:val="00B17068"/>
    <w:rsid w:val="00B2009F"/>
    <w:rsid w:val="00B20343"/>
    <w:rsid w:val="00B2077E"/>
    <w:rsid w:val="00B21398"/>
    <w:rsid w:val="00B22379"/>
    <w:rsid w:val="00B223F6"/>
    <w:rsid w:val="00B22EB6"/>
    <w:rsid w:val="00B23FEE"/>
    <w:rsid w:val="00B2410D"/>
    <w:rsid w:val="00B2563A"/>
    <w:rsid w:val="00B25CBC"/>
    <w:rsid w:val="00B30DE6"/>
    <w:rsid w:val="00B31922"/>
    <w:rsid w:val="00B320DF"/>
    <w:rsid w:val="00B32D84"/>
    <w:rsid w:val="00B33890"/>
    <w:rsid w:val="00B349FD"/>
    <w:rsid w:val="00B35B90"/>
    <w:rsid w:val="00B35EA6"/>
    <w:rsid w:val="00B366C9"/>
    <w:rsid w:val="00B36AE3"/>
    <w:rsid w:val="00B37471"/>
    <w:rsid w:val="00B379B6"/>
    <w:rsid w:val="00B4040C"/>
    <w:rsid w:val="00B4067D"/>
    <w:rsid w:val="00B40B58"/>
    <w:rsid w:val="00B42003"/>
    <w:rsid w:val="00B42C4B"/>
    <w:rsid w:val="00B43598"/>
    <w:rsid w:val="00B43F1F"/>
    <w:rsid w:val="00B45046"/>
    <w:rsid w:val="00B45449"/>
    <w:rsid w:val="00B4582A"/>
    <w:rsid w:val="00B45A03"/>
    <w:rsid w:val="00B527BC"/>
    <w:rsid w:val="00B52D5A"/>
    <w:rsid w:val="00B5372C"/>
    <w:rsid w:val="00B538D9"/>
    <w:rsid w:val="00B54525"/>
    <w:rsid w:val="00B54D81"/>
    <w:rsid w:val="00B552C0"/>
    <w:rsid w:val="00B55AFA"/>
    <w:rsid w:val="00B5604D"/>
    <w:rsid w:val="00B570DF"/>
    <w:rsid w:val="00B61123"/>
    <w:rsid w:val="00B61F46"/>
    <w:rsid w:val="00B62E06"/>
    <w:rsid w:val="00B63BAB"/>
    <w:rsid w:val="00B640E0"/>
    <w:rsid w:val="00B64498"/>
    <w:rsid w:val="00B6551A"/>
    <w:rsid w:val="00B65FCD"/>
    <w:rsid w:val="00B66147"/>
    <w:rsid w:val="00B6750D"/>
    <w:rsid w:val="00B675AF"/>
    <w:rsid w:val="00B67B6C"/>
    <w:rsid w:val="00B70473"/>
    <w:rsid w:val="00B7066F"/>
    <w:rsid w:val="00B70E68"/>
    <w:rsid w:val="00B71744"/>
    <w:rsid w:val="00B7287F"/>
    <w:rsid w:val="00B72C73"/>
    <w:rsid w:val="00B741F3"/>
    <w:rsid w:val="00B742D4"/>
    <w:rsid w:val="00B74585"/>
    <w:rsid w:val="00B74A78"/>
    <w:rsid w:val="00B751A5"/>
    <w:rsid w:val="00B75411"/>
    <w:rsid w:val="00B757CC"/>
    <w:rsid w:val="00B75A1C"/>
    <w:rsid w:val="00B76CEE"/>
    <w:rsid w:val="00B77135"/>
    <w:rsid w:val="00B77373"/>
    <w:rsid w:val="00B77A03"/>
    <w:rsid w:val="00B77BD4"/>
    <w:rsid w:val="00B8034D"/>
    <w:rsid w:val="00B8062E"/>
    <w:rsid w:val="00B831DC"/>
    <w:rsid w:val="00B831DF"/>
    <w:rsid w:val="00B83467"/>
    <w:rsid w:val="00B83F5D"/>
    <w:rsid w:val="00B8400C"/>
    <w:rsid w:val="00B84391"/>
    <w:rsid w:val="00B84B75"/>
    <w:rsid w:val="00B85ADB"/>
    <w:rsid w:val="00B866E3"/>
    <w:rsid w:val="00B86A5E"/>
    <w:rsid w:val="00B87D8E"/>
    <w:rsid w:val="00B919E0"/>
    <w:rsid w:val="00B91A47"/>
    <w:rsid w:val="00B93B6E"/>
    <w:rsid w:val="00B941DB"/>
    <w:rsid w:val="00B946DF"/>
    <w:rsid w:val="00B948A7"/>
    <w:rsid w:val="00B94A63"/>
    <w:rsid w:val="00B94F17"/>
    <w:rsid w:val="00B96396"/>
    <w:rsid w:val="00B966D2"/>
    <w:rsid w:val="00BA0EA1"/>
    <w:rsid w:val="00BA36B1"/>
    <w:rsid w:val="00BA375D"/>
    <w:rsid w:val="00BA3B4D"/>
    <w:rsid w:val="00BA3DB6"/>
    <w:rsid w:val="00BA3DB9"/>
    <w:rsid w:val="00BA4BCF"/>
    <w:rsid w:val="00BA62A9"/>
    <w:rsid w:val="00BA6519"/>
    <w:rsid w:val="00BA72E0"/>
    <w:rsid w:val="00BA7425"/>
    <w:rsid w:val="00BA75AE"/>
    <w:rsid w:val="00BA7BBA"/>
    <w:rsid w:val="00BB0F13"/>
    <w:rsid w:val="00BB187F"/>
    <w:rsid w:val="00BB1AA6"/>
    <w:rsid w:val="00BB306E"/>
    <w:rsid w:val="00BB4D80"/>
    <w:rsid w:val="00BB5AE1"/>
    <w:rsid w:val="00BB5C42"/>
    <w:rsid w:val="00BB6401"/>
    <w:rsid w:val="00BB7613"/>
    <w:rsid w:val="00BB7B00"/>
    <w:rsid w:val="00BC058E"/>
    <w:rsid w:val="00BC0971"/>
    <w:rsid w:val="00BC2737"/>
    <w:rsid w:val="00BC2CC4"/>
    <w:rsid w:val="00BC3223"/>
    <w:rsid w:val="00BC390F"/>
    <w:rsid w:val="00BC392E"/>
    <w:rsid w:val="00BC3D87"/>
    <w:rsid w:val="00BC4A1B"/>
    <w:rsid w:val="00BD01EF"/>
    <w:rsid w:val="00BD0994"/>
    <w:rsid w:val="00BD0A1F"/>
    <w:rsid w:val="00BD2BC4"/>
    <w:rsid w:val="00BD4889"/>
    <w:rsid w:val="00BD4EB2"/>
    <w:rsid w:val="00BD4F67"/>
    <w:rsid w:val="00BD6660"/>
    <w:rsid w:val="00BD7C21"/>
    <w:rsid w:val="00BD7F02"/>
    <w:rsid w:val="00BE038E"/>
    <w:rsid w:val="00BE0E8B"/>
    <w:rsid w:val="00BE3978"/>
    <w:rsid w:val="00BE3BA2"/>
    <w:rsid w:val="00BE4870"/>
    <w:rsid w:val="00BE5426"/>
    <w:rsid w:val="00BE6722"/>
    <w:rsid w:val="00BE69BF"/>
    <w:rsid w:val="00BE6CA7"/>
    <w:rsid w:val="00BE7BDF"/>
    <w:rsid w:val="00BF0684"/>
    <w:rsid w:val="00BF1B90"/>
    <w:rsid w:val="00BF3E04"/>
    <w:rsid w:val="00BF47E8"/>
    <w:rsid w:val="00BF4A9D"/>
    <w:rsid w:val="00BF4EFE"/>
    <w:rsid w:val="00BF5288"/>
    <w:rsid w:val="00C00099"/>
    <w:rsid w:val="00C002FE"/>
    <w:rsid w:val="00C01C78"/>
    <w:rsid w:val="00C0422E"/>
    <w:rsid w:val="00C05233"/>
    <w:rsid w:val="00C05395"/>
    <w:rsid w:val="00C0705F"/>
    <w:rsid w:val="00C07290"/>
    <w:rsid w:val="00C1085F"/>
    <w:rsid w:val="00C11A57"/>
    <w:rsid w:val="00C11BCA"/>
    <w:rsid w:val="00C14079"/>
    <w:rsid w:val="00C14D14"/>
    <w:rsid w:val="00C14DD2"/>
    <w:rsid w:val="00C15B2D"/>
    <w:rsid w:val="00C17010"/>
    <w:rsid w:val="00C22DCA"/>
    <w:rsid w:val="00C24E97"/>
    <w:rsid w:val="00C254FB"/>
    <w:rsid w:val="00C26EAA"/>
    <w:rsid w:val="00C30A58"/>
    <w:rsid w:val="00C3117A"/>
    <w:rsid w:val="00C316A3"/>
    <w:rsid w:val="00C336F4"/>
    <w:rsid w:val="00C33E2E"/>
    <w:rsid w:val="00C3449D"/>
    <w:rsid w:val="00C35228"/>
    <w:rsid w:val="00C354F2"/>
    <w:rsid w:val="00C35CE3"/>
    <w:rsid w:val="00C369DF"/>
    <w:rsid w:val="00C36F23"/>
    <w:rsid w:val="00C37249"/>
    <w:rsid w:val="00C37276"/>
    <w:rsid w:val="00C37B07"/>
    <w:rsid w:val="00C4145C"/>
    <w:rsid w:val="00C43F21"/>
    <w:rsid w:val="00C444AB"/>
    <w:rsid w:val="00C44E99"/>
    <w:rsid w:val="00C4526B"/>
    <w:rsid w:val="00C456FB"/>
    <w:rsid w:val="00C508B0"/>
    <w:rsid w:val="00C50D23"/>
    <w:rsid w:val="00C50EA4"/>
    <w:rsid w:val="00C5160A"/>
    <w:rsid w:val="00C52A95"/>
    <w:rsid w:val="00C52AD3"/>
    <w:rsid w:val="00C5365D"/>
    <w:rsid w:val="00C53A66"/>
    <w:rsid w:val="00C53B69"/>
    <w:rsid w:val="00C53C5A"/>
    <w:rsid w:val="00C547D0"/>
    <w:rsid w:val="00C54DBC"/>
    <w:rsid w:val="00C5617F"/>
    <w:rsid w:val="00C56E6F"/>
    <w:rsid w:val="00C56EAB"/>
    <w:rsid w:val="00C56FFD"/>
    <w:rsid w:val="00C57426"/>
    <w:rsid w:val="00C60EB3"/>
    <w:rsid w:val="00C614D5"/>
    <w:rsid w:val="00C61B54"/>
    <w:rsid w:val="00C61D31"/>
    <w:rsid w:val="00C647B8"/>
    <w:rsid w:val="00C65F4E"/>
    <w:rsid w:val="00C66730"/>
    <w:rsid w:val="00C66C75"/>
    <w:rsid w:val="00C66D10"/>
    <w:rsid w:val="00C670EA"/>
    <w:rsid w:val="00C706E0"/>
    <w:rsid w:val="00C70A85"/>
    <w:rsid w:val="00C70FC3"/>
    <w:rsid w:val="00C70FD3"/>
    <w:rsid w:val="00C73880"/>
    <w:rsid w:val="00C73B47"/>
    <w:rsid w:val="00C74392"/>
    <w:rsid w:val="00C74F23"/>
    <w:rsid w:val="00C75A56"/>
    <w:rsid w:val="00C7676F"/>
    <w:rsid w:val="00C80592"/>
    <w:rsid w:val="00C805E9"/>
    <w:rsid w:val="00C807FE"/>
    <w:rsid w:val="00C809C5"/>
    <w:rsid w:val="00C80D52"/>
    <w:rsid w:val="00C81C04"/>
    <w:rsid w:val="00C82E84"/>
    <w:rsid w:val="00C846A6"/>
    <w:rsid w:val="00C84E1B"/>
    <w:rsid w:val="00C86353"/>
    <w:rsid w:val="00C86476"/>
    <w:rsid w:val="00C87669"/>
    <w:rsid w:val="00C87BCA"/>
    <w:rsid w:val="00C905F5"/>
    <w:rsid w:val="00C92ABD"/>
    <w:rsid w:val="00C9444D"/>
    <w:rsid w:val="00C94682"/>
    <w:rsid w:val="00C950D4"/>
    <w:rsid w:val="00C95B5F"/>
    <w:rsid w:val="00C95BDC"/>
    <w:rsid w:val="00C976FA"/>
    <w:rsid w:val="00C97C23"/>
    <w:rsid w:val="00CA0AD0"/>
    <w:rsid w:val="00CA0E57"/>
    <w:rsid w:val="00CA180E"/>
    <w:rsid w:val="00CA32E1"/>
    <w:rsid w:val="00CA57C8"/>
    <w:rsid w:val="00CA7824"/>
    <w:rsid w:val="00CB019F"/>
    <w:rsid w:val="00CB0774"/>
    <w:rsid w:val="00CB0E96"/>
    <w:rsid w:val="00CB4968"/>
    <w:rsid w:val="00CB4FEA"/>
    <w:rsid w:val="00CB4FF3"/>
    <w:rsid w:val="00CB6F4E"/>
    <w:rsid w:val="00CC42DD"/>
    <w:rsid w:val="00CC5FF8"/>
    <w:rsid w:val="00CC64BB"/>
    <w:rsid w:val="00CC6F12"/>
    <w:rsid w:val="00CD007C"/>
    <w:rsid w:val="00CD0535"/>
    <w:rsid w:val="00CD0A15"/>
    <w:rsid w:val="00CD1539"/>
    <w:rsid w:val="00CD20DC"/>
    <w:rsid w:val="00CD251F"/>
    <w:rsid w:val="00CD2CF8"/>
    <w:rsid w:val="00CD2FE9"/>
    <w:rsid w:val="00CD31A6"/>
    <w:rsid w:val="00CD3377"/>
    <w:rsid w:val="00CD3774"/>
    <w:rsid w:val="00CD3C21"/>
    <w:rsid w:val="00CD3E6F"/>
    <w:rsid w:val="00CD41C5"/>
    <w:rsid w:val="00CD5FC7"/>
    <w:rsid w:val="00CD6900"/>
    <w:rsid w:val="00CE047D"/>
    <w:rsid w:val="00CE0A8C"/>
    <w:rsid w:val="00CE0D1F"/>
    <w:rsid w:val="00CE0D51"/>
    <w:rsid w:val="00CE1778"/>
    <w:rsid w:val="00CE21A1"/>
    <w:rsid w:val="00CE3884"/>
    <w:rsid w:val="00CE4E10"/>
    <w:rsid w:val="00CE58DE"/>
    <w:rsid w:val="00CE5A7A"/>
    <w:rsid w:val="00CE612B"/>
    <w:rsid w:val="00CE63C4"/>
    <w:rsid w:val="00CE6B7E"/>
    <w:rsid w:val="00CE769A"/>
    <w:rsid w:val="00CE76EA"/>
    <w:rsid w:val="00CF00E4"/>
    <w:rsid w:val="00CF049C"/>
    <w:rsid w:val="00CF07F2"/>
    <w:rsid w:val="00CF1B6C"/>
    <w:rsid w:val="00CF2482"/>
    <w:rsid w:val="00CF2A13"/>
    <w:rsid w:val="00CF4AD6"/>
    <w:rsid w:val="00CF69C8"/>
    <w:rsid w:val="00CF7A99"/>
    <w:rsid w:val="00CF7B88"/>
    <w:rsid w:val="00CF7C29"/>
    <w:rsid w:val="00D002F7"/>
    <w:rsid w:val="00D0168E"/>
    <w:rsid w:val="00D01B85"/>
    <w:rsid w:val="00D01CAF"/>
    <w:rsid w:val="00D022DC"/>
    <w:rsid w:val="00D038B6"/>
    <w:rsid w:val="00D03B84"/>
    <w:rsid w:val="00D041A1"/>
    <w:rsid w:val="00D04B70"/>
    <w:rsid w:val="00D050D1"/>
    <w:rsid w:val="00D05155"/>
    <w:rsid w:val="00D06383"/>
    <w:rsid w:val="00D0656B"/>
    <w:rsid w:val="00D06EC2"/>
    <w:rsid w:val="00D06FCE"/>
    <w:rsid w:val="00D105E7"/>
    <w:rsid w:val="00D10CF5"/>
    <w:rsid w:val="00D12AE3"/>
    <w:rsid w:val="00D135D4"/>
    <w:rsid w:val="00D14FE1"/>
    <w:rsid w:val="00D15772"/>
    <w:rsid w:val="00D16396"/>
    <w:rsid w:val="00D16BB7"/>
    <w:rsid w:val="00D1754B"/>
    <w:rsid w:val="00D179D3"/>
    <w:rsid w:val="00D17ACB"/>
    <w:rsid w:val="00D17C10"/>
    <w:rsid w:val="00D17E79"/>
    <w:rsid w:val="00D202D9"/>
    <w:rsid w:val="00D208F3"/>
    <w:rsid w:val="00D21749"/>
    <w:rsid w:val="00D21EAC"/>
    <w:rsid w:val="00D22956"/>
    <w:rsid w:val="00D24E5B"/>
    <w:rsid w:val="00D25C72"/>
    <w:rsid w:val="00D25DB8"/>
    <w:rsid w:val="00D25DC0"/>
    <w:rsid w:val="00D263A4"/>
    <w:rsid w:val="00D26584"/>
    <w:rsid w:val="00D265CB"/>
    <w:rsid w:val="00D2706F"/>
    <w:rsid w:val="00D30C58"/>
    <w:rsid w:val="00D3234A"/>
    <w:rsid w:val="00D3337F"/>
    <w:rsid w:val="00D359BE"/>
    <w:rsid w:val="00D35B02"/>
    <w:rsid w:val="00D373D4"/>
    <w:rsid w:val="00D3793D"/>
    <w:rsid w:val="00D379A6"/>
    <w:rsid w:val="00D41003"/>
    <w:rsid w:val="00D43E5B"/>
    <w:rsid w:val="00D44469"/>
    <w:rsid w:val="00D44608"/>
    <w:rsid w:val="00D454E7"/>
    <w:rsid w:val="00D4585E"/>
    <w:rsid w:val="00D4731E"/>
    <w:rsid w:val="00D4771E"/>
    <w:rsid w:val="00D47FEA"/>
    <w:rsid w:val="00D51976"/>
    <w:rsid w:val="00D52929"/>
    <w:rsid w:val="00D552F7"/>
    <w:rsid w:val="00D55D0D"/>
    <w:rsid w:val="00D5615C"/>
    <w:rsid w:val="00D56755"/>
    <w:rsid w:val="00D56A44"/>
    <w:rsid w:val="00D5767B"/>
    <w:rsid w:val="00D57965"/>
    <w:rsid w:val="00D57A8E"/>
    <w:rsid w:val="00D57B9C"/>
    <w:rsid w:val="00D60193"/>
    <w:rsid w:val="00D6088B"/>
    <w:rsid w:val="00D61A53"/>
    <w:rsid w:val="00D63C37"/>
    <w:rsid w:val="00D66155"/>
    <w:rsid w:val="00D6662A"/>
    <w:rsid w:val="00D6749D"/>
    <w:rsid w:val="00D67565"/>
    <w:rsid w:val="00D70C2C"/>
    <w:rsid w:val="00D70DE7"/>
    <w:rsid w:val="00D71297"/>
    <w:rsid w:val="00D72EFD"/>
    <w:rsid w:val="00D73D5F"/>
    <w:rsid w:val="00D741A1"/>
    <w:rsid w:val="00D744D9"/>
    <w:rsid w:val="00D760BE"/>
    <w:rsid w:val="00D76CA5"/>
    <w:rsid w:val="00D7751A"/>
    <w:rsid w:val="00D8019D"/>
    <w:rsid w:val="00D809AE"/>
    <w:rsid w:val="00D81EE0"/>
    <w:rsid w:val="00D82365"/>
    <w:rsid w:val="00D847B6"/>
    <w:rsid w:val="00D85673"/>
    <w:rsid w:val="00D858E2"/>
    <w:rsid w:val="00D859BE"/>
    <w:rsid w:val="00D86589"/>
    <w:rsid w:val="00D86734"/>
    <w:rsid w:val="00D869D4"/>
    <w:rsid w:val="00D86D36"/>
    <w:rsid w:val="00D87CD9"/>
    <w:rsid w:val="00D91D84"/>
    <w:rsid w:val="00D93307"/>
    <w:rsid w:val="00D93EC1"/>
    <w:rsid w:val="00D93EC6"/>
    <w:rsid w:val="00D95008"/>
    <w:rsid w:val="00D95164"/>
    <w:rsid w:val="00D95665"/>
    <w:rsid w:val="00D96DFE"/>
    <w:rsid w:val="00DA32D3"/>
    <w:rsid w:val="00DA4935"/>
    <w:rsid w:val="00DA4FD5"/>
    <w:rsid w:val="00DA4FF8"/>
    <w:rsid w:val="00DA55FF"/>
    <w:rsid w:val="00DA5854"/>
    <w:rsid w:val="00DA5CD5"/>
    <w:rsid w:val="00DA6578"/>
    <w:rsid w:val="00DA6830"/>
    <w:rsid w:val="00DA6E4D"/>
    <w:rsid w:val="00DA7667"/>
    <w:rsid w:val="00DB078D"/>
    <w:rsid w:val="00DB09C6"/>
    <w:rsid w:val="00DB17DC"/>
    <w:rsid w:val="00DB1DB1"/>
    <w:rsid w:val="00DB1E25"/>
    <w:rsid w:val="00DB35FB"/>
    <w:rsid w:val="00DB4B1F"/>
    <w:rsid w:val="00DB4C59"/>
    <w:rsid w:val="00DB5397"/>
    <w:rsid w:val="00DB5758"/>
    <w:rsid w:val="00DB5A42"/>
    <w:rsid w:val="00DC1166"/>
    <w:rsid w:val="00DC167A"/>
    <w:rsid w:val="00DC18B8"/>
    <w:rsid w:val="00DC2A27"/>
    <w:rsid w:val="00DC3393"/>
    <w:rsid w:val="00DC35DA"/>
    <w:rsid w:val="00DC3AEE"/>
    <w:rsid w:val="00DC46BF"/>
    <w:rsid w:val="00DD0BF2"/>
    <w:rsid w:val="00DD1833"/>
    <w:rsid w:val="00DD2773"/>
    <w:rsid w:val="00DD358E"/>
    <w:rsid w:val="00DD3EE2"/>
    <w:rsid w:val="00DD522F"/>
    <w:rsid w:val="00DD5C1B"/>
    <w:rsid w:val="00DD5FAA"/>
    <w:rsid w:val="00DD66FC"/>
    <w:rsid w:val="00DD6773"/>
    <w:rsid w:val="00DD6832"/>
    <w:rsid w:val="00DD7885"/>
    <w:rsid w:val="00DE3E09"/>
    <w:rsid w:val="00DE3F2E"/>
    <w:rsid w:val="00DE4719"/>
    <w:rsid w:val="00DE48FE"/>
    <w:rsid w:val="00DE4BE7"/>
    <w:rsid w:val="00DE6C6D"/>
    <w:rsid w:val="00DF1003"/>
    <w:rsid w:val="00DF120E"/>
    <w:rsid w:val="00DF158C"/>
    <w:rsid w:val="00DF2D0E"/>
    <w:rsid w:val="00DF43B0"/>
    <w:rsid w:val="00DF4A5D"/>
    <w:rsid w:val="00DF57F2"/>
    <w:rsid w:val="00DF5CD1"/>
    <w:rsid w:val="00DF5F67"/>
    <w:rsid w:val="00DF6E4B"/>
    <w:rsid w:val="00DF714E"/>
    <w:rsid w:val="00DF7975"/>
    <w:rsid w:val="00E00E59"/>
    <w:rsid w:val="00E0113C"/>
    <w:rsid w:val="00E01E56"/>
    <w:rsid w:val="00E0260E"/>
    <w:rsid w:val="00E02D7A"/>
    <w:rsid w:val="00E031CC"/>
    <w:rsid w:val="00E0521C"/>
    <w:rsid w:val="00E05669"/>
    <w:rsid w:val="00E0587C"/>
    <w:rsid w:val="00E05AC2"/>
    <w:rsid w:val="00E06315"/>
    <w:rsid w:val="00E07AA9"/>
    <w:rsid w:val="00E07E47"/>
    <w:rsid w:val="00E10264"/>
    <w:rsid w:val="00E10AE5"/>
    <w:rsid w:val="00E11165"/>
    <w:rsid w:val="00E11D34"/>
    <w:rsid w:val="00E12B4C"/>
    <w:rsid w:val="00E12F48"/>
    <w:rsid w:val="00E133B2"/>
    <w:rsid w:val="00E13460"/>
    <w:rsid w:val="00E16C42"/>
    <w:rsid w:val="00E178A5"/>
    <w:rsid w:val="00E21235"/>
    <w:rsid w:val="00E2161A"/>
    <w:rsid w:val="00E2162E"/>
    <w:rsid w:val="00E21CAB"/>
    <w:rsid w:val="00E22067"/>
    <w:rsid w:val="00E221FD"/>
    <w:rsid w:val="00E229A8"/>
    <w:rsid w:val="00E22C08"/>
    <w:rsid w:val="00E22E8A"/>
    <w:rsid w:val="00E22F07"/>
    <w:rsid w:val="00E2371F"/>
    <w:rsid w:val="00E23A69"/>
    <w:rsid w:val="00E250B6"/>
    <w:rsid w:val="00E25887"/>
    <w:rsid w:val="00E25EE6"/>
    <w:rsid w:val="00E260DF"/>
    <w:rsid w:val="00E2689E"/>
    <w:rsid w:val="00E26E50"/>
    <w:rsid w:val="00E2717A"/>
    <w:rsid w:val="00E2780F"/>
    <w:rsid w:val="00E30C11"/>
    <w:rsid w:val="00E31C8D"/>
    <w:rsid w:val="00E31EEF"/>
    <w:rsid w:val="00E3316D"/>
    <w:rsid w:val="00E34ECE"/>
    <w:rsid w:val="00E35324"/>
    <w:rsid w:val="00E3778F"/>
    <w:rsid w:val="00E42E2A"/>
    <w:rsid w:val="00E42EE8"/>
    <w:rsid w:val="00E43052"/>
    <w:rsid w:val="00E43395"/>
    <w:rsid w:val="00E434C1"/>
    <w:rsid w:val="00E43B32"/>
    <w:rsid w:val="00E43F6E"/>
    <w:rsid w:val="00E4470C"/>
    <w:rsid w:val="00E44EC1"/>
    <w:rsid w:val="00E46664"/>
    <w:rsid w:val="00E474B2"/>
    <w:rsid w:val="00E47D9E"/>
    <w:rsid w:val="00E50C28"/>
    <w:rsid w:val="00E51BD0"/>
    <w:rsid w:val="00E5318B"/>
    <w:rsid w:val="00E53710"/>
    <w:rsid w:val="00E56635"/>
    <w:rsid w:val="00E575E6"/>
    <w:rsid w:val="00E57DFF"/>
    <w:rsid w:val="00E60A9B"/>
    <w:rsid w:val="00E611A5"/>
    <w:rsid w:val="00E61376"/>
    <w:rsid w:val="00E61D60"/>
    <w:rsid w:val="00E627C5"/>
    <w:rsid w:val="00E634D6"/>
    <w:rsid w:val="00E63AD2"/>
    <w:rsid w:val="00E6430D"/>
    <w:rsid w:val="00E64356"/>
    <w:rsid w:val="00E64A54"/>
    <w:rsid w:val="00E652B8"/>
    <w:rsid w:val="00E6735B"/>
    <w:rsid w:val="00E709CB"/>
    <w:rsid w:val="00E71160"/>
    <w:rsid w:val="00E718DD"/>
    <w:rsid w:val="00E71B90"/>
    <w:rsid w:val="00E7413C"/>
    <w:rsid w:val="00E7467B"/>
    <w:rsid w:val="00E750A4"/>
    <w:rsid w:val="00E75564"/>
    <w:rsid w:val="00E75B82"/>
    <w:rsid w:val="00E760D2"/>
    <w:rsid w:val="00E76BEF"/>
    <w:rsid w:val="00E76C05"/>
    <w:rsid w:val="00E76E67"/>
    <w:rsid w:val="00E771DB"/>
    <w:rsid w:val="00E7728A"/>
    <w:rsid w:val="00E77CF5"/>
    <w:rsid w:val="00E806C5"/>
    <w:rsid w:val="00E80F49"/>
    <w:rsid w:val="00E81B0B"/>
    <w:rsid w:val="00E8326A"/>
    <w:rsid w:val="00E8397C"/>
    <w:rsid w:val="00E84A02"/>
    <w:rsid w:val="00E850BB"/>
    <w:rsid w:val="00E85A89"/>
    <w:rsid w:val="00E86C69"/>
    <w:rsid w:val="00E87CBE"/>
    <w:rsid w:val="00E90296"/>
    <w:rsid w:val="00E91900"/>
    <w:rsid w:val="00E91E37"/>
    <w:rsid w:val="00E9355E"/>
    <w:rsid w:val="00E93EC1"/>
    <w:rsid w:val="00E94F48"/>
    <w:rsid w:val="00E952CF"/>
    <w:rsid w:val="00E95B78"/>
    <w:rsid w:val="00E95D4D"/>
    <w:rsid w:val="00E96B64"/>
    <w:rsid w:val="00E971B4"/>
    <w:rsid w:val="00E97F65"/>
    <w:rsid w:val="00EA03BD"/>
    <w:rsid w:val="00EA0555"/>
    <w:rsid w:val="00EA0E4F"/>
    <w:rsid w:val="00EA1D37"/>
    <w:rsid w:val="00EA1FA1"/>
    <w:rsid w:val="00EA3D7C"/>
    <w:rsid w:val="00EA4BD9"/>
    <w:rsid w:val="00EA540C"/>
    <w:rsid w:val="00EA7319"/>
    <w:rsid w:val="00EA76AE"/>
    <w:rsid w:val="00EB0351"/>
    <w:rsid w:val="00EB055D"/>
    <w:rsid w:val="00EB0ACA"/>
    <w:rsid w:val="00EB1298"/>
    <w:rsid w:val="00EB1DBF"/>
    <w:rsid w:val="00EB1F74"/>
    <w:rsid w:val="00EB3786"/>
    <w:rsid w:val="00EB3924"/>
    <w:rsid w:val="00EB409F"/>
    <w:rsid w:val="00EB5742"/>
    <w:rsid w:val="00EB5EF2"/>
    <w:rsid w:val="00EB5F03"/>
    <w:rsid w:val="00EB6160"/>
    <w:rsid w:val="00EB62A5"/>
    <w:rsid w:val="00EB6D77"/>
    <w:rsid w:val="00EB75A9"/>
    <w:rsid w:val="00EB7923"/>
    <w:rsid w:val="00EC1D39"/>
    <w:rsid w:val="00EC1F63"/>
    <w:rsid w:val="00EC2DDE"/>
    <w:rsid w:val="00EC34B7"/>
    <w:rsid w:val="00EC3F7E"/>
    <w:rsid w:val="00EC426C"/>
    <w:rsid w:val="00EC4473"/>
    <w:rsid w:val="00EC530D"/>
    <w:rsid w:val="00EC5A62"/>
    <w:rsid w:val="00EC6CDE"/>
    <w:rsid w:val="00EC7D90"/>
    <w:rsid w:val="00ED06D4"/>
    <w:rsid w:val="00ED0B60"/>
    <w:rsid w:val="00ED3132"/>
    <w:rsid w:val="00ED3571"/>
    <w:rsid w:val="00ED4486"/>
    <w:rsid w:val="00ED4C88"/>
    <w:rsid w:val="00ED4FE7"/>
    <w:rsid w:val="00ED55F8"/>
    <w:rsid w:val="00ED6281"/>
    <w:rsid w:val="00ED74ED"/>
    <w:rsid w:val="00ED797A"/>
    <w:rsid w:val="00EE1878"/>
    <w:rsid w:val="00EE22C0"/>
    <w:rsid w:val="00EE25B6"/>
    <w:rsid w:val="00EE26BD"/>
    <w:rsid w:val="00EE3287"/>
    <w:rsid w:val="00EE4630"/>
    <w:rsid w:val="00EE67AD"/>
    <w:rsid w:val="00EE6B03"/>
    <w:rsid w:val="00EF0A1D"/>
    <w:rsid w:val="00EF2556"/>
    <w:rsid w:val="00EF4103"/>
    <w:rsid w:val="00EF68DB"/>
    <w:rsid w:val="00EF73FD"/>
    <w:rsid w:val="00F00DA4"/>
    <w:rsid w:val="00F01E58"/>
    <w:rsid w:val="00F0304C"/>
    <w:rsid w:val="00F0337B"/>
    <w:rsid w:val="00F043E1"/>
    <w:rsid w:val="00F066CA"/>
    <w:rsid w:val="00F072BE"/>
    <w:rsid w:val="00F07989"/>
    <w:rsid w:val="00F07A4D"/>
    <w:rsid w:val="00F1026D"/>
    <w:rsid w:val="00F1041D"/>
    <w:rsid w:val="00F114F9"/>
    <w:rsid w:val="00F12140"/>
    <w:rsid w:val="00F12F80"/>
    <w:rsid w:val="00F1307D"/>
    <w:rsid w:val="00F136E7"/>
    <w:rsid w:val="00F137F6"/>
    <w:rsid w:val="00F15ABC"/>
    <w:rsid w:val="00F161C8"/>
    <w:rsid w:val="00F20554"/>
    <w:rsid w:val="00F20764"/>
    <w:rsid w:val="00F2087F"/>
    <w:rsid w:val="00F21E1F"/>
    <w:rsid w:val="00F22744"/>
    <w:rsid w:val="00F22FF9"/>
    <w:rsid w:val="00F2458F"/>
    <w:rsid w:val="00F2470B"/>
    <w:rsid w:val="00F24B2F"/>
    <w:rsid w:val="00F25639"/>
    <w:rsid w:val="00F25CFA"/>
    <w:rsid w:val="00F26C87"/>
    <w:rsid w:val="00F30C69"/>
    <w:rsid w:val="00F31E05"/>
    <w:rsid w:val="00F31FE8"/>
    <w:rsid w:val="00F32DE6"/>
    <w:rsid w:val="00F32E1C"/>
    <w:rsid w:val="00F34149"/>
    <w:rsid w:val="00F356D0"/>
    <w:rsid w:val="00F35B5B"/>
    <w:rsid w:val="00F37120"/>
    <w:rsid w:val="00F371B6"/>
    <w:rsid w:val="00F3736C"/>
    <w:rsid w:val="00F37D99"/>
    <w:rsid w:val="00F411FF"/>
    <w:rsid w:val="00F41287"/>
    <w:rsid w:val="00F4232A"/>
    <w:rsid w:val="00F42D7F"/>
    <w:rsid w:val="00F436D1"/>
    <w:rsid w:val="00F44CCD"/>
    <w:rsid w:val="00F45A6F"/>
    <w:rsid w:val="00F4632D"/>
    <w:rsid w:val="00F4654F"/>
    <w:rsid w:val="00F4729D"/>
    <w:rsid w:val="00F47397"/>
    <w:rsid w:val="00F50E39"/>
    <w:rsid w:val="00F50E68"/>
    <w:rsid w:val="00F52626"/>
    <w:rsid w:val="00F526A3"/>
    <w:rsid w:val="00F526C3"/>
    <w:rsid w:val="00F53D45"/>
    <w:rsid w:val="00F54C56"/>
    <w:rsid w:val="00F55B2B"/>
    <w:rsid w:val="00F56302"/>
    <w:rsid w:val="00F5705E"/>
    <w:rsid w:val="00F578A6"/>
    <w:rsid w:val="00F603AB"/>
    <w:rsid w:val="00F60EFD"/>
    <w:rsid w:val="00F6137E"/>
    <w:rsid w:val="00F62347"/>
    <w:rsid w:val="00F64BB4"/>
    <w:rsid w:val="00F64DDC"/>
    <w:rsid w:val="00F64E21"/>
    <w:rsid w:val="00F651F6"/>
    <w:rsid w:val="00F65623"/>
    <w:rsid w:val="00F65751"/>
    <w:rsid w:val="00F6598A"/>
    <w:rsid w:val="00F65F2C"/>
    <w:rsid w:val="00F6785A"/>
    <w:rsid w:val="00F70021"/>
    <w:rsid w:val="00F71E67"/>
    <w:rsid w:val="00F7205C"/>
    <w:rsid w:val="00F7257F"/>
    <w:rsid w:val="00F73832"/>
    <w:rsid w:val="00F73CBF"/>
    <w:rsid w:val="00F7416C"/>
    <w:rsid w:val="00F74393"/>
    <w:rsid w:val="00F74CD4"/>
    <w:rsid w:val="00F756F3"/>
    <w:rsid w:val="00F7642C"/>
    <w:rsid w:val="00F779EF"/>
    <w:rsid w:val="00F77B13"/>
    <w:rsid w:val="00F77C2B"/>
    <w:rsid w:val="00F80AF3"/>
    <w:rsid w:val="00F81828"/>
    <w:rsid w:val="00F82BC2"/>
    <w:rsid w:val="00F83583"/>
    <w:rsid w:val="00F841D6"/>
    <w:rsid w:val="00F84B27"/>
    <w:rsid w:val="00F84E87"/>
    <w:rsid w:val="00F853AC"/>
    <w:rsid w:val="00F86054"/>
    <w:rsid w:val="00F863FE"/>
    <w:rsid w:val="00F86DCA"/>
    <w:rsid w:val="00F90169"/>
    <w:rsid w:val="00F90983"/>
    <w:rsid w:val="00F90B1A"/>
    <w:rsid w:val="00F923EC"/>
    <w:rsid w:val="00F92CEB"/>
    <w:rsid w:val="00F93DF5"/>
    <w:rsid w:val="00F93FA0"/>
    <w:rsid w:val="00F942A4"/>
    <w:rsid w:val="00F94ED5"/>
    <w:rsid w:val="00F94F37"/>
    <w:rsid w:val="00F959A6"/>
    <w:rsid w:val="00F9619C"/>
    <w:rsid w:val="00F9697F"/>
    <w:rsid w:val="00FA0EEC"/>
    <w:rsid w:val="00FA1952"/>
    <w:rsid w:val="00FA1A74"/>
    <w:rsid w:val="00FA1D41"/>
    <w:rsid w:val="00FA1EB1"/>
    <w:rsid w:val="00FA1F90"/>
    <w:rsid w:val="00FA2AAA"/>
    <w:rsid w:val="00FA2F53"/>
    <w:rsid w:val="00FA3F07"/>
    <w:rsid w:val="00FA3FE6"/>
    <w:rsid w:val="00FA48FD"/>
    <w:rsid w:val="00FA4902"/>
    <w:rsid w:val="00FA5EE3"/>
    <w:rsid w:val="00FA6EFD"/>
    <w:rsid w:val="00FA7461"/>
    <w:rsid w:val="00FA760C"/>
    <w:rsid w:val="00FB0718"/>
    <w:rsid w:val="00FB16B5"/>
    <w:rsid w:val="00FB1AB9"/>
    <w:rsid w:val="00FB272A"/>
    <w:rsid w:val="00FB2B3D"/>
    <w:rsid w:val="00FB30F5"/>
    <w:rsid w:val="00FB3951"/>
    <w:rsid w:val="00FB42C3"/>
    <w:rsid w:val="00FB4457"/>
    <w:rsid w:val="00FB4758"/>
    <w:rsid w:val="00FB4D84"/>
    <w:rsid w:val="00FB569C"/>
    <w:rsid w:val="00FB71C0"/>
    <w:rsid w:val="00FC06A1"/>
    <w:rsid w:val="00FC0C45"/>
    <w:rsid w:val="00FC31A8"/>
    <w:rsid w:val="00FC3517"/>
    <w:rsid w:val="00FC5C05"/>
    <w:rsid w:val="00FC5D0B"/>
    <w:rsid w:val="00FC5F4A"/>
    <w:rsid w:val="00FC605F"/>
    <w:rsid w:val="00FC6220"/>
    <w:rsid w:val="00FC63D6"/>
    <w:rsid w:val="00FC68F4"/>
    <w:rsid w:val="00FC70F9"/>
    <w:rsid w:val="00FC7159"/>
    <w:rsid w:val="00FD006B"/>
    <w:rsid w:val="00FD1356"/>
    <w:rsid w:val="00FD1501"/>
    <w:rsid w:val="00FD1596"/>
    <w:rsid w:val="00FD1F57"/>
    <w:rsid w:val="00FD3E25"/>
    <w:rsid w:val="00FD4013"/>
    <w:rsid w:val="00FD43F0"/>
    <w:rsid w:val="00FD4851"/>
    <w:rsid w:val="00FD550F"/>
    <w:rsid w:val="00FD643F"/>
    <w:rsid w:val="00FD6B99"/>
    <w:rsid w:val="00FD7161"/>
    <w:rsid w:val="00FD717F"/>
    <w:rsid w:val="00FD79E8"/>
    <w:rsid w:val="00FE0840"/>
    <w:rsid w:val="00FE2298"/>
    <w:rsid w:val="00FE3AFE"/>
    <w:rsid w:val="00FE3BB3"/>
    <w:rsid w:val="00FE5705"/>
    <w:rsid w:val="00FF0797"/>
    <w:rsid w:val="00FF2EB1"/>
    <w:rsid w:val="00FF3631"/>
    <w:rsid w:val="00FF4A53"/>
    <w:rsid w:val="071AF0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CE262"/>
  <w15:docId w15:val="{55FAE837-59AE-4370-9439-67C8048F1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89D"/>
    <w:pPr>
      <w:spacing w:after="120" w:line="240" w:lineRule="auto"/>
    </w:pPr>
    <w:rPr>
      <w:rFonts w:ascii="Segoe UI" w:hAnsi="Segoe UI"/>
      <w:sz w:val="19"/>
      <w:lang w:val="en-AU"/>
    </w:rPr>
  </w:style>
  <w:style w:type="paragraph" w:styleId="Heading1">
    <w:name w:val="heading 1"/>
    <w:basedOn w:val="Normal"/>
    <w:next w:val="Normal"/>
    <w:link w:val="Heading1Char"/>
    <w:uiPriority w:val="1"/>
    <w:qFormat/>
    <w:rsid w:val="009F20E4"/>
    <w:pPr>
      <w:keepNext/>
      <w:numPr>
        <w:numId w:val="4"/>
      </w:numPr>
      <w:spacing w:before="480" w:after="240" w:line="44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
    <w:qFormat/>
    <w:rsid w:val="00A73A2D"/>
    <w:pPr>
      <w:keepNext/>
      <w:numPr>
        <w:ilvl w:val="1"/>
        <w:numId w:val="4"/>
      </w:numPr>
      <w:spacing w:before="480" w:after="180"/>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
    <w:qFormat/>
    <w:rsid w:val="00BA3DB6"/>
    <w:pPr>
      <w:keepNext/>
      <w:numPr>
        <w:ilvl w:val="2"/>
        <w:numId w:val="4"/>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
    <w:qFormat/>
    <w:rsid w:val="00D3337F"/>
    <w:pPr>
      <w:keepNext/>
      <w:numPr>
        <w:ilvl w:val="3"/>
        <w:numId w:val="4"/>
      </w:numPr>
      <w:spacing w:before="240" w:after="60"/>
      <w:outlineLvl w:val="3"/>
    </w:pPr>
    <w:rPr>
      <w:rFonts w:ascii="Segoe UI Semibold" w:eastAsia="Times New Roman" w:hAnsi="Segoe UI Semibold" w:cs="Times New Roman"/>
      <w:color w:val="00264D" w:themeColor="background2"/>
      <w:sz w:val="25"/>
      <w:szCs w:val="19"/>
      <w:lang w:eastAsia="en-AU"/>
    </w:rPr>
  </w:style>
  <w:style w:type="paragraph" w:styleId="Heading5">
    <w:name w:val="heading 5"/>
    <w:basedOn w:val="Normal"/>
    <w:next w:val="Normal"/>
    <w:link w:val="Heading5Char"/>
    <w:uiPriority w:val="19"/>
    <w:qFormat/>
    <w:rsid w:val="00D3337F"/>
    <w:pPr>
      <w:keepNext/>
      <w:numPr>
        <w:ilvl w:val="4"/>
        <w:numId w:val="4"/>
      </w:numPr>
      <w:spacing w:before="240" w:after="60"/>
      <w:outlineLvl w:val="4"/>
    </w:pPr>
    <w:rPr>
      <w:rFonts w:eastAsia="Times New Roman" w:cs="Times New Roman"/>
      <w:b/>
      <w:color w:val="808080" w:themeColor="background1" w:themeShade="80"/>
      <w:sz w:val="22"/>
      <w:szCs w:val="24"/>
      <w:lang w:eastAsia="en-AU"/>
    </w:rPr>
  </w:style>
  <w:style w:type="paragraph" w:styleId="Heading6">
    <w:name w:val="heading 6"/>
    <w:basedOn w:val="Normal"/>
    <w:next w:val="Normal"/>
    <w:link w:val="Heading6Char"/>
    <w:uiPriority w:val="19"/>
    <w:qFormat/>
    <w:rsid w:val="00BA3DB6"/>
    <w:pPr>
      <w:keepNext/>
      <w:keepLines/>
      <w:numPr>
        <w:ilvl w:val="5"/>
        <w:numId w:val="4"/>
      </w:numPr>
      <w:spacing w:before="200" w:after="60"/>
      <w:outlineLvl w:val="5"/>
    </w:pPr>
    <w:rPr>
      <w:rFonts w:eastAsiaTheme="majorEastAsia" w:cstheme="majorBidi"/>
      <w:b/>
      <w:i/>
      <w:iCs/>
      <w:color w:val="00264D"/>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19"/>
    <w:semiHidden/>
    <w:qFormat/>
    <w:rsid w:val="00E1346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5789D"/>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
    <w:rsid w:val="0005789D"/>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
    <w:rsid w:val="0005789D"/>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
    <w:rsid w:val="0005789D"/>
    <w:rPr>
      <w:rFonts w:ascii="Segoe UI Semibold" w:eastAsia="Times New Roman" w:hAnsi="Segoe UI Semibold" w:cs="Times New Roman"/>
      <w:color w:val="00264D" w:themeColor="background2"/>
      <w:sz w:val="25"/>
      <w:szCs w:val="19"/>
      <w:lang w:val="en-AU" w:eastAsia="en-AU"/>
    </w:rPr>
  </w:style>
  <w:style w:type="character" w:customStyle="1" w:styleId="Heading5Char">
    <w:name w:val="Heading 5 Char"/>
    <w:basedOn w:val="DefaultParagraphFont"/>
    <w:link w:val="Heading5"/>
    <w:uiPriority w:val="19"/>
    <w:rsid w:val="003B5517"/>
    <w:rPr>
      <w:rFonts w:ascii="Segoe UI" w:eastAsia="Times New Roman" w:hAnsi="Segoe UI" w:cs="Times New Roman"/>
      <w:b/>
      <w:color w:val="808080" w:themeColor="background1" w:themeShade="80"/>
      <w:szCs w:val="24"/>
      <w:lang w:val="en-AU" w:eastAsia="en-AU"/>
    </w:rPr>
  </w:style>
  <w:style w:type="character" w:customStyle="1" w:styleId="Heading6Char">
    <w:name w:val="Heading 6 Char"/>
    <w:basedOn w:val="DefaultParagraphFont"/>
    <w:link w:val="Heading6"/>
    <w:uiPriority w:val="19"/>
    <w:rsid w:val="006F5B5A"/>
    <w:rPr>
      <w:rFonts w:ascii="Segoe UI" w:eastAsiaTheme="majorEastAsia" w:hAnsi="Segoe UI" w:cstheme="majorBidi"/>
      <w:b/>
      <w:i/>
      <w:iCs/>
      <w:color w:val="00264D"/>
      <w:sz w:val="19"/>
      <w:szCs w:val="19"/>
      <w:lang w:val="en-AU" w:eastAsia="en-AU"/>
    </w:rPr>
  </w:style>
  <w:style w:type="paragraph" w:customStyle="1" w:styleId="Bullet">
    <w:name w:val="Bullet"/>
    <w:basedOn w:val="Normal"/>
    <w:link w:val="BulletChar"/>
    <w:uiPriority w:val="2"/>
    <w:qFormat/>
    <w:rsid w:val="003E02E5"/>
    <w:pPr>
      <w:numPr>
        <w:numId w:val="8"/>
      </w:numPr>
      <w:suppressAutoHyphens/>
      <w:ind w:left="360"/>
    </w:pPr>
    <w:rPr>
      <w:rFonts w:eastAsia="Times New Roman" w:cs="Times New Roman"/>
      <w:szCs w:val="19"/>
      <w:lang w:eastAsia="en-AU"/>
    </w:rPr>
  </w:style>
  <w:style w:type="paragraph" w:customStyle="1" w:styleId="TableNheader">
    <w:name w:val="Table N header"/>
    <w:basedOn w:val="Heading5"/>
    <w:uiPriority w:val="2"/>
    <w:qFormat/>
    <w:rsid w:val="009C750F"/>
    <w:pPr>
      <w:spacing w:before="40" w:after="40"/>
    </w:pPr>
    <w:rPr>
      <w:rFonts w:ascii="Segoe UI Semibold" w:hAnsi="Segoe UI Semibold"/>
      <w:b w:val="0"/>
      <w:color w:val="00264D" w:themeColor="background2"/>
      <w:sz w:val="18"/>
    </w:rPr>
  </w:style>
  <w:style w:type="paragraph" w:customStyle="1" w:styleId="TableNText">
    <w:name w:val="Table N Text"/>
    <w:basedOn w:val="TableNheader"/>
    <w:link w:val="TableNTextChar"/>
    <w:uiPriority w:val="2"/>
    <w:qFormat/>
    <w:rsid w:val="0023346F"/>
    <w:rPr>
      <w:rFonts w:ascii="Segoe UI" w:hAnsi="Segoe UI"/>
      <w:color w:val="auto"/>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basedOn w:val="Normal"/>
    <w:link w:val="FooterChar"/>
    <w:uiPriority w:val="89"/>
    <w:unhideWhenUsed/>
    <w:rsid w:val="00302076"/>
    <w:pPr>
      <w:tabs>
        <w:tab w:val="center" w:pos="4513"/>
        <w:tab w:val="right" w:pos="9026"/>
      </w:tabs>
      <w:spacing w:after="0"/>
    </w:pPr>
  </w:style>
  <w:style w:type="character" w:customStyle="1" w:styleId="FooterChar">
    <w:name w:val="Footer Char"/>
    <w:basedOn w:val="DefaultParagraphFont"/>
    <w:link w:val="Footer"/>
    <w:uiPriority w:val="89"/>
    <w:rsid w:val="00302076"/>
    <w:rPr>
      <w:rFonts w:ascii="Segoe UI" w:hAnsi="Segoe UI"/>
      <w:sz w:val="19"/>
    </w:rPr>
  </w:style>
  <w:style w:type="paragraph" w:styleId="Caption">
    <w:name w:val="caption"/>
    <w:basedOn w:val="Normal"/>
    <w:next w:val="Normal"/>
    <w:uiPriority w:val="35"/>
    <w:qFormat/>
    <w:rsid w:val="00413A52"/>
    <w:pPr>
      <w:spacing w:before="360"/>
    </w:pPr>
    <w:rPr>
      <w:rFonts w:ascii="Segoe UI Semibold" w:hAnsi="Segoe UI Semibold"/>
      <w:bCs/>
      <w:color w:val="00264D" w:themeColor="background2"/>
      <w:sz w:val="20"/>
      <w:szCs w:val="18"/>
    </w:rPr>
  </w:style>
  <w:style w:type="paragraph" w:customStyle="1" w:styleId="TableNBullet">
    <w:name w:val="Table N Bullet"/>
    <w:basedOn w:val="Bullet"/>
    <w:link w:val="TableNBulletChar"/>
    <w:uiPriority w:val="9"/>
    <w:qFormat/>
    <w:rsid w:val="000A13C3"/>
    <w:pPr>
      <w:numPr>
        <w:numId w:val="5"/>
      </w:numPr>
      <w:spacing w:before="40" w:after="40"/>
    </w:pPr>
    <w:rPr>
      <w:sz w:val="17"/>
    </w:rPr>
  </w:style>
  <w:style w:type="paragraph" w:customStyle="1" w:styleId="TableNListnumbered">
    <w:name w:val="Table N List (numbered)"/>
    <w:basedOn w:val="TableNBullet"/>
    <w:uiPriority w:val="1"/>
    <w:qFormat/>
    <w:rsid w:val="0029320C"/>
    <w:pPr>
      <w:numPr>
        <w:numId w:val="1"/>
      </w:numPr>
      <w:ind w:left="170" w:hanging="170"/>
    </w:pPr>
  </w:style>
  <w:style w:type="paragraph" w:customStyle="1" w:styleId="xAppendixLevel1">
    <w:name w:val="xAppendix Level 1"/>
    <w:basedOn w:val="Heading1"/>
    <w:next w:val="Normal"/>
    <w:uiPriority w:val="98"/>
    <w:qFormat/>
    <w:rsid w:val="002B5822"/>
    <w:pPr>
      <w:pageBreakBefore/>
      <w:numPr>
        <w:numId w:val="2"/>
      </w:numPr>
    </w:pPr>
    <w:rPr>
      <w:rFonts w:ascii="Segoe UI Semibold" w:hAnsi="Segoe UI Semibold"/>
      <w:b w:val="0"/>
      <w:bCs/>
      <w:sz w:val="44"/>
    </w:rPr>
  </w:style>
  <w:style w:type="paragraph" w:customStyle="1" w:styleId="xAppendixLevel2">
    <w:name w:val="xAppendix Level 2"/>
    <w:basedOn w:val="Heading2"/>
    <w:next w:val="Normal"/>
    <w:uiPriority w:val="98"/>
    <w:qFormat/>
    <w:rsid w:val="002B5822"/>
    <w:pPr>
      <w:numPr>
        <w:numId w:val="2"/>
      </w:numPr>
    </w:pPr>
    <w:rPr>
      <w:bCs/>
      <w:sz w:val="34"/>
    </w:rPr>
  </w:style>
  <w:style w:type="paragraph" w:customStyle="1" w:styleId="xAppendixLevel3">
    <w:name w:val="xAppendix Level 3"/>
    <w:basedOn w:val="Heading3"/>
    <w:next w:val="Normal"/>
    <w:uiPriority w:val="98"/>
    <w:qFormat/>
    <w:rsid w:val="002B5822"/>
    <w:pPr>
      <w:numPr>
        <w:numId w:val="2"/>
      </w:numPr>
    </w:pPr>
    <w:rPr>
      <w:bCs/>
    </w:rPr>
  </w:style>
  <w:style w:type="paragraph" w:customStyle="1" w:styleId="Listnumbered">
    <w:name w:val="List (numbered)"/>
    <w:basedOn w:val="Normal"/>
    <w:link w:val="ListnumberedChar"/>
    <w:uiPriority w:val="4"/>
    <w:qFormat/>
    <w:rsid w:val="00BE4870"/>
    <w:pPr>
      <w:numPr>
        <w:numId w:val="3"/>
      </w:numPr>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TableNBullet"/>
    <w:uiPriority w:val="2"/>
    <w:qFormat/>
    <w:rsid w:val="0029320C"/>
    <w:rPr>
      <w:sz w:val="16"/>
    </w:rPr>
  </w:style>
  <w:style w:type="paragraph" w:customStyle="1" w:styleId="Tableexpheader">
    <w:name w:val="Table exp header"/>
    <w:basedOn w:val="TableNheader"/>
    <w:uiPriority w:val="2"/>
    <w:qFormat/>
    <w:rsid w:val="0029320C"/>
    <w:rPr>
      <w:sz w:val="17"/>
    </w:rPr>
  </w:style>
  <w:style w:type="paragraph" w:customStyle="1" w:styleId="TableexpListnumbered">
    <w:name w:val="Table exp List (numbered)"/>
    <w:basedOn w:val="TableNListnumbered"/>
    <w:uiPriority w:val="2"/>
    <w:qFormat/>
    <w:rsid w:val="0029320C"/>
    <w:rPr>
      <w:sz w:val="16"/>
    </w:rPr>
  </w:style>
  <w:style w:type="paragraph" w:customStyle="1" w:styleId="TableExpText">
    <w:name w:val="Table Exp Text"/>
    <w:basedOn w:val="TableNText"/>
    <w:uiPriority w:val="2"/>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customStyle="1" w:styleId="Tablecolumnheading">
    <w:name w:val="Table column heading"/>
    <w:basedOn w:val="Normal"/>
    <w:link w:val="TablecolumnheadingChar"/>
    <w:uiPriority w:val="1"/>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columnheadingChar">
    <w:name w:val="Table column heading Char"/>
    <w:basedOn w:val="DefaultParagraphFont"/>
    <w:link w:val="Tablecolumnheading"/>
    <w:uiPriority w:val="1"/>
    <w:rsid w:val="00653916"/>
    <w:rPr>
      <w:rFonts w:ascii="Segoe UI Semibold" w:eastAsia="Times New Roman" w:hAnsi="Segoe UI Semibold" w:cs="Times New Roman"/>
      <w:color w:val="00264D"/>
      <w:sz w:val="18"/>
      <w:szCs w:val="17"/>
      <w:lang w:val="en-AU" w:eastAsia="en-AU"/>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0A13C3"/>
    <w:rPr>
      <w:rFonts w:ascii="Segoe UI" w:eastAsia="Times New Roman" w:hAnsi="Segoe UI" w:cs="Times New Roman"/>
      <w:sz w:val="17"/>
      <w:szCs w:val="19"/>
      <w:lang w:val="en-AU" w:eastAsia="en-AU"/>
    </w:rPr>
  </w:style>
  <w:style w:type="table" w:styleId="TableGrid">
    <w:name w:val="Table Grid"/>
    <w:aliases w:val="Table,NOUS,NOUS Side Header,Nous Table"/>
    <w:basedOn w:val="TableNormal"/>
    <w:uiPriority w:val="39"/>
    <w:rsid w:val="00E031CC"/>
    <w:pPr>
      <w:spacing w:after="0" w:line="240" w:lineRule="auto"/>
    </w:pPr>
    <w:rPr>
      <w:rFonts w:ascii="Segoe UI" w:hAnsi="Segoe UI"/>
      <w:sz w:val="18"/>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w:hAnsi="Segoe UI"/>
        <w:b/>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BulletChar">
    <w:name w:val="Bullet Char"/>
    <w:basedOn w:val="DefaultParagraphFont"/>
    <w:link w:val="Bullet"/>
    <w:uiPriority w:val="2"/>
    <w:rsid w:val="003E02E5"/>
    <w:rPr>
      <w:rFonts w:ascii="Segoe UI" w:eastAsia="Times New Roman" w:hAnsi="Segoe UI" w:cs="Times New Roman"/>
      <w:sz w:val="19"/>
      <w:szCs w:val="19"/>
      <w:lang w:val="en-AU" w:eastAsia="en-AU"/>
    </w:rPr>
  </w:style>
  <w:style w:type="paragraph" w:styleId="ListParagraph">
    <w:name w:val="List Paragraph"/>
    <w:basedOn w:val="Normal"/>
    <w:uiPriority w:val="34"/>
    <w:qFormat/>
    <w:rsid w:val="00CF07F2"/>
    <w:pPr>
      <w:ind w:left="720"/>
      <w:contextualSpacing/>
    </w:p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SideTitle">
    <w:name w:val="Side Title"/>
    <w:basedOn w:val="TableNormal"/>
    <w:uiPriority w:val="99"/>
    <w:rsid w:val="001C1921"/>
    <w:pPr>
      <w:spacing w:after="0" w:line="240" w:lineRule="auto"/>
    </w:pPr>
    <w:rPr>
      <w:rFonts w:ascii="Segoe UI" w:hAnsi="Segoe UI"/>
      <w:sz w:val="18"/>
    </w:rPr>
    <w:tblPr>
      <w:tblBorders>
        <w:insideH w:val="single" w:sz="8" w:space="0" w:color="E6E6E1" w:themeColor="accent5"/>
      </w:tblBorders>
      <w:tblCellMar>
        <w:top w:w="57" w:type="dxa"/>
        <w:left w:w="85" w:type="dxa"/>
        <w:bottom w:w="57" w:type="dxa"/>
        <w:right w:w="85" w:type="dxa"/>
      </w:tblCellMar>
    </w:tblPr>
    <w:tblStylePr w:type="firstCol">
      <w:pPr>
        <w:jc w:val="center"/>
      </w:pPr>
      <w:rPr>
        <w:rFonts w:ascii="Segoe UI" w:hAnsi="Segoe UI"/>
        <w:b/>
        <w:color w:val="00264D" w:themeColor="background2"/>
        <w:sz w:val="18"/>
      </w:rPr>
      <w:tblPr/>
      <w:tcPr>
        <w:tcBorders>
          <w:top w:val="nil"/>
          <w:left w:val="single" w:sz="24" w:space="0" w:color="F8981D" w:themeColor="accent3"/>
          <w:bottom w:val="single" w:sz="8" w:space="0" w:color="FFFFFF" w:themeColor="background1"/>
          <w:right w:val="nil"/>
          <w:insideH w:val="nil"/>
          <w:insideV w:val="nil"/>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Styletopandsideheading">
    <w:name w:val="Nous Table Style top and side heading"/>
    <w:basedOn w:val="TableNormal"/>
    <w:uiPriority w:val="99"/>
    <w:rsid w:val="00F2470B"/>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w:hAnsi="Segoe UI"/>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UI" w:hAnsi="Segoe UI"/>
        <w:b/>
        <w:color w:val="00264D" w:themeColor="background2"/>
        <w:sz w:val="18"/>
      </w:rPr>
      <w:tblPr/>
      <w:tcPr>
        <w:tcBorders>
          <w:left w:val="single" w:sz="24" w:space="0" w:color="F8981D" w:themeColor="accent3"/>
        </w:tcBorders>
        <w:shd w:val="clear" w:color="auto" w:fill="E6E6E1" w:themeFill="accent5"/>
        <w:vAlign w:val="center"/>
      </w:tcPr>
    </w:tblStylePr>
  </w:style>
  <w:style w:type="character" w:styleId="CommentReference">
    <w:name w:val="annotation reference"/>
    <w:basedOn w:val="DefaultParagraphFont"/>
    <w:uiPriority w:val="99"/>
    <w:semiHidden/>
    <w:unhideWhenUsed/>
    <w:rsid w:val="00D741A1"/>
    <w:rPr>
      <w:sz w:val="16"/>
      <w:szCs w:val="16"/>
    </w:rPr>
  </w:style>
  <w:style w:type="paragraph" w:styleId="CommentText">
    <w:name w:val="annotation text"/>
    <w:basedOn w:val="Normal"/>
    <w:link w:val="CommentTextChar"/>
    <w:uiPriority w:val="99"/>
    <w:unhideWhenUsed/>
    <w:rsid w:val="00D741A1"/>
    <w:rPr>
      <w:sz w:val="20"/>
      <w:szCs w:val="20"/>
    </w:rPr>
  </w:style>
  <w:style w:type="character" w:customStyle="1" w:styleId="CommentTextChar">
    <w:name w:val="Comment Text Char"/>
    <w:basedOn w:val="DefaultParagraphFont"/>
    <w:link w:val="CommentText"/>
    <w:uiPriority w:val="99"/>
    <w:rsid w:val="00D741A1"/>
    <w:rPr>
      <w:rFonts w:ascii="Segoe UI" w:hAnsi="Segoe UI"/>
      <w:sz w:val="20"/>
      <w:szCs w:val="20"/>
      <w:lang w:val="en-AU"/>
    </w:rPr>
  </w:style>
  <w:style w:type="paragraph" w:styleId="CommentSubject">
    <w:name w:val="annotation subject"/>
    <w:basedOn w:val="CommentText"/>
    <w:next w:val="CommentText"/>
    <w:link w:val="CommentSubjectChar"/>
    <w:uiPriority w:val="99"/>
    <w:semiHidden/>
    <w:unhideWhenUsed/>
    <w:rsid w:val="00D741A1"/>
    <w:rPr>
      <w:b/>
      <w:bCs/>
    </w:rPr>
  </w:style>
  <w:style w:type="character" w:customStyle="1" w:styleId="CommentSubjectChar">
    <w:name w:val="Comment Subject Char"/>
    <w:basedOn w:val="CommentTextChar"/>
    <w:link w:val="CommentSubject"/>
    <w:uiPriority w:val="99"/>
    <w:semiHidden/>
    <w:rsid w:val="00D741A1"/>
    <w:rPr>
      <w:rFonts w:ascii="Segoe UI" w:hAnsi="Segoe UI"/>
      <w:b/>
      <w:bCs/>
      <w:sz w:val="20"/>
      <w:szCs w:val="20"/>
      <w:lang w:val="en-AU"/>
    </w:rPr>
  </w:style>
  <w:style w:type="paragraph" w:styleId="Revision">
    <w:name w:val="Revision"/>
    <w:hidden/>
    <w:uiPriority w:val="99"/>
    <w:semiHidden/>
    <w:rsid w:val="003A23AC"/>
    <w:pPr>
      <w:spacing w:after="0" w:line="240" w:lineRule="auto"/>
    </w:pPr>
    <w:rPr>
      <w:rFonts w:ascii="Segoe UI" w:hAnsi="Segoe UI"/>
      <w:sz w:val="19"/>
      <w:lang w:val="en-AU"/>
    </w:rPr>
  </w:style>
  <w:style w:type="paragraph" w:styleId="FootnoteText">
    <w:name w:val="footnote text"/>
    <w:basedOn w:val="Normal"/>
    <w:link w:val="FootnoteTextChar"/>
    <w:uiPriority w:val="99"/>
    <w:unhideWhenUsed/>
    <w:rsid w:val="00116182"/>
    <w:pPr>
      <w:spacing w:after="0"/>
    </w:pPr>
    <w:rPr>
      <w:sz w:val="20"/>
      <w:szCs w:val="20"/>
    </w:rPr>
  </w:style>
  <w:style w:type="character" w:customStyle="1" w:styleId="FootnoteTextChar">
    <w:name w:val="Footnote Text Char"/>
    <w:basedOn w:val="DefaultParagraphFont"/>
    <w:link w:val="FootnoteText"/>
    <w:uiPriority w:val="99"/>
    <w:rsid w:val="00116182"/>
    <w:rPr>
      <w:rFonts w:ascii="Segoe UI" w:hAnsi="Segoe UI"/>
      <w:sz w:val="20"/>
      <w:szCs w:val="20"/>
      <w:lang w:val="en-AU"/>
    </w:rPr>
  </w:style>
  <w:style w:type="character" w:styleId="FootnoteReference">
    <w:name w:val="footnote reference"/>
    <w:basedOn w:val="DefaultParagraphFont"/>
    <w:uiPriority w:val="99"/>
    <w:unhideWhenUsed/>
    <w:rsid w:val="00116182"/>
    <w:rPr>
      <w:vertAlign w:val="superscript"/>
    </w:rPr>
  </w:style>
  <w:style w:type="paragraph" w:customStyle="1" w:styleId="Default">
    <w:name w:val="Default"/>
    <w:rsid w:val="00396DF4"/>
    <w:pPr>
      <w:autoSpaceDE w:val="0"/>
      <w:autoSpaceDN w:val="0"/>
      <w:adjustRightInd w:val="0"/>
      <w:spacing w:after="0" w:line="240" w:lineRule="auto"/>
    </w:pPr>
    <w:rPr>
      <w:rFonts w:ascii="Arial Narrow" w:hAnsi="Arial Narrow" w:cs="Arial Narrow"/>
      <w:color w:val="000000"/>
      <w:sz w:val="24"/>
      <w:szCs w:val="24"/>
      <w:lang w:val="en-AU"/>
    </w:rPr>
  </w:style>
  <w:style w:type="character" w:styleId="FollowedHyperlink">
    <w:name w:val="FollowedHyperlink"/>
    <w:basedOn w:val="DefaultParagraphFont"/>
    <w:uiPriority w:val="99"/>
    <w:semiHidden/>
    <w:unhideWhenUsed/>
    <w:rsid w:val="00DB4C59"/>
    <w:rPr>
      <w:color w:val="0048C7" w:themeColor="followedHyperlink"/>
      <w:u w:val="single"/>
    </w:rPr>
  </w:style>
  <w:style w:type="paragraph" w:styleId="NormalWeb">
    <w:name w:val="Normal (Web)"/>
    <w:basedOn w:val="Normal"/>
    <w:uiPriority w:val="99"/>
    <w:semiHidden/>
    <w:unhideWhenUsed/>
    <w:rsid w:val="002B758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ListnumberedChar">
    <w:name w:val="List (numbered) Char"/>
    <w:basedOn w:val="DefaultParagraphFont"/>
    <w:link w:val="Listnumbered"/>
    <w:uiPriority w:val="4"/>
    <w:rsid w:val="009B4DA7"/>
    <w:rPr>
      <w:rFonts w:ascii="Segoe UI" w:hAnsi="Segoe UI"/>
      <w:sz w:val="19"/>
      <w:lang w:val="en-AU"/>
    </w:rPr>
  </w:style>
  <w:style w:type="paragraph" w:styleId="EndnoteText">
    <w:name w:val="endnote text"/>
    <w:basedOn w:val="Normal"/>
    <w:link w:val="EndnoteTextChar"/>
    <w:uiPriority w:val="99"/>
    <w:unhideWhenUsed/>
    <w:rsid w:val="00CD251F"/>
    <w:pPr>
      <w:spacing w:after="0"/>
    </w:pPr>
    <w:rPr>
      <w:sz w:val="20"/>
      <w:szCs w:val="20"/>
    </w:rPr>
  </w:style>
  <w:style w:type="character" w:customStyle="1" w:styleId="EndnoteTextChar">
    <w:name w:val="Endnote Text Char"/>
    <w:basedOn w:val="DefaultParagraphFont"/>
    <w:link w:val="EndnoteText"/>
    <w:uiPriority w:val="99"/>
    <w:rsid w:val="00CD251F"/>
    <w:rPr>
      <w:rFonts w:ascii="Segoe UI" w:hAnsi="Segoe UI"/>
      <w:sz w:val="20"/>
      <w:szCs w:val="20"/>
      <w:lang w:val="en-AU"/>
    </w:rPr>
  </w:style>
  <w:style w:type="character" w:styleId="EndnoteReference">
    <w:name w:val="endnote reference"/>
    <w:basedOn w:val="DefaultParagraphFont"/>
    <w:uiPriority w:val="99"/>
    <w:semiHidden/>
    <w:unhideWhenUsed/>
    <w:rsid w:val="00CD251F"/>
    <w:rPr>
      <w:vertAlign w:val="superscript"/>
    </w:rPr>
  </w:style>
  <w:style w:type="paragraph" w:customStyle="1" w:styleId="Covertitle">
    <w:name w:val="Cover title"/>
    <w:basedOn w:val="Normal"/>
    <w:link w:val="CovertitleChar"/>
    <w:uiPriority w:val="99"/>
    <w:semiHidden/>
    <w:rsid w:val="008B7323"/>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8B7323"/>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B7323"/>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8B7323"/>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B7323"/>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8B7323"/>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B7323"/>
    <w:rPr>
      <w:color w:val="808080"/>
    </w:rPr>
  </w:style>
  <w:style w:type="paragraph" w:styleId="TOCHeading">
    <w:name w:val="TOC Heading"/>
    <w:basedOn w:val="Heading1"/>
    <w:next w:val="Normal"/>
    <w:uiPriority w:val="39"/>
    <w:semiHidden/>
    <w:unhideWhenUsed/>
    <w:qFormat/>
    <w:rsid w:val="008B7323"/>
    <w:pPr>
      <w:keepLines/>
      <w:numPr>
        <w:numId w:val="0"/>
      </w:numPr>
      <w:spacing w:after="0" w:line="276" w:lineRule="auto"/>
      <w:outlineLvl w:val="9"/>
    </w:pPr>
    <w:rPr>
      <w:rFonts w:asciiTheme="majorHAnsi" w:eastAsiaTheme="majorEastAsia" w:hAnsiTheme="majorHAnsi" w:cstheme="majorBidi"/>
      <w:bCs/>
      <w:color w:val="EA0006" w:themeColor="accent1" w:themeShade="BF"/>
      <w:sz w:val="28"/>
      <w:szCs w:val="28"/>
      <w:lang w:val="en-US" w:eastAsia="ja-JP"/>
    </w:rPr>
  </w:style>
  <w:style w:type="paragraph" w:styleId="TOC1">
    <w:name w:val="toc 1"/>
    <w:basedOn w:val="Normal"/>
    <w:next w:val="Normal"/>
    <w:autoRedefine/>
    <w:uiPriority w:val="39"/>
    <w:unhideWhenUsed/>
    <w:rsid w:val="008B7323"/>
    <w:pPr>
      <w:spacing w:after="100"/>
    </w:pPr>
  </w:style>
  <w:style w:type="paragraph" w:styleId="TOC3">
    <w:name w:val="toc 3"/>
    <w:basedOn w:val="Normal"/>
    <w:next w:val="Normal"/>
    <w:autoRedefine/>
    <w:uiPriority w:val="39"/>
    <w:unhideWhenUsed/>
    <w:rsid w:val="008B7323"/>
    <w:pPr>
      <w:spacing w:after="100"/>
      <w:ind w:left="380"/>
    </w:pPr>
  </w:style>
  <w:style w:type="paragraph" w:styleId="TOC2">
    <w:name w:val="toc 2"/>
    <w:basedOn w:val="Normal"/>
    <w:next w:val="Normal"/>
    <w:autoRedefine/>
    <w:uiPriority w:val="39"/>
    <w:unhideWhenUsed/>
    <w:rsid w:val="008B7323"/>
    <w:pPr>
      <w:spacing w:after="100"/>
      <w:ind w:left="190"/>
    </w:pPr>
  </w:style>
  <w:style w:type="paragraph" w:customStyle="1" w:styleId="paragraph">
    <w:name w:val="paragraph"/>
    <w:basedOn w:val="Normal"/>
    <w:rsid w:val="006657BA"/>
    <w:pPr>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624280"/>
    <w:rPr>
      <w:i/>
      <w:iCs/>
    </w:rPr>
  </w:style>
  <w:style w:type="character" w:customStyle="1" w:styleId="TableNTextChar">
    <w:name w:val="Table N Text Char"/>
    <w:basedOn w:val="DefaultParagraphFont"/>
    <w:link w:val="TableNText"/>
    <w:uiPriority w:val="2"/>
    <w:rsid w:val="007F2970"/>
    <w:rPr>
      <w:rFonts w:ascii="Segoe UI" w:eastAsia="Times New Roman" w:hAnsi="Segoe UI" w:cs="Times New Roman"/>
      <w:sz w:val="17"/>
      <w:szCs w:val="24"/>
      <w:lang w:val="en-AU" w:eastAsia="en-AU"/>
    </w:rPr>
  </w:style>
  <w:style w:type="paragraph" w:styleId="Bibliography">
    <w:name w:val="Bibliography"/>
    <w:basedOn w:val="Normal"/>
    <w:next w:val="Normal"/>
    <w:uiPriority w:val="37"/>
    <w:semiHidden/>
    <w:unhideWhenUsed/>
    <w:rsid w:val="00E13460"/>
  </w:style>
  <w:style w:type="paragraph" w:styleId="BlockText">
    <w:name w:val="Block Text"/>
    <w:basedOn w:val="Normal"/>
    <w:uiPriority w:val="99"/>
    <w:semiHidden/>
    <w:unhideWhenUsed/>
    <w:rsid w:val="00E13460"/>
    <w:pPr>
      <w:pBdr>
        <w:top w:val="single" w:sz="2" w:space="10" w:color="FF3A40" w:themeColor="accent1"/>
        <w:left w:val="single" w:sz="2" w:space="10" w:color="FF3A40" w:themeColor="accent1"/>
        <w:bottom w:val="single" w:sz="2" w:space="10" w:color="FF3A40" w:themeColor="accent1"/>
        <w:right w:val="single" w:sz="2" w:space="10" w:color="FF3A40" w:themeColor="accent1"/>
      </w:pBdr>
      <w:ind w:left="1152" w:right="1152"/>
    </w:pPr>
    <w:rPr>
      <w:rFonts w:asciiTheme="minorHAnsi" w:eastAsiaTheme="minorEastAsia" w:hAnsiTheme="minorHAnsi"/>
      <w:i/>
      <w:iCs/>
      <w:color w:val="FF3A40" w:themeColor="accent1"/>
    </w:rPr>
  </w:style>
  <w:style w:type="paragraph" w:styleId="BodyText">
    <w:name w:val="Body Text"/>
    <w:basedOn w:val="Normal"/>
    <w:link w:val="BodyTextChar"/>
    <w:uiPriority w:val="99"/>
    <w:semiHidden/>
    <w:unhideWhenUsed/>
    <w:rsid w:val="00E13460"/>
  </w:style>
  <w:style w:type="character" w:customStyle="1" w:styleId="BodyTextChar">
    <w:name w:val="Body Text Char"/>
    <w:basedOn w:val="DefaultParagraphFont"/>
    <w:link w:val="BodyText"/>
    <w:uiPriority w:val="99"/>
    <w:semiHidden/>
    <w:rsid w:val="00E13460"/>
    <w:rPr>
      <w:rFonts w:ascii="Segoe UI" w:hAnsi="Segoe UI"/>
      <w:sz w:val="19"/>
      <w:lang w:val="en-AU"/>
    </w:rPr>
  </w:style>
  <w:style w:type="paragraph" w:styleId="BodyText2">
    <w:name w:val="Body Text 2"/>
    <w:basedOn w:val="Normal"/>
    <w:link w:val="BodyText2Char"/>
    <w:uiPriority w:val="99"/>
    <w:semiHidden/>
    <w:unhideWhenUsed/>
    <w:rsid w:val="00E13460"/>
    <w:pPr>
      <w:spacing w:line="480" w:lineRule="auto"/>
    </w:pPr>
  </w:style>
  <w:style w:type="character" w:customStyle="1" w:styleId="BodyText2Char">
    <w:name w:val="Body Text 2 Char"/>
    <w:basedOn w:val="DefaultParagraphFont"/>
    <w:link w:val="BodyText2"/>
    <w:uiPriority w:val="99"/>
    <w:semiHidden/>
    <w:rsid w:val="00E13460"/>
    <w:rPr>
      <w:rFonts w:ascii="Segoe UI" w:hAnsi="Segoe UI"/>
      <w:sz w:val="19"/>
      <w:lang w:val="en-AU"/>
    </w:rPr>
  </w:style>
  <w:style w:type="paragraph" w:styleId="BodyText3">
    <w:name w:val="Body Text 3"/>
    <w:basedOn w:val="Normal"/>
    <w:link w:val="BodyText3Char"/>
    <w:uiPriority w:val="99"/>
    <w:semiHidden/>
    <w:unhideWhenUsed/>
    <w:rsid w:val="00E13460"/>
    <w:rPr>
      <w:sz w:val="16"/>
      <w:szCs w:val="16"/>
    </w:rPr>
  </w:style>
  <w:style w:type="character" w:customStyle="1" w:styleId="BodyText3Char">
    <w:name w:val="Body Text 3 Char"/>
    <w:basedOn w:val="DefaultParagraphFont"/>
    <w:link w:val="BodyText3"/>
    <w:uiPriority w:val="99"/>
    <w:semiHidden/>
    <w:rsid w:val="00E13460"/>
    <w:rPr>
      <w:rFonts w:ascii="Segoe UI" w:hAnsi="Segoe UI"/>
      <w:sz w:val="16"/>
      <w:szCs w:val="16"/>
      <w:lang w:val="en-AU"/>
    </w:rPr>
  </w:style>
  <w:style w:type="paragraph" w:styleId="BodyTextFirstIndent">
    <w:name w:val="Body Text First Indent"/>
    <w:basedOn w:val="BodyText"/>
    <w:link w:val="BodyTextFirstIndentChar"/>
    <w:uiPriority w:val="99"/>
    <w:semiHidden/>
    <w:unhideWhenUsed/>
    <w:rsid w:val="00E13460"/>
    <w:pPr>
      <w:ind w:firstLine="360"/>
    </w:pPr>
  </w:style>
  <w:style w:type="character" w:customStyle="1" w:styleId="BodyTextFirstIndentChar">
    <w:name w:val="Body Text First Indent Char"/>
    <w:basedOn w:val="BodyTextChar"/>
    <w:link w:val="BodyTextFirstIndent"/>
    <w:uiPriority w:val="99"/>
    <w:semiHidden/>
    <w:rsid w:val="00E13460"/>
    <w:rPr>
      <w:rFonts w:ascii="Segoe UI" w:hAnsi="Segoe UI"/>
      <w:sz w:val="19"/>
      <w:lang w:val="en-AU"/>
    </w:rPr>
  </w:style>
  <w:style w:type="paragraph" w:styleId="BodyTextIndent">
    <w:name w:val="Body Text Indent"/>
    <w:basedOn w:val="Normal"/>
    <w:link w:val="BodyTextIndentChar"/>
    <w:uiPriority w:val="99"/>
    <w:semiHidden/>
    <w:unhideWhenUsed/>
    <w:rsid w:val="00E13460"/>
    <w:pPr>
      <w:ind w:left="283"/>
    </w:pPr>
  </w:style>
  <w:style w:type="character" w:customStyle="1" w:styleId="BodyTextIndentChar">
    <w:name w:val="Body Text Indent Char"/>
    <w:basedOn w:val="DefaultParagraphFont"/>
    <w:link w:val="BodyTextIndent"/>
    <w:uiPriority w:val="99"/>
    <w:semiHidden/>
    <w:rsid w:val="00E13460"/>
    <w:rPr>
      <w:rFonts w:ascii="Segoe UI" w:hAnsi="Segoe UI"/>
      <w:sz w:val="19"/>
      <w:lang w:val="en-AU"/>
    </w:rPr>
  </w:style>
  <w:style w:type="paragraph" w:styleId="BodyTextFirstIndent2">
    <w:name w:val="Body Text First Indent 2"/>
    <w:basedOn w:val="BodyTextIndent"/>
    <w:link w:val="BodyTextFirstIndent2Char"/>
    <w:uiPriority w:val="99"/>
    <w:semiHidden/>
    <w:unhideWhenUsed/>
    <w:rsid w:val="00E13460"/>
    <w:pPr>
      <w:ind w:left="360" w:firstLine="360"/>
    </w:pPr>
  </w:style>
  <w:style w:type="character" w:customStyle="1" w:styleId="BodyTextFirstIndent2Char">
    <w:name w:val="Body Text First Indent 2 Char"/>
    <w:basedOn w:val="BodyTextIndentChar"/>
    <w:link w:val="BodyTextFirstIndent2"/>
    <w:uiPriority w:val="99"/>
    <w:semiHidden/>
    <w:rsid w:val="00E13460"/>
    <w:rPr>
      <w:rFonts w:ascii="Segoe UI" w:hAnsi="Segoe UI"/>
      <w:sz w:val="19"/>
      <w:lang w:val="en-AU"/>
    </w:rPr>
  </w:style>
  <w:style w:type="paragraph" w:styleId="BodyTextIndent2">
    <w:name w:val="Body Text Indent 2"/>
    <w:basedOn w:val="Normal"/>
    <w:link w:val="BodyTextIndent2Char"/>
    <w:uiPriority w:val="99"/>
    <w:semiHidden/>
    <w:unhideWhenUsed/>
    <w:rsid w:val="00E13460"/>
    <w:pPr>
      <w:spacing w:line="480" w:lineRule="auto"/>
      <w:ind w:left="283"/>
    </w:pPr>
  </w:style>
  <w:style w:type="character" w:customStyle="1" w:styleId="BodyTextIndent2Char">
    <w:name w:val="Body Text Indent 2 Char"/>
    <w:basedOn w:val="DefaultParagraphFont"/>
    <w:link w:val="BodyTextIndent2"/>
    <w:uiPriority w:val="99"/>
    <w:semiHidden/>
    <w:rsid w:val="00E13460"/>
    <w:rPr>
      <w:rFonts w:ascii="Segoe UI" w:hAnsi="Segoe UI"/>
      <w:sz w:val="19"/>
      <w:lang w:val="en-AU"/>
    </w:rPr>
  </w:style>
  <w:style w:type="paragraph" w:styleId="BodyTextIndent3">
    <w:name w:val="Body Text Indent 3"/>
    <w:basedOn w:val="Normal"/>
    <w:link w:val="BodyTextIndent3Char"/>
    <w:uiPriority w:val="99"/>
    <w:semiHidden/>
    <w:unhideWhenUsed/>
    <w:rsid w:val="00E13460"/>
    <w:pPr>
      <w:ind w:left="283"/>
    </w:pPr>
    <w:rPr>
      <w:sz w:val="16"/>
      <w:szCs w:val="16"/>
    </w:rPr>
  </w:style>
  <w:style w:type="character" w:customStyle="1" w:styleId="BodyTextIndent3Char">
    <w:name w:val="Body Text Indent 3 Char"/>
    <w:basedOn w:val="DefaultParagraphFont"/>
    <w:link w:val="BodyTextIndent3"/>
    <w:uiPriority w:val="99"/>
    <w:semiHidden/>
    <w:rsid w:val="00E13460"/>
    <w:rPr>
      <w:rFonts w:ascii="Segoe UI" w:hAnsi="Segoe UI"/>
      <w:sz w:val="16"/>
      <w:szCs w:val="16"/>
      <w:lang w:val="en-AU"/>
    </w:rPr>
  </w:style>
  <w:style w:type="paragraph" w:styleId="Closing">
    <w:name w:val="Closing"/>
    <w:basedOn w:val="Normal"/>
    <w:link w:val="ClosingChar"/>
    <w:uiPriority w:val="99"/>
    <w:semiHidden/>
    <w:unhideWhenUsed/>
    <w:rsid w:val="00E13460"/>
    <w:pPr>
      <w:spacing w:after="0"/>
      <w:ind w:left="4252"/>
    </w:pPr>
  </w:style>
  <w:style w:type="character" w:customStyle="1" w:styleId="ClosingChar">
    <w:name w:val="Closing Char"/>
    <w:basedOn w:val="DefaultParagraphFont"/>
    <w:link w:val="Closing"/>
    <w:uiPriority w:val="99"/>
    <w:semiHidden/>
    <w:rsid w:val="00E13460"/>
    <w:rPr>
      <w:rFonts w:ascii="Segoe UI" w:hAnsi="Segoe UI"/>
      <w:sz w:val="19"/>
      <w:lang w:val="en-AU"/>
    </w:rPr>
  </w:style>
  <w:style w:type="paragraph" w:styleId="Date">
    <w:name w:val="Date"/>
    <w:basedOn w:val="Normal"/>
    <w:next w:val="Normal"/>
    <w:link w:val="DateChar"/>
    <w:uiPriority w:val="99"/>
    <w:semiHidden/>
    <w:unhideWhenUsed/>
    <w:rsid w:val="00E13460"/>
  </w:style>
  <w:style w:type="character" w:customStyle="1" w:styleId="DateChar">
    <w:name w:val="Date Char"/>
    <w:basedOn w:val="DefaultParagraphFont"/>
    <w:link w:val="Date"/>
    <w:uiPriority w:val="99"/>
    <w:semiHidden/>
    <w:rsid w:val="00E13460"/>
    <w:rPr>
      <w:rFonts w:ascii="Segoe UI" w:hAnsi="Segoe UI"/>
      <w:sz w:val="19"/>
      <w:lang w:val="en-AU"/>
    </w:rPr>
  </w:style>
  <w:style w:type="paragraph" w:styleId="DocumentMap">
    <w:name w:val="Document Map"/>
    <w:basedOn w:val="Normal"/>
    <w:link w:val="DocumentMapChar"/>
    <w:uiPriority w:val="99"/>
    <w:semiHidden/>
    <w:unhideWhenUsed/>
    <w:rsid w:val="00E13460"/>
    <w:pPr>
      <w:spacing w:after="0"/>
    </w:pPr>
    <w:rPr>
      <w:rFonts w:cs="Segoe UI"/>
      <w:sz w:val="16"/>
      <w:szCs w:val="16"/>
    </w:rPr>
  </w:style>
  <w:style w:type="character" w:customStyle="1" w:styleId="DocumentMapChar">
    <w:name w:val="Document Map Char"/>
    <w:basedOn w:val="DefaultParagraphFont"/>
    <w:link w:val="DocumentMap"/>
    <w:uiPriority w:val="99"/>
    <w:semiHidden/>
    <w:rsid w:val="00E13460"/>
    <w:rPr>
      <w:rFonts w:ascii="Segoe UI" w:hAnsi="Segoe UI" w:cs="Segoe UI"/>
      <w:sz w:val="16"/>
      <w:szCs w:val="16"/>
      <w:lang w:val="en-AU"/>
    </w:rPr>
  </w:style>
  <w:style w:type="paragraph" w:styleId="E-mailSignature">
    <w:name w:val="E-mail Signature"/>
    <w:basedOn w:val="Normal"/>
    <w:link w:val="E-mailSignatureChar"/>
    <w:uiPriority w:val="99"/>
    <w:semiHidden/>
    <w:unhideWhenUsed/>
    <w:rsid w:val="00E13460"/>
    <w:pPr>
      <w:spacing w:after="0"/>
    </w:pPr>
  </w:style>
  <w:style w:type="character" w:customStyle="1" w:styleId="E-mailSignatureChar">
    <w:name w:val="E-mail Signature Char"/>
    <w:basedOn w:val="DefaultParagraphFont"/>
    <w:link w:val="E-mailSignature"/>
    <w:uiPriority w:val="99"/>
    <w:semiHidden/>
    <w:rsid w:val="00E13460"/>
    <w:rPr>
      <w:rFonts w:ascii="Segoe UI" w:hAnsi="Segoe UI"/>
      <w:sz w:val="19"/>
      <w:lang w:val="en-AU"/>
    </w:rPr>
  </w:style>
  <w:style w:type="paragraph" w:styleId="EnvelopeAddress">
    <w:name w:val="envelope address"/>
    <w:basedOn w:val="Normal"/>
    <w:uiPriority w:val="99"/>
    <w:semiHidden/>
    <w:unhideWhenUsed/>
    <w:rsid w:val="00E1346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13460"/>
    <w:pPr>
      <w:spacing w:after="0"/>
    </w:pPr>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19"/>
    <w:semiHidden/>
    <w:rsid w:val="00E13460"/>
    <w:rPr>
      <w:rFonts w:asciiTheme="majorHAnsi" w:eastAsiaTheme="majorEastAsia" w:hAnsiTheme="majorHAnsi" w:cstheme="majorBidi"/>
      <w:i/>
      <w:iCs/>
      <w:color w:val="272727" w:themeColor="text1" w:themeTint="D8"/>
      <w:sz w:val="21"/>
      <w:szCs w:val="21"/>
      <w:lang w:val="en-AU"/>
    </w:rPr>
  </w:style>
  <w:style w:type="paragraph" w:styleId="HTMLAddress">
    <w:name w:val="HTML Address"/>
    <w:basedOn w:val="Normal"/>
    <w:link w:val="HTMLAddressChar"/>
    <w:uiPriority w:val="99"/>
    <w:semiHidden/>
    <w:unhideWhenUsed/>
    <w:rsid w:val="00E13460"/>
    <w:pPr>
      <w:spacing w:after="0"/>
    </w:pPr>
    <w:rPr>
      <w:i/>
      <w:iCs/>
    </w:rPr>
  </w:style>
  <w:style w:type="character" w:customStyle="1" w:styleId="HTMLAddressChar">
    <w:name w:val="HTML Address Char"/>
    <w:basedOn w:val="DefaultParagraphFont"/>
    <w:link w:val="HTMLAddress"/>
    <w:uiPriority w:val="99"/>
    <w:semiHidden/>
    <w:rsid w:val="00E13460"/>
    <w:rPr>
      <w:rFonts w:ascii="Segoe UI" w:hAnsi="Segoe UI"/>
      <w:i/>
      <w:iCs/>
      <w:sz w:val="19"/>
      <w:lang w:val="en-AU"/>
    </w:rPr>
  </w:style>
  <w:style w:type="paragraph" w:styleId="HTMLPreformatted">
    <w:name w:val="HTML Preformatted"/>
    <w:basedOn w:val="Normal"/>
    <w:link w:val="HTMLPreformattedChar"/>
    <w:uiPriority w:val="99"/>
    <w:semiHidden/>
    <w:unhideWhenUsed/>
    <w:rsid w:val="00E13460"/>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13460"/>
    <w:rPr>
      <w:rFonts w:ascii="Consolas" w:hAnsi="Consolas"/>
      <w:sz w:val="20"/>
      <w:szCs w:val="20"/>
      <w:lang w:val="en-AU"/>
    </w:rPr>
  </w:style>
  <w:style w:type="paragraph" w:styleId="Index1">
    <w:name w:val="index 1"/>
    <w:basedOn w:val="Normal"/>
    <w:next w:val="Normal"/>
    <w:autoRedefine/>
    <w:uiPriority w:val="99"/>
    <w:semiHidden/>
    <w:unhideWhenUsed/>
    <w:rsid w:val="00E13460"/>
    <w:pPr>
      <w:spacing w:after="0"/>
      <w:ind w:left="190" w:hanging="190"/>
    </w:pPr>
  </w:style>
  <w:style w:type="paragraph" w:styleId="Index2">
    <w:name w:val="index 2"/>
    <w:basedOn w:val="Normal"/>
    <w:next w:val="Normal"/>
    <w:autoRedefine/>
    <w:uiPriority w:val="99"/>
    <w:semiHidden/>
    <w:unhideWhenUsed/>
    <w:rsid w:val="00E13460"/>
    <w:pPr>
      <w:spacing w:after="0"/>
      <w:ind w:left="380" w:hanging="190"/>
    </w:pPr>
  </w:style>
  <w:style w:type="paragraph" w:styleId="Index3">
    <w:name w:val="index 3"/>
    <w:basedOn w:val="Normal"/>
    <w:next w:val="Normal"/>
    <w:autoRedefine/>
    <w:uiPriority w:val="99"/>
    <w:semiHidden/>
    <w:unhideWhenUsed/>
    <w:rsid w:val="00E13460"/>
    <w:pPr>
      <w:spacing w:after="0"/>
      <w:ind w:left="570" w:hanging="190"/>
    </w:pPr>
  </w:style>
  <w:style w:type="paragraph" w:styleId="Index4">
    <w:name w:val="index 4"/>
    <w:basedOn w:val="Normal"/>
    <w:next w:val="Normal"/>
    <w:autoRedefine/>
    <w:uiPriority w:val="99"/>
    <w:semiHidden/>
    <w:unhideWhenUsed/>
    <w:rsid w:val="00E13460"/>
    <w:pPr>
      <w:spacing w:after="0"/>
      <w:ind w:left="760" w:hanging="190"/>
    </w:pPr>
  </w:style>
  <w:style w:type="paragraph" w:styleId="Index5">
    <w:name w:val="index 5"/>
    <w:basedOn w:val="Normal"/>
    <w:next w:val="Normal"/>
    <w:autoRedefine/>
    <w:uiPriority w:val="99"/>
    <w:semiHidden/>
    <w:unhideWhenUsed/>
    <w:rsid w:val="00E13460"/>
    <w:pPr>
      <w:spacing w:after="0"/>
      <w:ind w:left="950" w:hanging="190"/>
    </w:pPr>
  </w:style>
  <w:style w:type="paragraph" w:styleId="Index6">
    <w:name w:val="index 6"/>
    <w:basedOn w:val="Normal"/>
    <w:next w:val="Normal"/>
    <w:autoRedefine/>
    <w:uiPriority w:val="99"/>
    <w:semiHidden/>
    <w:unhideWhenUsed/>
    <w:rsid w:val="00E13460"/>
    <w:pPr>
      <w:spacing w:after="0"/>
      <w:ind w:left="1140" w:hanging="190"/>
    </w:pPr>
  </w:style>
  <w:style w:type="paragraph" w:styleId="Index7">
    <w:name w:val="index 7"/>
    <w:basedOn w:val="Normal"/>
    <w:next w:val="Normal"/>
    <w:autoRedefine/>
    <w:uiPriority w:val="99"/>
    <w:semiHidden/>
    <w:unhideWhenUsed/>
    <w:rsid w:val="00E13460"/>
    <w:pPr>
      <w:spacing w:after="0"/>
      <w:ind w:left="1330" w:hanging="190"/>
    </w:pPr>
  </w:style>
  <w:style w:type="paragraph" w:styleId="Index8">
    <w:name w:val="index 8"/>
    <w:basedOn w:val="Normal"/>
    <w:next w:val="Normal"/>
    <w:autoRedefine/>
    <w:uiPriority w:val="99"/>
    <w:semiHidden/>
    <w:unhideWhenUsed/>
    <w:rsid w:val="00E13460"/>
    <w:pPr>
      <w:spacing w:after="0"/>
      <w:ind w:left="1520" w:hanging="190"/>
    </w:pPr>
  </w:style>
  <w:style w:type="paragraph" w:styleId="Index9">
    <w:name w:val="index 9"/>
    <w:basedOn w:val="Normal"/>
    <w:next w:val="Normal"/>
    <w:autoRedefine/>
    <w:uiPriority w:val="99"/>
    <w:semiHidden/>
    <w:unhideWhenUsed/>
    <w:rsid w:val="00E13460"/>
    <w:pPr>
      <w:spacing w:after="0"/>
      <w:ind w:left="1710" w:hanging="190"/>
    </w:pPr>
  </w:style>
  <w:style w:type="paragraph" w:styleId="IndexHeading">
    <w:name w:val="index heading"/>
    <w:basedOn w:val="Normal"/>
    <w:next w:val="Index1"/>
    <w:uiPriority w:val="99"/>
    <w:semiHidden/>
    <w:unhideWhenUsed/>
    <w:rsid w:val="00E13460"/>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E13460"/>
    <w:pPr>
      <w:pBdr>
        <w:top w:val="single" w:sz="4" w:space="10" w:color="FF3A40" w:themeColor="accent1"/>
        <w:bottom w:val="single" w:sz="4" w:space="10" w:color="FF3A40" w:themeColor="accent1"/>
      </w:pBdr>
      <w:spacing w:before="360" w:after="360"/>
      <w:ind w:left="864" w:right="864"/>
      <w:jc w:val="center"/>
    </w:pPr>
    <w:rPr>
      <w:i/>
      <w:iCs/>
      <w:color w:val="FF3A40" w:themeColor="accent1"/>
    </w:rPr>
  </w:style>
  <w:style w:type="character" w:customStyle="1" w:styleId="IntenseQuoteChar">
    <w:name w:val="Intense Quote Char"/>
    <w:basedOn w:val="DefaultParagraphFont"/>
    <w:link w:val="IntenseQuote"/>
    <w:uiPriority w:val="30"/>
    <w:rsid w:val="00E13460"/>
    <w:rPr>
      <w:rFonts w:ascii="Segoe UI" w:hAnsi="Segoe UI"/>
      <w:i/>
      <w:iCs/>
      <w:color w:val="FF3A40" w:themeColor="accent1"/>
      <w:sz w:val="19"/>
      <w:lang w:val="en-AU"/>
    </w:rPr>
  </w:style>
  <w:style w:type="paragraph" w:styleId="List">
    <w:name w:val="List"/>
    <w:basedOn w:val="Normal"/>
    <w:uiPriority w:val="99"/>
    <w:semiHidden/>
    <w:unhideWhenUsed/>
    <w:rsid w:val="00E13460"/>
    <w:pPr>
      <w:ind w:left="283" w:hanging="283"/>
      <w:contextualSpacing/>
    </w:pPr>
  </w:style>
  <w:style w:type="paragraph" w:styleId="List2">
    <w:name w:val="List 2"/>
    <w:basedOn w:val="Normal"/>
    <w:uiPriority w:val="99"/>
    <w:semiHidden/>
    <w:unhideWhenUsed/>
    <w:rsid w:val="00E13460"/>
    <w:pPr>
      <w:ind w:left="566" w:hanging="283"/>
      <w:contextualSpacing/>
    </w:pPr>
  </w:style>
  <w:style w:type="paragraph" w:styleId="List3">
    <w:name w:val="List 3"/>
    <w:basedOn w:val="Normal"/>
    <w:uiPriority w:val="99"/>
    <w:semiHidden/>
    <w:unhideWhenUsed/>
    <w:rsid w:val="00E13460"/>
    <w:pPr>
      <w:ind w:left="849" w:hanging="283"/>
      <w:contextualSpacing/>
    </w:pPr>
  </w:style>
  <w:style w:type="paragraph" w:styleId="List4">
    <w:name w:val="List 4"/>
    <w:basedOn w:val="Normal"/>
    <w:uiPriority w:val="99"/>
    <w:semiHidden/>
    <w:unhideWhenUsed/>
    <w:rsid w:val="00E13460"/>
    <w:pPr>
      <w:ind w:left="1132" w:hanging="283"/>
      <w:contextualSpacing/>
    </w:pPr>
  </w:style>
  <w:style w:type="paragraph" w:styleId="List5">
    <w:name w:val="List 5"/>
    <w:basedOn w:val="Normal"/>
    <w:uiPriority w:val="99"/>
    <w:semiHidden/>
    <w:unhideWhenUsed/>
    <w:rsid w:val="00E13460"/>
    <w:pPr>
      <w:ind w:left="1415" w:hanging="283"/>
      <w:contextualSpacing/>
    </w:pPr>
  </w:style>
  <w:style w:type="paragraph" w:styleId="ListBullet">
    <w:name w:val="List Bullet"/>
    <w:basedOn w:val="Normal"/>
    <w:uiPriority w:val="99"/>
    <w:semiHidden/>
    <w:unhideWhenUsed/>
    <w:rsid w:val="00E13460"/>
    <w:pPr>
      <w:numPr>
        <w:numId w:val="16"/>
      </w:numPr>
      <w:contextualSpacing/>
    </w:pPr>
  </w:style>
  <w:style w:type="paragraph" w:styleId="ListBullet2">
    <w:name w:val="List Bullet 2"/>
    <w:basedOn w:val="Normal"/>
    <w:uiPriority w:val="99"/>
    <w:semiHidden/>
    <w:unhideWhenUsed/>
    <w:rsid w:val="00E13460"/>
    <w:pPr>
      <w:numPr>
        <w:numId w:val="17"/>
      </w:numPr>
      <w:contextualSpacing/>
    </w:pPr>
  </w:style>
  <w:style w:type="paragraph" w:styleId="ListBullet3">
    <w:name w:val="List Bullet 3"/>
    <w:basedOn w:val="Normal"/>
    <w:uiPriority w:val="99"/>
    <w:semiHidden/>
    <w:unhideWhenUsed/>
    <w:rsid w:val="00E13460"/>
    <w:pPr>
      <w:numPr>
        <w:numId w:val="18"/>
      </w:numPr>
      <w:contextualSpacing/>
    </w:pPr>
  </w:style>
  <w:style w:type="paragraph" w:styleId="ListBullet4">
    <w:name w:val="List Bullet 4"/>
    <w:basedOn w:val="Normal"/>
    <w:uiPriority w:val="99"/>
    <w:semiHidden/>
    <w:unhideWhenUsed/>
    <w:rsid w:val="00E13460"/>
    <w:pPr>
      <w:numPr>
        <w:numId w:val="19"/>
      </w:numPr>
      <w:contextualSpacing/>
    </w:pPr>
  </w:style>
  <w:style w:type="paragraph" w:styleId="ListBullet5">
    <w:name w:val="List Bullet 5"/>
    <w:basedOn w:val="Normal"/>
    <w:uiPriority w:val="99"/>
    <w:semiHidden/>
    <w:unhideWhenUsed/>
    <w:rsid w:val="00E13460"/>
    <w:pPr>
      <w:numPr>
        <w:numId w:val="20"/>
      </w:numPr>
      <w:contextualSpacing/>
    </w:pPr>
  </w:style>
  <w:style w:type="paragraph" w:styleId="ListContinue">
    <w:name w:val="List Continue"/>
    <w:basedOn w:val="Normal"/>
    <w:uiPriority w:val="99"/>
    <w:semiHidden/>
    <w:unhideWhenUsed/>
    <w:rsid w:val="00E13460"/>
    <w:pPr>
      <w:ind w:left="283"/>
      <w:contextualSpacing/>
    </w:pPr>
  </w:style>
  <w:style w:type="paragraph" w:styleId="ListContinue2">
    <w:name w:val="List Continue 2"/>
    <w:basedOn w:val="Normal"/>
    <w:uiPriority w:val="99"/>
    <w:semiHidden/>
    <w:unhideWhenUsed/>
    <w:rsid w:val="00E13460"/>
    <w:pPr>
      <w:ind w:left="566"/>
      <w:contextualSpacing/>
    </w:pPr>
  </w:style>
  <w:style w:type="paragraph" w:styleId="ListContinue3">
    <w:name w:val="List Continue 3"/>
    <w:basedOn w:val="Normal"/>
    <w:uiPriority w:val="99"/>
    <w:semiHidden/>
    <w:unhideWhenUsed/>
    <w:rsid w:val="00E13460"/>
    <w:pPr>
      <w:ind w:left="849"/>
      <w:contextualSpacing/>
    </w:pPr>
  </w:style>
  <w:style w:type="paragraph" w:styleId="ListContinue4">
    <w:name w:val="List Continue 4"/>
    <w:basedOn w:val="Normal"/>
    <w:uiPriority w:val="99"/>
    <w:semiHidden/>
    <w:unhideWhenUsed/>
    <w:rsid w:val="00E13460"/>
    <w:pPr>
      <w:ind w:left="1132"/>
      <w:contextualSpacing/>
    </w:pPr>
  </w:style>
  <w:style w:type="paragraph" w:styleId="ListContinue5">
    <w:name w:val="List Continue 5"/>
    <w:basedOn w:val="Normal"/>
    <w:uiPriority w:val="99"/>
    <w:semiHidden/>
    <w:unhideWhenUsed/>
    <w:rsid w:val="00E13460"/>
    <w:pPr>
      <w:ind w:left="1415"/>
      <w:contextualSpacing/>
    </w:pPr>
  </w:style>
  <w:style w:type="paragraph" w:styleId="ListNumber">
    <w:name w:val="List Number"/>
    <w:basedOn w:val="Normal"/>
    <w:uiPriority w:val="99"/>
    <w:semiHidden/>
    <w:unhideWhenUsed/>
    <w:rsid w:val="00E13460"/>
    <w:pPr>
      <w:numPr>
        <w:numId w:val="21"/>
      </w:numPr>
      <w:contextualSpacing/>
    </w:pPr>
  </w:style>
  <w:style w:type="paragraph" w:styleId="ListNumber2">
    <w:name w:val="List Number 2"/>
    <w:basedOn w:val="Normal"/>
    <w:uiPriority w:val="99"/>
    <w:semiHidden/>
    <w:unhideWhenUsed/>
    <w:rsid w:val="00E13460"/>
    <w:pPr>
      <w:numPr>
        <w:numId w:val="22"/>
      </w:numPr>
      <w:contextualSpacing/>
    </w:pPr>
  </w:style>
  <w:style w:type="paragraph" w:styleId="ListNumber3">
    <w:name w:val="List Number 3"/>
    <w:basedOn w:val="Normal"/>
    <w:uiPriority w:val="99"/>
    <w:semiHidden/>
    <w:unhideWhenUsed/>
    <w:rsid w:val="00E13460"/>
    <w:pPr>
      <w:numPr>
        <w:numId w:val="23"/>
      </w:numPr>
      <w:contextualSpacing/>
    </w:pPr>
  </w:style>
  <w:style w:type="paragraph" w:styleId="ListNumber4">
    <w:name w:val="List Number 4"/>
    <w:basedOn w:val="Normal"/>
    <w:uiPriority w:val="99"/>
    <w:semiHidden/>
    <w:unhideWhenUsed/>
    <w:rsid w:val="00E13460"/>
    <w:pPr>
      <w:numPr>
        <w:numId w:val="24"/>
      </w:numPr>
      <w:contextualSpacing/>
    </w:pPr>
  </w:style>
  <w:style w:type="paragraph" w:styleId="ListNumber5">
    <w:name w:val="List Number 5"/>
    <w:basedOn w:val="Normal"/>
    <w:uiPriority w:val="99"/>
    <w:semiHidden/>
    <w:unhideWhenUsed/>
    <w:rsid w:val="00E13460"/>
    <w:pPr>
      <w:numPr>
        <w:numId w:val="25"/>
      </w:numPr>
      <w:contextualSpacing/>
    </w:pPr>
  </w:style>
  <w:style w:type="paragraph" w:styleId="MacroText">
    <w:name w:val="macro"/>
    <w:link w:val="MacroTextChar"/>
    <w:uiPriority w:val="99"/>
    <w:semiHidden/>
    <w:unhideWhenUsed/>
    <w:rsid w:val="00E1346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E13460"/>
    <w:rPr>
      <w:rFonts w:ascii="Consolas" w:hAnsi="Consolas"/>
      <w:sz w:val="20"/>
      <w:szCs w:val="20"/>
      <w:lang w:val="en-AU"/>
    </w:rPr>
  </w:style>
  <w:style w:type="paragraph" w:styleId="MessageHeader">
    <w:name w:val="Message Header"/>
    <w:basedOn w:val="Normal"/>
    <w:link w:val="MessageHeaderChar"/>
    <w:uiPriority w:val="99"/>
    <w:semiHidden/>
    <w:unhideWhenUsed/>
    <w:rsid w:val="00E1346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13460"/>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E13460"/>
    <w:pPr>
      <w:spacing w:after="0" w:line="240" w:lineRule="auto"/>
    </w:pPr>
    <w:rPr>
      <w:rFonts w:ascii="Segoe UI" w:hAnsi="Segoe UI"/>
      <w:sz w:val="19"/>
      <w:lang w:val="en-AU"/>
    </w:rPr>
  </w:style>
  <w:style w:type="paragraph" w:styleId="NormalIndent">
    <w:name w:val="Normal Indent"/>
    <w:basedOn w:val="Normal"/>
    <w:uiPriority w:val="99"/>
    <w:semiHidden/>
    <w:unhideWhenUsed/>
    <w:rsid w:val="00E13460"/>
    <w:pPr>
      <w:ind w:left="720"/>
    </w:pPr>
  </w:style>
  <w:style w:type="paragraph" w:styleId="NoteHeading">
    <w:name w:val="Note Heading"/>
    <w:basedOn w:val="Normal"/>
    <w:next w:val="Normal"/>
    <w:link w:val="NoteHeadingChar"/>
    <w:uiPriority w:val="99"/>
    <w:semiHidden/>
    <w:unhideWhenUsed/>
    <w:rsid w:val="00E13460"/>
    <w:pPr>
      <w:spacing w:after="0"/>
    </w:pPr>
  </w:style>
  <w:style w:type="character" w:customStyle="1" w:styleId="NoteHeadingChar">
    <w:name w:val="Note Heading Char"/>
    <w:basedOn w:val="DefaultParagraphFont"/>
    <w:link w:val="NoteHeading"/>
    <w:uiPriority w:val="99"/>
    <w:semiHidden/>
    <w:rsid w:val="00E13460"/>
    <w:rPr>
      <w:rFonts w:ascii="Segoe UI" w:hAnsi="Segoe UI"/>
      <w:sz w:val="19"/>
      <w:lang w:val="en-AU"/>
    </w:rPr>
  </w:style>
  <w:style w:type="paragraph" w:styleId="PlainText">
    <w:name w:val="Plain Text"/>
    <w:basedOn w:val="Normal"/>
    <w:link w:val="PlainTextChar"/>
    <w:uiPriority w:val="99"/>
    <w:semiHidden/>
    <w:unhideWhenUsed/>
    <w:rsid w:val="00E13460"/>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E13460"/>
    <w:rPr>
      <w:rFonts w:ascii="Consolas" w:hAnsi="Consolas"/>
      <w:sz w:val="21"/>
      <w:szCs w:val="21"/>
      <w:lang w:val="en-AU"/>
    </w:rPr>
  </w:style>
  <w:style w:type="paragraph" w:styleId="Quote">
    <w:name w:val="Quote"/>
    <w:basedOn w:val="Normal"/>
    <w:next w:val="Normal"/>
    <w:link w:val="QuoteChar"/>
    <w:uiPriority w:val="29"/>
    <w:rsid w:val="00E1346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13460"/>
    <w:rPr>
      <w:rFonts w:ascii="Segoe UI" w:hAnsi="Segoe UI"/>
      <w:i/>
      <w:iCs/>
      <w:color w:val="404040" w:themeColor="text1" w:themeTint="BF"/>
      <w:sz w:val="19"/>
      <w:lang w:val="en-AU"/>
    </w:rPr>
  </w:style>
  <w:style w:type="paragraph" w:styleId="Salutation">
    <w:name w:val="Salutation"/>
    <w:basedOn w:val="Normal"/>
    <w:next w:val="Normal"/>
    <w:link w:val="SalutationChar"/>
    <w:uiPriority w:val="99"/>
    <w:semiHidden/>
    <w:unhideWhenUsed/>
    <w:rsid w:val="00E13460"/>
  </w:style>
  <w:style w:type="character" w:customStyle="1" w:styleId="SalutationChar">
    <w:name w:val="Salutation Char"/>
    <w:basedOn w:val="DefaultParagraphFont"/>
    <w:link w:val="Salutation"/>
    <w:uiPriority w:val="99"/>
    <w:semiHidden/>
    <w:rsid w:val="00E13460"/>
    <w:rPr>
      <w:rFonts w:ascii="Segoe UI" w:hAnsi="Segoe UI"/>
      <w:sz w:val="19"/>
      <w:lang w:val="en-AU"/>
    </w:rPr>
  </w:style>
  <w:style w:type="paragraph" w:styleId="Signature">
    <w:name w:val="Signature"/>
    <w:basedOn w:val="Normal"/>
    <w:link w:val="SignatureChar"/>
    <w:uiPriority w:val="99"/>
    <w:semiHidden/>
    <w:unhideWhenUsed/>
    <w:rsid w:val="00E13460"/>
    <w:pPr>
      <w:spacing w:after="0"/>
      <w:ind w:left="4252"/>
    </w:pPr>
  </w:style>
  <w:style w:type="character" w:customStyle="1" w:styleId="SignatureChar">
    <w:name w:val="Signature Char"/>
    <w:basedOn w:val="DefaultParagraphFont"/>
    <w:link w:val="Signature"/>
    <w:uiPriority w:val="99"/>
    <w:semiHidden/>
    <w:rsid w:val="00E13460"/>
    <w:rPr>
      <w:rFonts w:ascii="Segoe UI" w:hAnsi="Segoe UI"/>
      <w:sz w:val="19"/>
      <w:lang w:val="en-AU"/>
    </w:rPr>
  </w:style>
  <w:style w:type="paragraph" w:styleId="Subtitle">
    <w:name w:val="Subtitle"/>
    <w:basedOn w:val="Normal"/>
    <w:next w:val="Normal"/>
    <w:link w:val="SubtitleChar"/>
    <w:uiPriority w:val="11"/>
    <w:rsid w:val="00E13460"/>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E13460"/>
    <w:rPr>
      <w:rFonts w:eastAsiaTheme="minorEastAsia"/>
      <w:color w:val="5A5A5A" w:themeColor="text1" w:themeTint="A5"/>
      <w:spacing w:val="15"/>
      <w:lang w:val="en-AU"/>
    </w:rPr>
  </w:style>
  <w:style w:type="paragraph" w:styleId="TableofAuthorities">
    <w:name w:val="table of authorities"/>
    <w:basedOn w:val="Normal"/>
    <w:next w:val="Normal"/>
    <w:uiPriority w:val="99"/>
    <w:semiHidden/>
    <w:unhideWhenUsed/>
    <w:rsid w:val="00E13460"/>
    <w:pPr>
      <w:spacing w:after="0"/>
      <w:ind w:left="190" w:hanging="190"/>
    </w:pPr>
  </w:style>
  <w:style w:type="paragraph" w:styleId="TableofFigures">
    <w:name w:val="table of figures"/>
    <w:basedOn w:val="Normal"/>
    <w:next w:val="Normal"/>
    <w:uiPriority w:val="99"/>
    <w:semiHidden/>
    <w:unhideWhenUsed/>
    <w:rsid w:val="00E13460"/>
    <w:pPr>
      <w:spacing w:after="0"/>
    </w:pPr>
  </w:style>
  <w:style w:type="paragraph" w:styleId="Title">
    <w:name w:val="Title"/>
    <w:basedOn w:val="Normal"/>
    <w:next w:val="Normal"/>
    <w:link w:val="TitleChar"/>
    <w:uiPriority w:val="10"/>
    <w:rsid w:val="00E1346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3460"/>
    <w:rPr>
      <w:rFonts w:asciiTheme="majorHAnsi" w:eastAsiaTheme="majorEastAsia" w:hAnsiTheme="majorHAnsi" w:cstheme="majorBidi"/>
      <w:spacing w:val="-10"/>
      <w:kern w:val="28"/>
      <w:sz w:val="56"/>
      <w:szCs w:val="56"/>
      <w:lang w:val="en-AU"/>
    </w:rPr>
  </w:style>
  <w:style w:type="paragraph" w:styleId="TOAHeading">
    <w:name w:val="toa heading"/>
    <w:basedOn w:val="Normal"/>
    <w:next w:val="Normal"/>
    <w:uiPriority w:val="99"/>
    <w:semiHidden/>
    <w:unhideWhenUsed/>
    <w:rsid w:val="00E13460"/>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E13460"/>
    <w:pPr>
      <w:spacing w:after="100"/>
      <w:ind w:left="570"/>
    </w:pPr>
  </w:style>
  <w:style w:type="paragraph" w:styleId="TOC5">
    <w:name w:val="toc 5"/>
    <w:basedOn w:val="Normal"/>
    <w:next w:val="Normal"/>
    <w:autoRedefine/>
    <w:uiPriority w:val="39"/>
    <w:semiHidden/>
    <w:unhideWhenUsed/>
    <w:rsid w:val="00E13460"/>
    <w:pPr>
      <w:spacing w:after="100"/>
      <w:ind w:left="760"/>
    </w:pPr>
  </w:style>
  <w:style w:type="paragraph" w:styleId="TOC6">
    <w:name w:val="toc 6"/>
    <w:basedOn w:val="Normal"/>
    <w:next w:val="Normal"/>
    <w:autoRedefine/>
    <w:uiPriority w:val="39"/>
    <w:semiHidden/>
    <w:unhideWhenUsed/>
    <w:rsid w:val="00E13460"/>
    <w:pPr>
      <w:spacing w:after="100"/>
      <w:ind w:left="950"/>
    </w:pPr>
  </w:style>
  <w:style w:type="paragraph" w:styleId="TOC7">
    <w:name w:val="toc 7"/>
    <w:basedOn w:val="Normal"/>
    <w:next w:val="Normal"/>
    <w:autoRedefine/>
    <w:uiPriority w:val="39"/>
    <w:semiHidden/>
    <w:unhideWhenUsed/>
    <w:rsid w:val="00E13460"/>
    <w:pPr>
      <w:spacing w:after="100"/>
      <w:ind w:left="1140"/>
    </w:pPr>
  </w:style>
  <w:style w:type="paragraph" w:styleId="TOC8">
    <w:name w:val="toc 8"/>
    <w:basedOn w:val="Normal"/>
    <w:next w:val="Normal"/>
    <w:autoRedefine/>
    <w:uiPriority w:val="39"/>
    <w:semiHidden/>
    <w:unhideWhenUsed/>
    <w:rsid w:val="00E13460"/>
    <w:pPr>
      <w:spacing w:after="100"/>
      <w:ind w:left="1330"/>
    </w:pPr>
  </w:style>
  <w:style w:type="paragraph" w:styleId="TOC9">
    <w:name w:val="toc 9"/>
    <w:basedOn w:val="Normal"/>
    <w:next w:val="Normal"/>
    <w:autoRedefine/>
    <w:uiPriority w:val="39"/>
    <w:semiHidden/>
    <w:unhideWhenUsed/>
    <w:rsid w:val="00E13460"/>
    <w:pPr>
      <w:spacing w:after="100"/>
      <w:ind w:left="15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5085">
      <w:bodyDiv w:val="1"/>
      <w:marLeft w:val="0"/>
      <w:marRight w:val="0"/>
      <w:marTop w:val="0"/>
      <w:marBottom w:val="0"/>
      <w:divBdr>
        <w:top w:val="none" w:sz="0" w:space="0" w:color="auto"/>
        <w:left w:val="none" w:sz="0" w:space="0" w:color="auto"/>
        <w:bottom w:val="none" w:sz="0" w:space="0" w:color="auto"/>
        <w:right w:val="none" w:sz="0" w:space="0" w:color="auto"/>
      </w:divBdr>
    </w:div>
    <w:div w:id="419107127">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998191403">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36585338">
      <w:bodyDiv w:val="1"/>
      <w:marLeft w:val="0"/>
      <w:marRight w:val="0"/>
      <w:marTop w:val="0"/>
      <w:marBottom w:val="0"/>
      <w:divBdr>
        <w:top w:val="none" w:sz="0" w:space="0" w:color="auto"/>
        <w:left w:val="none" w:sz="0" w:space="0" w:color="auto"/>
        <w:bottom w:val="none" w:sz="0" w:space="0" w:color="auto"/>
        <w:right w:val="none" w:sz="0" w:space="0" w:color="auto"/>
      </w:divBdr>
    </w:div>
    <w:div w:id="1221555936">
      <w:bodyDiv w:val="1"/>
      <w:marLeft w:val="0"/>
      <w:marRight w:val="0"/>
      <w:marTop w:val="0"/>
      <w:marBottom w:val="0"/>
      <w:divBdr>
        <w:top w:val="none" w:sz="0" w:space="0" w:color="auto"/>
        <w:left w:val="none" w:sz="0" w:space="0" w:color="auto"/>
        <w:bottom w:val="none" w:sz="0" w:space="0" w:color="auto"/>
        <w:right w:val="none" w:sz="0" w:space="0" w:color="auto"/>
      </w:divBdr>
    </w:div>
    <w:div w:id="1543636074">
      <w:bodyDiv w:val="1"/>
      <w:marLeft w:val="0"/>
      <w:marRight w:val="0"/>
      <w:marTop w:val="0"/>
      <w:marBottom w:val="0"/>
      <w:divBdr>
        <w:top w:val="none" w:sz="0" w:space="0" w:color="auto"/>
        <w:left w:val="none" w:sz="0" w:space="0" w:color="auto"/>
        <w:bottom w:val="none" w:sz="0" w:space="0" w:color="auto"/>
        <w:right w:val="none" w:sz="0" w:space="0" w:color="auto"/>
      </w:divBdr>
    </w:div>
    <w:div w:id="1561134644">
      <w:bodyDiv w:val="1"/>
      <w:marLeft w:val="0"/>
      <w:marRight w:val="0"/>
      <w:marTop w:val="0"/>
      <w:marBottom w:val="0"/>
      <w:divBdr>
        <w:top w:val="none" w:sz="0" w:space="0" w:color="auto"/>
        <w:left w:val="none" w:sz="0" w:space="0" w:color="auto"/>
        <w:bottom w:val="none" w:sz="0" w:space="0" w:color="auto"/>
        <w:right w:val="none" w:sz="0" w:space="0" w:color="auto"/>
      </w:divBdr>
    </w:div>
    <w:div w:id="1664118937">
      <w:bodyDiv w:val="1"/>
      <w:marLeft w:val="0"/>
      <w:marRight w:val="0"/>
      <w:marTop w:val="0"/>
      <w:marBottom w:val="0"/>
      <w:divBdr>
        <w:top w:val="none" w:sz="0" w:space="0" w:color="auto"/>
        <w:left w:val="none" w:sz="0" w:space="0" w:color="auto"/>
        <w:bottom w:val="none" w:sz="0" w:space="0" w:color="auto"/>
        <w:right w:val="none" w:sz="0" w:space="0" w:color="auto"/>
      </w:divBdr>
    </w:div>
    <w:div w:id="183529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www.arcgis.com/home/webmap/viewer.html?url=https://services2.arcgis.com/rzk7fNEt0xoEp3cX/ArcGIS/rest/services/NNTT_Custodial_AGOL/FeatureServer/6&amp;source=s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a:solidFill>
            <a:schemeClr val="accent3"/>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25400">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2020-06-01T00:00:00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ShareHubID xmlns="166541c0-0594-4e6a-9105-c24d4b6de6f7">DOC22-48342</ShareHubID>
    <TaxCatchAll xmlns="166541c0-0594-4e6a-9105-c24d4b6de6f7">
      <Value>18</Value>
      <Value>29</Value>
      <Value>57</Value>
    </TaxCatchAll>
    <PMCNotes xmlns="166541c0-0594-4e6a-9105-c24d4b6de6f7" xsi:nil="true"/>
    <NonRecordJustification xmlns="685f9fda-bd71-4433-b331-92feb9553089">None</NonRecordJustification>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3.xml><?xml version="1.0" encoding="utf-8"?>
<ds:datastoreItem xmlns:ds="http://schemas.openxmlformats.org/officeDocument/2006/customXml" ds:itemID="{08231EA8-6D27-4A34-BC9D-4B378A7C7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B462EA-10A7-4754-94DC-A6846B7C0C55}">
  <ds:schemaRef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685f9fda-bd71-4433-b331-92feb9553089"/>
    <ds:schemaRef ds:uri="166541c0-0594-4e6a-9105-c24d4b6de6f7"/>
    <ds:schemaRef ds:uri="http://www.w3.org/XML/1998/namespace"/>
    <ds:schemaRef ds:uri="http://purl.org/dc/terms/"/>
  </ds:schemaRefs>
</ds:datastoreItem>
</file>

<file path=customXml/itemProps5.xml><?xml version="1.0" encoding="utf-8"?>
<ds:datastoreItem xmlns:ds="http://schemas.openxmlformats.org/officeDocument/2006/customXml" ds:itemID="{92B0504A-8EAE-463B-AF58-DE03921A2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23</Pages>
  <Words>6173</Words>
  <Characters>36194</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Review of Performance as a Native Title Service Provider: First Nations Legal and Research Services</vt:lpstr>
    </vt:vector>
  </TitlesOfParts>
  <Company>The Nous Group</Company>
  <LinksUpToDate>false</LinksUpToDate>
  <CharactersWithSpaces>42283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Performance as a Native Title Service Provider: First Nations Legal and Research Services</dc:title>
  <dc:subject>Summary Report</dc:subject>
  <dc:creator>Nicholas Dillon</dc:creator>
  <cp:keywords/>
  <cp:lastModifiedBy>NTFM</cp:lastModifiedBy>
  <cp:revision>41</cp:revision>
  <cp:lastPrinted>2021-03-30T21:19:00Z</cp:lastPrinted>
  <dcterms:created xsi:type="dcterms:W3CDTF">2020-09-09T00:32:00Z</dcterms:created>
  <dcterms:modified xsi:type="dcterms:W3CDTF">2022-02-08T02:45:00Z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Doc type - level 2">
    <vt:lpwstr/>
  </property>
  <property fmtid="{D5CDD505-2E9C-101B-9397-08002B2CF9AE}" pid="4" name="Project doc type">
    <vt:lpwstr>36;#Reports|2362088c-9416-420b-887a-88c6ccd422fb</vt:lpwstr>
  </property>
  <property fmtid="{D5CDD505-2E9C-101B-9397-08002B2CF9AE}" pid="5" name="HPRMSecurityLevel">
    <vt:lpwstr>57;#OFFICIAL|11463c70-78df-4e3b-b0ff-f66cd3cb26ec</vt:lpwstr>
  </property>
  <property fmtid="{D5CDD505-2E9C-101B-9397-08002B2CF9AE}" pid="6" name="ESearchTags">
    <vt:lpwstr>29;#Training|2f396fb6-baad-479d-8254-1550153bbe31;#18;#Cabinet|84cba657-17c1-4642-9e59-a0df180c2be5</vt:lpwstr>
  </property>
  <property fmtid="{D5CDD505-2E9C-101B-9397-08002B2CF9AE}" pid="7" name="PMC.ESearch.TagGeneratedTime">
    <vt:lpwstr>2022-03-01T09:52:41</vt:lpwstr>
  </property>
  <property fmtid="{D5CDD505-2E9C-101B-9397-08002B2CF9AE}" pid="8" name="HPRMSecurityCaveat">
    <vt:lpwstr/>
  </property>
</Properties>
</file>