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ABF" w:rsidRPr="00C13FDF" w:rsidRDefault="00E352FF" w:rsidP="00C13FDF">
      <w:pPr>
        <w:pStyle w:val="Heading1"/>
      </w:pPr>
      <w:r w:rsidRPr="00C13FDF">
        <w:t>CLOSING</w:t>
      </w:r>
      <w:r w:rsidR="00A244CC" w:rsidRPr="00C13FDF">
        <w:t xml:space="preserve"> </w:t>
      </w:r>
      <w:r w:rsidRPr="00C13FDF">
        <w:t>THE</w:t>
      </w:r>
      <w:r w:rsidR="00A244CC" w:rsidRPr="00C13FDF">
        <w:t xml:space="preserve"> </w:t>
      </w:r>
      <w:r w:rsidRPr="00C13FDF">
        <w:t xml:space="preserve"> </w:t>
      </w:r>
      <w:r w:rsidR="00A244CC" w:rsidRPr="00C13FDF">
        <w:t xml:space="preserve"> </w:t>
      </w:r>
      <w:r w:rsidRPr="00C13FDF">
        <w:t>GAP</w:t>
      </w:r>
      <w:r w:rsidR="006B7C7E" w:rsidRPr="00C13FDF">
        <w:t xml:space="preserve"> </w:t>
      </w:r>
      <w:r w:rsidRPr="00C13FDF">
        <w:t>RETROSPECTIVE REVIEW</w:t>
      </w:r>
    </w:p>
    <w:p w:rsidR="00580ABF" w:rsidRDefault="00C13FDF" w:rsidP="00A244CC">
      <w:pPr>
        <w:ind w:firstLine="720"/>
      </w:pPr>
      <w:r>
        <w:t xml:space="preserve">   </w:t>
      </w:r>
      <w:r w:rsidR="00E352FF">
        <w:t>MARCH 2018</w:t>
      </w:r>
    </w:p>
    <w:p w:rsidR="00580ABF" w:rsidRDefault="00580ABF">
      <w:pPr>
        <w:spacing w:line="201" w:lineRule="exact"/>
        <w:rPr>
          <w:sz w:val="24"/>
        </w:rPr>
        <w:sectPr w:rsidR="00580ABF">
          <w:type w:val="continuous"/>
          <w:pgSz w:w="11910" w:h="16840"/>
          <w:pgMar w:top="1580" w:right="180" w:bottom="280" w:left="420" w:header="720" w:footer="720" w:gutter="0"/>
          <w:cols w:space="720"/>
        </w:sectPr>
      </w:pPr>
      <w:bookmarkStart w:id="0" w:name="_GoBack"/>
      <w:bookmarkEnd w:id="0"/>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Closing the Gap Retrospective Review</w:t>
      </w:r>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2019</w:t>
      </w:r>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ISBN 978-1-925364-01-9</w:t>
      </w:r>
      <w:r>
        <w:rPr>
          <w:color w:val="000000"/>
          <w:lang w:val="en-US"/>
        </w:rPr>
        <w:t xml:space="preserve"> </w:t>
      </w:r>
      <w:r>
        <w:rPr>
          <w:rFonts w:ascii="Arial" w:hAnsi="Arial" w:cs="Arial"/>
          <w:color w:val="2C2B2B"/>
          <w:sz w:val="18"/>
          <w:szCs w:val="18"/>
          <w:lang w:val="en-US"/>
        </w:rPr>
        <w:t>Closing the Gap Retrospective Review (online)</w:t>
      </w:r>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Copyright Notice</w:t>
      </w:r>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xml:space="preserve">This work is licensed under a Creative Commons Attribution 4.0 International licence (CC BY 4.0)( </w:t>
      </w:r>
      <w:hyperlink r:id="rId11" w:history="1">
        <w:r>
          <w:rPr>
            <w:rStyle w:val="Hyperlink"/>
            <w:rFonts w:ascii="Arial" w:hAnsi="Arial" w:cs="Arial"/>
            <w:sz w:val="18"/>
            <w:szCs w:val="18"/>
            <w:lang w:val="en-US"/>
          </w:rPr>
          <w:t>https://creativecommons.org/licenses/by/4.0/</w:t>
        </w:r>
      </w:hyperlink>
      <w:r>
        <w:rPr>
          <w:rFonts w:ascii="Arial" w:hAnsi="Arial" w:cs="Arial"/>
          <w:color w:val="2C2B2B"/>
          <w:sz w:val="18"/>
          <w:szCs w:val="18"/>
          <w:lang w:val="en-US"/>
        </w:rPr>
        <w:t xml:space="preserve"> ).</w:t>
      </w:r>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Fonts w:ascii="Arial" w:hAnsi="Arial" w:cs="Arial"/>
          <w:noProof/>
          <w:color w:val="1772AF"/>
          <w:sz w:val="18"/>
          <w:szCs w:val="18"/>
        </w:rPr>
        <w:drawing>
          <wp:inline distT="0" distB="0" distL="0" distR="0" wp14:anchorId="78140446" wp14:editId="256C720E">
            <wp:extent cx="828675" cy="285750"/>
            <wp:effectExtent l="0" t="0" r="9525" b="0"/>
            <wp:docPr id="1" name="Picture 1" descr="ccb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Third party copyright</w:t>
      </w:r>
      <w:r>
        <w:rPr>
          <w:rFonts w:ascii="Arial" w:hAnsi="Arial" w:cs="Arial"/>
          <w:b/>
          <w:bCs/>
          <w:color w:val="2C2B2B"/>
          <w:sz w:val="18"/>
          <w:szCs w:val="18"/>
          <w:lang w:val="en-US"/>
        </w:rPr>
        <w:br/>
      </w:r>
      <w:r>
        <w:rPr>
          <w:rFonts w:ascii="Arial" w:hAnsi="Arial" w:cs="Arial"/>
          <w:color w:val="2C2B2B"/>
          <w:sz w:val="18"/>
          <w:szCs w:val="18"/>
          <w:lang w:val="en-US"/>
        </w:rPr>
        <w:t>Wherever a third party holds copyright in this material, the copyright remains with that party.  Their permission may be required to use the material. Please contact them directly.</w:t>
      </w:r>
    </w:p>
    <w:p w:rsidR="00EB399A" w:rsidRDefault="00EB399A" w:rsidP="00EB399A">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Attribution</w:t>
      </w:r>
      <w:r>
        <w:rPr>
          <w:rFonts w:ascii="Arial" w:hAnsi="Arial" w:cs="Arial"/>
          <w:b/>
          <w:bCs/>
          <w:color w:val="2C2B2B"/>
          <w:sz w:val="18"/>
          <w:szCs w:val="18"/>
          <w:lang w:val="en-US"/>
        </w:rPr>
        <w:br/>
      </w:r>
      <w:r>
        <w:rPr>
          <w:rFonts w:ascii="Arial" w:hAnsi="Arial" w:cs="Arial"/>
          <w:color w:val="2C2B2B"/>
          <w:sz w:val="18"/>
          <w:szCs w:val="18"/>
          <w:lang w:val="en-US"/>
        </w:rPr>
        <w:t>This publication should be attributed as follows:</w:t>
      </w:r>
    </w:p>
    <w:p w:rsidR="00C37933" w:rsidRPr="00EB399A" w:rsidRDefault="00EB399A" w:rsidP="00EB399A">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Department of the Prime Minister and Cabinet,</w:t>
      </w:r>
      <w:r>
        <w:rPr>
          <w:rStyle w:val="Emphasis"/>
          <w:rFonts w:ascii="Arial" w:hAnsi="Arial" w:cs="Arial"/>
          <w:color w:val="2C2B2B"/>
          <w:sz w:val="18"/>
          <w:szCs w:val="18"/>
          <w:lang w:val="en-US"/>
        </w:rPr>
        <w:t xml:space="preserve"> Closing the Gap Retrospective Review</w:t>
      </w:r>
    </w:p>
    <w:p w:rsidR="00580ABF" w:rsidRDefault="00E352FF" w:rsidP="00017DFD">
      <w:pPr>
        <w:pStyle w:val="Heading2"/>
      </w:pPr>
      <w:r>
        <w:t>CONTENTS</w:t>
      </w:r>
    </w:p>
    <w:sdt>
      <w:sdtPr>
        <w:id w:val="-801223329"/>
        <w:docPartObj>
          <w:docPartGallery w:val="Table of Contents"/>
          <w:docPartUnique/>
        </w:docPartObj>
      </w:sdtPr>
      <w:sdtEndPr/>
      <w:sdtContent>
        <w:p w:rsidR="00580ABF" w:rsidRDefault="00C13FDF">
          <w:pPr>
            <w:pStyle w:val="TOC2"/>
            <w:tabs>
              <w:tab w:val="right" w:leader="dot" w:pos="8491"/>
            </w:tabs>
            <w:spacing w:before="266"/>
          </w:pPr>
          <w:hyperlink w:anchor="_bookmark0" w:history="1">
            <w:r w:rsidR="00E352FF">
              <w:rPr>
                <w:color w:val="414042"/>
              </w:rPr>
              <w:t>Acknowledgement</w:t>
            </w:r>
            <w:r w:rsidR="00E352FF">
              <w:rPr>
                <w:color w:val="414042"/>
              </w:rPr>
              <w:tab/>
              <w:t>3</w:t>
            </w:r>
          </w:hyperlink>
        </w:p>
        <w:p w:rsidR="00580ABF" w:rsidRDefault="00C13FDF">
          <w:pPr>
            <w:pStyle w:val="TOC2"/>
            <w:tabs>
              <w:tab w:val="right" w:leader="dot" w:pos="8491"/>
            </w:tabs>
          </w:pPr>
          <w:hyperlink w:anchor="_bookmark0" w:history="1">
            <w:r w:rsidR="00E352FF">
              <w:rPr>
                <w:color w:val="414042"/>
              </w:rPr>
              <w:t>Introduction</w:t>
            </w:r>
            <w:r w:rsidR="00E352FF">
              <w:rPr>
                <w:color w:val="414042"/>
              </w:rPr>
              <w:tab/>
              <w:t>3</w:t>
            </w:r>
          </w:hyperlink>
        </w:p>
        <w:p w:rsidR="00580ABF" w:rsidRDefault="00C13FDF">
          <w:pPr>
            <w:pStyle w:val="TOC2"/>
            <w:tabs>
              <w:tab w:val="right" w:leader="dot" w:pos="8491"/>
            </w:tabs>
          </w:pPr>
          <w:hyperlink w:anchor="_bookmark1" w:history="1">
            <w:r w:rsidR="00E352FF">
              <w:rPr>
                <w:color w:val="414042"/>
              </w:rPr>
              <w:t>Scope of</w:t>
            </w:r>
            <w:r w:rsidR="00E352FF">
              <w:rPr>
                <w:color w:val="414042"/>
                <w:spacing w:val="-3"/>
              </w:rPr>
              <w:t xml:space="preserve"> </w:t>
            </w:r>
            <w:r w:rsidR="00E352FF">
              <w:rPr>
                <w:color w:val="414042"/>
              </w:rPr>
              <w:t>the project</w:t>
            </w:r>
            <w:r w:rsidR="00E352FF">
              <w:rPr>
                <w:color w:val="414042"/>
              </w:rPr>
              <w:tab/>
              <w:t>4</w:t>
            </w:r>
          </w:hyperlink>
        </w:p>
        <w:p w:rsidR="00580ABF" w:rsidRDefault="00C13FDF">
          <w:pPr>
            <w:pStyle w:val="TOC2"/>
            <w:tabs>
              <w:tab w:val="right" w:leader="dot" w:pos="8491"/>
            </w:tabs>
            <w:spacing w:before="192"/>
          </w:pPr>
          <w:hyperlink w:anchor="_bookmark2" w:history="1">
            <w:r w:rsidR="00E352FF">
              <w:rPr>
                <w:color w:val="414042"/>
              </w:rPr>
              <w:t>Methodology</w:t>
            </w:r>
            <w:r w:rsidR="00E352FF">
              <w:rPr>
                <w:color w:val="414042"/>
              </w:rPr>
              <w:tab/>
              <w:t>5</w:t>
            </w:r>
          </w:hyperlink>
        </w:p>
        <w:p w:rsidR="00580ABF" w:rsidRDefault="00C13FDF">
          <w:pPr>
            <w:pStyle w:val="TOC2"/>
            <w:tabs>
              <w:tab w:val="right" w:leader="dot" w:pos="8491"/>
            </w:tabs>
          </w:pPr>
          <w:hyperlink w:anchor="_bookmark4" w:history="1">
            <w:r w:rsidR="00E352FF">
              <w:rPr>
                <w:color w:val="414042"/>
              </w:rPr>
              <w:t>Snapshot of</w:t>
            </w:r>
            <w:r w:rsidR="00E352FF">
              <w:rPr>
                <w:color w:val="414042"/>
                <w:spacing w:val="-3"/>
              </w:rPr>
              <w:t xml:space="preserve"> </w:t>
            </w:r>
            <w:r w:rsidR="00E352FF">
              <w:rPr>
                <w:color w:val="414042"/>
              </w:rPr>
              <w:t>the targets</w:t>
            </w:r>
          </w:hyperlink>
          <w:r w:rsidR="00E352FF">
            <w:rPr>
              <w:color w:val="414042"/>
            </w:rPr>
            <w:tab/>
            <w:t>6</w:t>
          </w:r>
        </w:p>
        <w:p w:rsidR="00580ABF" w:rsidRDefault="00C13FDF">
          <w:pPr>
            <w:pStyle w:val="TOC2"/>
            <w:tabs>
              <w:tab w:val="right" w:leader="dot" w:pos="8491"/>
            </w:tabs>
          </w:pPr>
          <w:hyperlink w:anchor="_bookmark3" w:history="1">
            <w:r w:rsidR="00E352FF">
              <w:rPr>
                <w:color w:val="414042"/>
              </w:rPr>
              <w:t>History of Closing</w:t>
            </w:r>
            <w:r w:rsidR="00E352FF">
              <w:rPr>
                <w:color w:val="414042"/>
                <w:spacing w:val="-3"/>
              </w:rPr>
              <w:t xml:space="preserve"> </w:t>
            </w:r>
            <w:r w:rsidR="00E352FF">
              <w:rPr>
                <w:color w:val="414042"/>
              </w:rPr>
              <w:t>the Gap</w:t>
            </w:r>
          </w:hyperlink>
          <w:r w:rsidR="00E352FF">
            <w:rPr>
              <w:color w:val="414042"/>
            </w:rPr>
            <w:tab/>
            <w:t>8</w:t>
          </w:r>
        </w:p>
        <w:p w:rsidR="00580ABF" w:rsidRDefault="00C13FDF">
          <w:pPr>
            <w:pStyle w:val="TOC2"/>
            <w:spacing w:line="251" w:lineRule="exact"/>
          </w:pPr>
          <w:hyperlink w:anchor="_bookmark5" w:history="1">
            <w:r w:rsidR="00E352FF">
              <w:rPr>
                <w:color w:val="414042"/>
              </w:rPr>
              <w:t>Indigenous perspectives on Closing the Gap</w:t>
            </w:r>
          </w:hyperlink>
        </w:p>
        <w:p w:rsidR="00580ABF" w:rsidRDefault="00C13FDF">
          <w:pPr>
            <w:pStyle w:val="TOC1"/>
            <w:tabs>
              <w:tab w:val="right" w:leader="dot" w:pos="8491"/>
            </w:tabs>
          </w:pPr>
          <w:hyperlink w:anchor="_bookmark5" w:history="1">
            <w:r w:rsidR="00E352FF">
              <w:rPr>
                <w:color w:val="414042"/>
              </w:rPr>
              <w:t>(findings from consultations</w:t>
            </w:r>
            <w:r w:rsidR="00E352FF">
              <w:rPr>
                <w:color w:val="414042"/>
                <w:spacing w:val="-6"/>
              </w:rPr>
              <w:t xml:space="preserve"> </w:t>
            </w:r>
            <w:r w:rsidR="00E352FF">
              <w:rPr>
                <w:color w:val="414042"/>
              </w:rPr>
              <w:t>and</w:t>
            </w:r>
            <w:r w:rsidR="00E352FF">
              <w:rPr>
                <w:color w:val="414042"/>
                <w:spacing w:val="-2"/>
              </w:rPr>
              <w:t xml:space="preserve"> </w:t>
            </w:r>
            <w:r w:rsidR="00E352FF">
              <w:rPr>
                <w:color w:val="414042"/>
              </w:rPr>
              <w:t>literature)</w:t>
            </w:r>
            <w:r w:rsidR="00E352FF">
              <w:rPr>
                <w:color w:val="414042"/>
              </w:rPr>
              <w:tab/>
              <w:t>9</w:t>
            </w:r>
          </w:hyperlink>
        </w:p>
        <w:p w:rsidR="00580ABF" w:rsidRDefault="00C13FDF">
          <w:pPr>
            <w:pStyle w:val="TOC2"/>
            <w:tabs>
              <w:tab w:val="right" w:leader="dot" w:pos="8491"/>
            </w:tabs>
            <w:spacing w:before="190"/>
          </w:pPr>
          <w:hyperlink w:anchor="_bookmark6" w:history="1">
            <w:r w:rsidR="00E352FF">
              <w:rPr>
                <w:color w:val="414042"/>
              </w:rPr>
              <w:t>Theme 1: Closing the Gap as</w:t>
            </w:r>
            <w:r w:rsidR="00E352FF">
              <w:rPr>
                <w:color w:val="414042"/>
                <w:spacing w:val="-5"/>
              </w:rPr>
              <w:t xml:space="preserve"> </w:t>
            </w:r>
            <w:r w:rsidR="00E352FF">
              <w:rPr>
                <w:color w:val="414042"/>
              </w:rPr>
              <w:t>a</w:t>
            </w:r>
            <w:r w:rsidR="00E352FF">
              <w:rPr>
                <w:color w:val="414042"/>
                <w:spacing w:val="-2"/>
              </w:rPr>
              <w:t xml:space="preserve"> </w:t>
            </w:r>
            <w:r w:rsidR="00E352FF">
              <w:rPr>
                <w:color w:val="414042"/>
              </w:rPr>
              <w:t>framework</w:t>
            </w:r>
            <w:r w:rsidR="00E352FF">
              <w:rPr>
                <w:color w:val="414042"/>
              </w:rPr>
              <w:tab/>
              <w:t>12</w:t>
            </w:r>
          </w:hyperlink>
        </w:p>
        <w:p w:rsidR="00580ABF" w:rsidRDefault="00C13FDF">
          <w:pPr>
            <w:pStyle w:val="TOC2"/>
            <w:tabs>
              <w:tab w:val="right" w:leader="dot" w:pos="8491"/>
            </w:tabs>
          </w:pPr>
          <w:hyperlink w:anchor="_bookmark7" w:history="1">
            <w:r w:rsidR="00E352FF">
              <w:rPr>
                <w:color w:val="414042"/>
              </w:rPr>
              <w:t>Theme</w:t>
            </w:r>
            <w:r w:rsidR="00E352FF">
              <w:rPr>
                <w:color w:val="414042"/>
                <w:spacing w:val="-1"/>
              </w:rPr>
              <w:t xml:space="preserve"> </w:t>
            </w:r>
            <w:r w:rsidR="00E352FF">
              <w:rPr>
                <w:color w:val="414042"/>
              </w:rPr>
              <w:t xml:space="preserve">2: </w:t>
            </w:r>
            <w:r w:rsidR="00E352FF">
              <w:rPr>
                <w:color w:val="414042"/>
                <w:spacing w:val="-4"/>
              </w:rPr>
              <w:t>Targets</w:t>
            </w:r>
            <w:r w:rsidR="00E352FF">
              <w:rPr>
                <w:color w:val="414042"/>
                <w:spacing w:val="-4"/>
              </w:rPr>
              <w:tab/>
            </w:r>
            <w:r w:rsidR="00E352FF">
              <w:rPr>
                <w:color w:val="414042"/>
              </w:rPr>
              <w:t>19</w:t>
            </w:r>
          </w:hyperlink>
        </w:p>
        <w:p w:rsidR="00580ABF" w:rsidRDefault="00C13FDF">
          <w:pPr>
            <w:pStyle w:val="TOC2"/>
            <w:tabs>
              <w:tab w:val="right" w:leader="dot" w:pos="8491"/>
            </w:tabs>
          </w:pPr>
          <w:hyperlink w:anchor="_bookmark8" w:history="1">
            <w:r w:rsidR="00E352FF">
              <w:rPr>
                <w:color w:val="414042"/>
              </w:rPr>
              <w:t>Theme</w:t>
            </w:r>
            <w:r w:rsidR="00E352FF">
              <w:rPr>
                <w:color w:val="414042"/>
                <w:spacing w:val="-2"/>
              </w:rPr>
              <w:t xml:space="preserve"> </w:t>
            </w:r>
            <w:r w:rsidR="00E352FF">
              <w:rPr>
                <w:color w:val="414042"/>
              </w:rPr>
              <w:t>3: Implementation</w:t>
            </w:r>
            <w:r w:rsidR="00E352FF">
              <w:rPr>
                <w:color w:val="414042"/>
              </w:rPr>
              <w:tab/>
              <w:t>24</w:t>
            </w:r>
          </w:hyperlink>
        </w:p>
        <w:p w:rsidR="00580ABF" w:rsidRDefault="00C13FDF">
          <w:pPr>
            <w:pStyle w:val="TOC2"/>
            <w:tabs>
              <w:tab w:val="right" w:leader="dot" w:pos="8491"/>
            </w:tabs>
          </w:pPr>
          <w:hyperlink w:anchor="_bookmark9" w:history="1">
            <w:r w:rsidR="00E352FF">
              <w:rPr>
                <w:color w:val="414042"/>
              </w:rPr>
              <w:t>Summary and</w:t>
            </w:r>
            <w:r w:rsidR="00E352FF">
              <w:rPr>
                <w:color w:val="414042"/>
                <w:spacing w:val="-2"/>
              </w:rPr>
              <w:t xml:space="preserve"> </w:t>
            </w:r>
            <w:r w:rsidR="00E352FF">
              <w:rPr>
                <w:color w:val="414042"/>
              </w:rPr>
              <w:t>concluding</w:t>
            </w:r>
            <w:r w:rsidR="00E352FF">
              <w:rPr>
                <w:color w:val="414042"/>
                <w:spacing w:val="-1"/>
              </w:rPr>
              <w:t xml:space="preserve"> </w:t>
            </w:r>
            <w:r w:rsidR="00E352FF">
              <w:rPr>
                <w:color w:val="414042"/>
              </w:rPr>
              <w:t>remarks</w:t>
            </w:r>
            <w:r w:rsidR="00E352FF">
              <w:rPr>
                <w:color w:val="414042"/>
              </w:rPr>
              <w:tab/>
              <w:t>33</w:t>
            </w:r>
          </w:hyperlink>
        </w:p>
        <w:p w:rsidR="00580ABF" w:rsidRDefault="00C13FDF">
          <w:pPr>
            <w:pStyle w:val="TOC2"/>
            <w:tabs>
              <w:tab w:val="right" w:leader="dot" w:pos="8491"/>
            </w:tabs>
          </w:pPr>
          <w:hyperlink w:anchor="_bookmark10" w:history="1">
            <w:r w:rsidR="00E352FF">
              <w:rPr>
                <w:color w:val="414042"/>
              </w:rPr>
              <w:t>References</w:t>
            </w:r>
            <w:r w:rsidR="00E352FF">
              <w:rPr>
                <w:color w:val="414042"/>
              </w:rPr>
              <w:tab/>
              <w:t>35</w:t>
            </w:r>
          </w:hyperlink>
        </w:p>
        <w:p w:rsidR="00580ABF" w:rsidRDefault="00E352FF">
          <w:pPr>
            <w:pStyle w:val="TOC2"/>
            <w:tabs>
              <w:tab w:val="right" w:leader="dot" w:pos="8491"/>
            </w:tabs>
          </w:pPr>
          <w:r>
            <w:rPr>
              <w:color w:val="414042"/>
            </w:rPr>
            <w:t>Appendix 1:</w:t>
          </w:r>
          <w:r>
            <w:rPr>
              <w:color w:val="414042"/>
              <w:spacing w:val="-1"/>
            </w:rPr>
            <w:t xml:space="preserve"> </w:t>
          </w:r>
          <w:r>
            <w:rPr>
              <w:color w:val="414042"/>
            </w:rPr>
            <w:t>Literature Review</w:t>
          </w:r>
          <w:r>
            <w:rPr>
              <w:color w:val="414042"/>
            </w:rPr>
            <w:tab/>
            <w:t>37</w:t>
          </w:r>
        </w:p>
      </w:sdtContent>
    </w:sdt>
    <w:p w:rsidR="00580ABF" w:rsidRDefault="00580ABF">
      <w:pPr>
        <w:pStyle w:val="BodyText"/>
        <w:spacing w:before="7"/>
        <w:rPr>
          <w:sz w:val="29"/>
        </w:rPr>
      </w:pPr>
    </w:p>
    <w:p w:rsidR="00580ABF" w:rsidRDefault="00580ABF">
      <w:pPr>
        <w:rPr>
          <w:sz w:val="29"/>
        </w:rPr>
      </w:pPr>
    </w:p>
    <w:p w:rsidR="00C13FDF" w:rsidRDefault="00C13FDF">
      <w:pPr>
        <w:rPr>
          <w:sz w:val="29"/>
        </w:rPr>
      </w:pPr>
    </w:p>
    <w:p w:rsidR="00C13FDF" w:rsidRDefault="00C13FDF">
      <w:pPr>
        <w:rPr>
          <w:sz w:val="29"/>
        </w:rPr>
      </w:pPr>
    </w:p>
    <w:p w:rsidR="00C13FDF" w:rsidRDefault="00C13FDF">
      <w:pPr>
        <w:rPr>
          <w:sz w:val="29"/>
        </w:rPr>
      </w:pPr>
    </w:p>
    <w:p w:rsidR="00C13FDF" w:rsidRDefault="00C13FDF">
      <w:pPr>
        <w:rPr>
          <w:sz w:val="29"/>
        </w:rPr>
      </w:pPr>
    </w:p>
    <w:p w:rsidR="00C13FDF" w:rsidRDefault="00C13FDF">
      <w:pPr>
        <w:rPr>
          <w:sz w:val="29"/>
        </w:rPr>
      </w:pPr>
    </w:p>
    <w:p w:rsidR="00C13FDF" w:rsidRDefault="00C13FDF">
      <w:pPr>
        <w:rPr>
          <w:sz w:val="29"/>
        </w:rPr>
      </w:pPr>
    </w:p>
    <w:p w:rsidR="00C13FDF" w:rsidRDefault="00C13FDF">
      <w:pPr>
        <w:rPr>
          <w:sz w:val="29"/>
        </w:rPr>
      </w:pPr>
    </w:p>
    <w:p w:rsidR="00C13FDF" w:rsidRDefault="00C13FDF">
      <w:pPr>
        <w:rPr>
          <w:sz w:val="29"/>
        </w:rPr>
      </w:pPr>
    </w:p>
    <w:p w:rsidR="00C13FDF" w:rsidRDefault="00C13FDF">
      <w:pPr>
        <w:rPr>
          <w:sz w:val="29"/>
        </w:rPr>
      </w:pPr>
    </w:p>
    <w:p w:rsidR="00FB3778" w:rsidRDefault="004D795B" w:rsidP="004D795B">
      <w:pPr>
        <w:spacing w:before="137" w:line="187" w:lineRule="auto"/>
        <w:ind w:left="4406" w:right="185"/>
        <w:rPr>
          <w:sz w:val="16"/>
        </w:rPr>
      </w:pPr>
      <w:r>
        <w:rPr>
          <w:noProof/>
          <w:sz w:val="29"/>
          <w:lang w:val="en-AU" w:eastAsia="en-AU" w:bidi="ar-SA"/>
        </w:rPr>
        <w:drawing>
          <wp:inline distT="0" distB="0" distL="0" distR="0" wp14:anchorId="73404615" wp14:editId="03CD9ACE">
            <wp:extent cx="2141220" cy="1657350"/>
            <wp:effectExtent l="0" t="0" r="0" b="0"/>
            <wp:docPr id="8" name="Picture 8" descr="The work depicts Indigenous men, women and children sitting. Joining together in yarning circles and talking. Sharing stories and Songlines, weaving culture from one generation to the next, all the while building strong healthy families and communities.&#10;" title="Artwork by Aboriginal Artist Dennis 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220" cy="1657350"/>
                    </a:xfrm>
                    <a:prstGeom prst="rect">
                      <a:avLst/>
                    </a:prstGeom>
                    <a:noFill/>
                    <a:ln>
                      <a:noFill/>
                    </a:ln>
                  </pic:spPr>
                </pic:pic>
              </a:graphicData>
            </a:graphic>
          </wp:inline>
        </w:drawing>
      </w:r>
    </w:p>
    <w:p w:rsidR="00C13FDF" w:rsidRDefault="00C13FDF" w:rsidP="004D795B">
      <w:pPr>
        <w:spacing w:before="137" w:line="187" w:lineRule="auto"/>
        <w:ind w:left="4406" w:right="185"/>
        <w:rPr>
          <w:sz w:val="16"/>
        </w:rPr>
      </w:pPr>
    </w:p>
    <w:p w:rsidR="004D795B" w:rsidRPr="004D795B" w:rsidRDefault="004D795B" w:rsidP="004D795B">
      <w:pPr>
        <w:spacing w:before="137" w:line="187" w:lineRule="auto"/>
        <w:ind w:left="4406" w:right="185"/>
        <w:rPr>
          <w:sz w:val="16"/>
        </w:rPr>
      </w:pPr>
      <w:r w:rsidRPr="004D795B">
        <w:rPr>
          <w:sz w:val="16"/>
        </w:rPr>
        <w:t>The graphic design elements are derived from this artwork</w:t>
      </w:r>
    </w:p>
    <w:p w:rsidR="004D795B" w:rsidRDefault="004D795B" w:rsidP="004D795B">
      <w:pPr>
        <w:spacing w:line="187" w:lineRule="auto"/>
        <w:ind w:left="4406" w:right="185"/>
        <w:rPr>
          <w:sz w:val="16"/>
        </w:rPr>
      </w:pPr>
      <w:r w:rsidRPr="004D795B">
        <w:rPr>
          <w:sz w:val="16"/>
        </w:rPr>
        <w:t xml:space="preserve">by Aboriginal artist Dennis Pitt. The work depicts Indigenous men, </w:t>
      </w:r>
    </w:p>
    <w:p w:rsidR="004D795B" w:rsidRDefault="004D795B" w:rsidP="004D795B">
      <w:pPr>
        <w:spacing w:line="187" w:lineRule="auto"/>
        <w:ind w:left="4406" w:right="185"/>
        <w:rPr>
          <w:sz w:val="16"/>
        </w:rPr>
      </w:pPr>
      <w:r w:rsidRPr="004D795B">
        <w:rPr>
          <w:sz w:val="16"/>
        </w:rPr>
        <w:t xml:space="preserve">women and children sitting. Joining together in yarning circles and </w:t>
      </w:r>
    </w:p>
    <w:p w:rsidR="004D795B" w:rsidRDefault="004D795B" w:rsidP="004D795B">
      <w:pPr>
        <w:spacing w:line="187" w:lineRule="auto"/>
        <w:ind w:left="4406" w:right="185"/>
        <w:rPr>
          <w:sz w:val="16"/>
        </w:rPr>
      </w:pPr>
      <w:r w:rsidRPr="004D795B">
        <w:rPr>
          <w:sz w:val="16"/>
        </w:rPr>
        <w:t>talking.</w:t>
      </w:r>
      <w:r>
        <w:rPr>
          <w:sz w:val="16"/>
        </w:rPr>
        <w:t xml:space="preserve"> </w:t>
      </w:r>
      <w:r w:rsidRPr="004D795B">
        <w:rPr>
          <w:sz w:val="16"/>
        </w:rPr>
        <w:t xml:space="preserve">Sharing stories and Songlines, weaving culture from one </w:t>
      </w:r>
    </w:p>
    <w:p w:rsidR="004D795B" w:rsidRDefault="004D795B" w:rsidP="004D795B">
      <w:pPr>
        <w:spacing w:line="187" w:lineRule="auto"/>
        <w:ind w:left="4406" w:right="185"/>
        <w:rPr>
          <w:sz w:val="16"/>
        </w:rPr>
      </w:pPr>
      <w:r w:rsidRPr="004D795B">
        <w:rPr>
          <w:sz w:val="16"/>
        </w:rPr>
        <w:t xml:space="preserve">generation to the next, all the while building strong healthy families </w:t>
      </w:r>
    </w:p>
    <w:p w:rsidR="004D795B" w:rsidRPr="004D795B" w:rsidRDefault="004D795B" w:rsidP="004D795B">
      <w:pPr>
        <w:spacing w:line="187" w:lineRule="auto"/>
        <w:ind w:left="4406" w:right="185"/>
        <w:rPr>
          <w:sz w:val="16"/>
        </w:rPr>
      </w:pPr>
      <w:r w:rsidRPr="004D795B">
        <w:rPr>
          <w:sz w:val="16"/>
        </w:rPr>
        <w:t>and communities.</w:t>
      </w:r>
    </w:p>
    <w:p w:rsidR="004D795B" w:rsidRDefault="004D795B">
      <w:pPr>
        <w:rPr>
          <w:sz w:val="29"/>
        </w:rPr>
        <w:sectPr w:rsidR="004D795B">
          <w:footerReference w:type="even" r:id="rId16"/>
          <w:footerReference w:type="default" r:id="rId17"/>
          <w:pgSz w:w="11910" w:h="16840"/>
          <w:pgMar w:top="0" w:right="180" w:bottom="380" w:left="420" w:header="0" w:footer="183" w:gutter="0"/>
          <w:pgNumType w:start="2"/>
          <w:cols w:space="720"/>
        </w:sectPr>
      </w:pPr>
    </w:p>
    <w:p w:rsidR="00580ABF" w:rsidRDefault="00580ABF">
      <w:pPr>
        <w:rPr>
          <w:sz w:val="16"/>
        </w:rPr>
        <w:sectPr w:rsidR="00580ABF">
          <w:pgSz w:w="11910" w:h="16840"/>
          <w:pgMar w:top="580" w:right="180" w:bottom="380" w:left="420" w:header="0" w:footer="183" w:gutter="0"/>
          <w:cols w:space="720"/>
        </w:sectPr>
      </w:pPr>
    </w:p>
    <w:p w:rsidR="00580ABF" w:rsidRDefault="00E352FF" w:rsidP="00A244CC">
      <w:pPr>
        <w:pStyle w:val="Heading2"/>
      </w:pPr>
      <w:bookmarkStart w:id="1" w:name="Acknowledgement"/>
      <w:bookmarkStart w:id="2" w:name="Introduction"/>
      <w:bookmarkStart w:id="3" w:name="_bookmark0"/>
      <w:bookmarkEnd w:id="1"/>
      <w:bookmarkEnd w:id="2"/>
      <w:bookmarkEnd w:id="3"/>
      <w:r>
        <w:lastRenderedPageBreak/>
        <w:t>ACKNOWLEDGEMENT</w:t>
      </w:r>
    </w:p>
    <w:p w:rsidR="00580ABF" w:rsidRDefault="00E352FF">
      <w:pPr>
        <w:pStyle w:val="BodyText"/>
        <w:spacing w:before="122" w:line="211" w:lineRule="auto"/>
        <w:ind w:left="827"/>
      </w:pPr>
      <w:r>
        <w:rPr>
          <w:color w:val="414042"/>
        </w:rPr>
        <w:t>We acknowledge all the people who contributed to this report. We especially acknowledge all the Indigenous people who spoke their stories and experiences, for themselves, their community and their futures. We also acknowledge the many non-Indigenous people who contributed.</w:t>
      </w:r>
    </w:p>
    <w:p w:rsidR="00580ABF" w:rsidRDefault="00E352FF">
      <w:pPr>
        <w:pStyle w:val="BodyText"/>
        <w:spacing w:before="108" w:line="211" w:lineRule="auto"/>
        <w:ind w:left="827" w:right="-19"/>
      </w:pPr>
      <w:r>
        <w:rPr>
          <w:color w:val="414042"/>
        </w:rPr>
        <w:t>We would like to thank our colleagues who worked on this project over the major national holiday period when workplaces and communities shut down for the year.</w:t>
      </w:r>
    </w:p>
    <w:p w:rsidR="00580ABF" w:rsidRDefault="00E352FF">
      <w:pPr>
        <w:pStyle w:val="BodyText"/>
        <w:spacing w:line="211" w:lineRule="auto"/>
        <w:ind w:left="827" w:right="15"/>
      </w:pPr>
      <w:r>
        <w:rPr>
          <w:color w:val="414042"/>
          <w:spacing w:val="-4"/>
        </w:rPr>
        <w:t xml:space="preserve">We </w:t>
      </w:r>
      <w:r>
        <w:rPr>
          <w:color w:val="414042"/>
        </w:rPr>
        <w:t xml:space="preserve">are fortunate for their connections to Indigenous communities across the country and thank them </w:t>
      </w:r>
      <w:r>
        <w:rPr>
          <w:color w:val="414042"/>
          <w:spacing w:val="-2"/>
        </w:rPr>
        <w:t xml:space="preserve">for </w:t>
      </w:r>
      <w:r>
        <w:rPr>
          <w:color w:val="414042"/>
        </w:rPr>
        <w:t xml:space="preserve">obtaining the stories that feed into this report. In writing this report we have gathered those stories into themes for re-telling. </w:t>
      </w:r>
      <w:r>
        <w:rPr>
          <w:color w:val="414042"/>
          <w:spacing w:val="-4"/>
        </w:rPr>
        <w:t xml:space="preserve">We </w:t>
      </w:r>
      <w:r>
        <w:rPr>
          <w:color w:val="414042"/>
        </w:rPr>
        <w:t xml:space="preserve">provide these findings and </w:t>
      </w:r>
      <w:r>
        <w:rPr>
          <w:color w:val="414042"/>
          <w:spacing w:val="-3"/>
        </w:rPr>
        <w:t xml:space="preserve">key </w:t>
      </w:r>
      <w:r>
        <w:rPr>
          <w:color w:val="414042"/>
        </w:rPr>
        <w:t xml:space="preserve">messages as part of this report. </w:t>
      </w:r>
      <w:r>
        <w:rPr>
          <w:color w:val="414042"/>
          <w:spacing w:val="-4"/>
        </w:rPr>
        <w:t xml:space="preserve">We </w:t>
      </w:r>
      <w:r>
        <w:rPr>
          <w:color w:val="414042"/>
        </w:rPr>
        <w:t>believe they are</w:t>
      </w:r>
      <w:r>
        <w:rPr>
          <w:color w:val="414042"/>
          <w:spacing w:val="-16"/>
        </w:rPr>
        <w:t xml:space="preserve"> </w:t>
      </w:r>
      <w:r>
        <w:rPr>
          <w:color w:val="414042"/>
        </w:rPr>
        <w:t>an</w:t>
      </w:r>
    </w:p>
    <w:p w:rsidR="00580ABF" w:rsidRDefault="00E352FF">
      <w:pPr>
        <w:pStyle w:val="BodyText"/>
        <w:spacing w:line="211" w:lineRule="auto"/>
        <w:ind w:left="827"/>
      </w:pPr>
      <w:r>
        <w:rPr>
          <w:color w:val="414042"/>
        </w:rPr>
        <w:t>accurate</w:t>
      </w:r>
      <w:r>
        <w:rPr>
          <w:color w:val="414042"/>
          <w:spacing w:val="-6"/>
        </w:rPr>
        <w:t xml:space="preserve"> </w:t>
      </w:r>
      <w:r>
        <w:rPr>
          <w:color w:val="414042"/>
        </w:rPr>
        <w:t>reflection</w:t>
      </w:r>
      <w:r>
        <w:rPr>
          <w:color w:val="414042"/>
          <w:spacing w:val="-6"/>
        </w:rPr>
        <w:t xml:space="preserve"> </w:t>
      </w:r>
      <w:r>
        <w:rPr>
          <w:color w:val="414042"/>
        </w:rPr>
        <w:t>and</w:t>
      </w:r>
      <w:r>
        <w:rPr>
          <w:color w:val="414042"/>
          <w:spacing w:val="-7"/>
        </w:rPr>
        <w:t xml:space="preserve"> </w:t>
      </w:r>
      <w:r>
        <w:rPr>
          <w:color w:val="414042"/>
        </w:rPr>
        <w:t>valuable</w:t>
      </w:r>
      <w:r>
        <w:rPr>
          <w:color w:val="414042"/>
          <w:spacing w:val="-6"/>
        </w:rPr>
        <w:t xml:space="preserve"> </w:t>
      </w:r>
      <w:r>
        <w:rPr>
          <w:color w:val="414042"/>
        </w:rPr>
        <w:t>insight</w:t>
      </w:r>
      <w:r>
        <w:rPr>
          <w:color w:val="414042"/>
          <w:spacing w:val="-5"/>
        </w:rPr>
        <w:t xml:space="preserve"> </w:t>
      </w:r>
      <w:r>
        <w:rPr>
          <w:color w:val="414042"/>
        </w:rPr>
        <w:t>from</w:t>
      </w:r>
      <w:r>
        <w:rPr>
          <w:color w:val="414042"/>
          <w:spacing w:val="-7"/>
        </w:rPr>
        <w:t xml:space="preserve"> </w:t>
      </w:r>
      <w:r>
        <w:rPr>
          <w:color w:val="414042"/>
        </w:rPr>
        <w:t>a</w:t>
      </w:r>
      <w:r>
        <w:rPr>
          <w:color w:val="414042"/>
          <w:spacing w:val="-6"/>
        </w:rPr>
        <w:t xml:space="preserve"> </w:t>
      </w:r>
      <w:r>
        <w:rPr>
          <w:color w:val="414042"/>
        </w:rPr>
        <w:t>sample</w:t>
      </w:r>
      <w:r>
        <w:rPr>
          <w:color w:val="414042"/>
          <w:spacing w:val="-6"/>
        </w:rPr>
        <w:t xml:space="preserve"> </w:t>
      </w:r>
      <w:r>
        <w:rPr>
          <w:color w:val="414042"/>
        </w:rPr>
        <w:t>of Indigenous Australians about a review and ultimately a refresh of the Closing the Gap</w:t>
      </w:r>
      <w:r>
        <w:rPr>
          <w:color w:val="414042"/>
          <w:spacing w:val="-5"/>
        </w:rPr>
        <w:t xml:space="preserve"> </w:t>
      </w:r>
      <w:r>
        <w:rPr>
          <w:color w:val="414042"/>
        </w:rPr>
        <w:t>Agenda.</w:t>
      </w:r>
    </w:p>
    <w:p w:rsidR="00580ABF" w:rsidRDefault="00580ABF">
      <w:pPr>
        <w:pStyle w:val="BodyText"/>
        <w:spacing w:before="14"/>
        <w:rPr>
          <w:sz w:val="15"/>
        </w:rPr>
      </w:pPr>
    </w:p>
    <w:p w:rsidR="00580ABF" w:rsidRDefault="00E352FF" w:rsidP="00A244CC">
      <w:pPr>
        <w:ind w:left="107" w:firstLine="720"/>
      </w:pPr>
      <w:r>
        <w:t>Murawin associates for this project are:</w:t>
      </w:r>
    </w:p>
    <w:p w:rsidR="00A244CC" w:rsidRDefault="00A244CC" w:rsidP="00A244CC">
      <w:pPr>
        <w:ind w:left="107" w:firstLine="720"/>
      </w:pPr>
    </w:p>
    <w:p w:rsidR="00580ABF" w:rsidRDefault="00E352FF">
      <w:pPr>
        <w:pStyle w:val="BodyText"/>
        <w:spacing w:before="14" w:line="309" w:lineRule="auto"/>
        <w:ind w:left="1167" w:right="608"/>
      </w:pPr>
      <w:r>
        <w:t>Kate Kelleher, Kate Kelleher Consulting David Puls, becomingchange</w:t>
      </w:r>
    </w:p>
    <w:p w:rsidR="00580ABF" w:rsidRDefault="00E352FF">
      <w:pPr>
        <w:pStyle w:val="BodyText"/>
        <w:spacing w:line="309" w:lineRule="auto"/>
        <w:ind w:left="1167" w:right="1056"/>
      </w:pPr>
      <w:r>
        <w:t>Tanyah Nasir, Tanyah Nasir Consulting Brian Arley, Uniikup Productions Ltd Rebecca McGuinness, Bec Designs Derek Strong, Armidale, Murawin Joyce Graham, Goomali</w:t>
      </w:r>
    </w:p>
    <w:p w:rsidR="00580ABF" w:rsidRDefault="00E352FF">
      <w:pPr>
        <w:pStyle w:val="BodyText"/>
        <w:spacing w:before="1" w:line="309" w:lineRule="auto"/>
        <w:ind w:left="1167"/>
      </w:pPr>
      <w:r>
        <w:t>Darren Smith, Aboriginal Business Corporation Shane Wales, Wales Design</w:t>
      </w:r>
    </w:p>
    <w:p w:rsidR="00580ABF" w:rsidRDefault="00E352FF" w:rsidP="003522CB">
      <w:pPr>
        <w:pStyle w:val="Heading2"/>
        <w:ind w:left="0" w:firstLine="525"/>
      </w:pPr>
      <w:r>
        <w:br w:type="column"/>
      </w:r>
      <w:r>
        <w:t>INTRODUCTION</w:t>
      </w:r>
    </w:p>
    <w:p w:rsidR="00580ABF" w:rsidRDefault="00E352FF">
      <w:pPr>
        <w:pStyle w:val="BodyText"/>
        <w:spacing w:before="123" w:line="211" w:lineRule="auto"/>
        <w:ind w:left="525" w:right="938"/>
      </w:pPr>
      <w:r>
        <w:rPr>
          <w:color w:val="414042"/>
        </w:rPr>
        <w:t>This report informs a retrospective review of the last 10 years of Closing the Gap.</w:t>
      </w:r>
    </w:p>
    <w:p w:rsidR="00580ABF" w:rsidRDefault="00E352FF">
      <w:pPr>
        <w:pStyle w:val="BodyText"/>
        <w:spacing w:before="111" w:line="211" w:lineRule="auto"/>
        <w:ind w:left="525" w:right="1331"/>
      </w:pPr>
      <w:r>
        <w:rPr>
          <w:color w:val="414042"/>
        </w:rPr>
        <w:t>The project examines and reports on the effectiveness and appropriateness of the overarching Closing the Gap policy framework, with specific attention to critical components of the NIRA (CtG) in achieving its objectives.</w:t>
      </w:r>
    </w:p>
    <w:p w:rsidR="00580ABF" w:rsidRPr="005D3114" w:rsidRDefault="00E352FF" w:rsidP="005D3114">
      <w:pPr>
        <w:pStyle w:val="BodyText"/>
        <w:spacing w:before="122" w:line="211" w:lineRule="auto"/>
        <w:ind w:left="525"/>
        <w:rPr>
          <w:color w:val="414042"/>
        </w:rPr>
      </w:pPr>
      <w:r w:rsidRPr="005D3114">
        <w:rPr>
          <w:color w:val="414042"/>
        </w:rPr>
        <w:t>In line with the statement of requirement for this project, it is anticipated that this project will also contribute to an evidence base to support relationships that demonstrate cultural respect towards Indigenous Australians, as well as build on strengths that make a positive contribution to re- set a shared agenda for all policy areas under a Closing the Gap Refresh.</w:t>
      </w:r>
    </w:p>
    <w:p w:rsidR="00580ABF" w:rsidRDefault="00E352FF" w:rsidP="005D3114">
      <w:pPr>
        <w:pStyle w:val="BodyText"/>
        <w:spacing w:before="122" w:line="211" w:lineRule="auto"/>
        <w:ind w:left="525"/>
      </w:pPr>
      <w:r>
        <w:rPr>
          <w:color w:val="414042"/>
        </w:rPr>
        <w:t>As part of this project we have reviewed literature, consulted with a broad range of Indigenous stakeholders and undertaken an analysis of this data to inform the report.</w:t>
      </w:r>
    </w:p>
    <w:p w:rsidR="00580ABF" w:rsidRDefault="00580ABF">
      <w:pPr>
        <w:spacing w:line="211" w:lineRule="auto"/>
      </w:pPr>
    </w:p>
    <w:p w:rsidR="006F38EB" w:rsidRDefault="006F38EB">
      <w:pPr>
        <w:spacing w:line="211" w:lineRule="auto"/>
      </w:pPr>
    </w:p>
    <w:p w:rsidR="006F38EB" w:rsidRDefault="006F38EB">
      <w:pPr>
        <w:spacing w:line="211" w:lineRule="auto"/>
        <w:sectPr w:rsidR="006F38EB">
          <w:type w:val="continuous"/>
          <w:pgSz w:w="11910" w:h="16840"/>
          <w:pgMar w:top="1580" w:right="180" w:bottom="280" w:left="420" w:header="720" w:footer="720" w:gutter="0"/>
          <w:cols w:num="2" w:space="720" w:equalWidth="0">
            <w:col w:w="5194" w:space="40"/>
            <w:col w:w="6076"/>
          </w:cols>
        </w:sectPr>
      </w:pPr>
      <w:r>
        <w:rPr>
          <w:noProof/>
          <w:lang w:val="en-AU" w:eastAsia="en-AU" w:bidi="ar-SA"/>
        </w:rPr>
        <w:drawing>
          <wp:inline distT="0" distB="0" distL="0" distR="0" wp14:anchorId="01B87807" wp14:editId="1CE157F2">
            <wp:extent cx="4064559" cy="3352800"/>
            <wp:effectExtent l="0" t="0" r="0" b="0"/>
            <wp:docPr id="11" name="image48.png" descr="Image of three members of the Murawin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4559" cy="3352800"/>
                    </a:xfrm>
                    <a:prstGeom prst="rect">
                      <a:avLst/>
                    </a:prstGeom>
                  </pic:spPr>
                </pic:pic>
              </a:graphicData>
            </a:graphic>
          </wp:inline>
        </w:drawing>
      </w:r>
    </w:p>
    <w:p w:rsidR="00580ABF" w:rsidRDefault="00B02438" w:rsidP="003522CB">
      <w:pPr>
        <w:pStyle w:val="Heading2"/>
        <w:ind w:left="0" w:firstLine="720"/>
        <w:rPr>
          <w:sz w:val="20"/>
        </w:rPr>
      </w:pPr>
      <w:r w:rsidRPr="00B02438">
        <w:lastRenderedPageBreak/>
        <w:t>SCOPE OF THE PROJECT</w:t>
      </w:r>
    </w:p>
    <w:p w:rsidR="00580ABF" w:rsidRDefault="00580ABF">
      <w:pPr>
        <w:rPr>
          <w:sz w:val="17"/>
        </w:rPr>
        <w:sectPr w:rsidR="00580ABF">
          <w:pgSz w:w="11910" w:h="16840"/>
          <w:pgMar w:top="1160" w:right="180" w:bottom="380" w:left="420" w:header="0" w:footer="183" w:gutter="0"/>
          <w:cols w:space="720"/>
        </w:sectPr>
      </w:pPr>
    </w:p>
    <w:p w:rsidR="00580ABF" w:rsidRPr="005D3114" w:rsidRDefault="00E352FF" w:rsidP="003522CB">
      <w:pPr>
        <w:pStyle w:val="BodyText"/>
        <w:spacing w:before="190"/>
        <w:ind w:left="720"/>
        <w:rPr>
          <w:color w:val="414042"/>
        </w:rPr>
      </w:pPr>
      <w:r w:rsidRPr="005D3114">
        <w:rPr>
          <w:color w:val="414042"/>
        </w:rPr>
        <w:t>This project was commissioned by the Department of the Prime Minister and Cabinet to gather qualitative evidence relating to the efforts undertaken in the last 10 years of Closing the Gap.</w:t>
      </w:r>
    </w:p>
    <w:p w:rsidR="00580ABF" w:rsidRDefault="00E352FF">
      <w:pPr>
        <w:pStyle w:val="BodyText"/>
        <w:spacing w:before="190"/>
        <w:ind w:left="846"/>
        <w:rPr>
          <w:color w:val="414042"/>
        </w:rPr>
      </w:pPr>
      <w:r>
        <w:rPr>
          <w:color w:val="414042"/>
        </w:rPr>
        <w:t>The</w:t>
      </w:r>
      <w:r>
        <w:rPr>
          <w:color w:val="414042"/>
          <w:spacing w:val="-7"/>
        </w:rPr>
        <w:t xml:space="preserve"> </w:t>
      </w:r>
      <w:r>
        <w:rPr>
          <w:color w:val="414042"/>
        </w:rPr>
        <w:t>project</w:t>
      </w:r>
      <w:r>
        <w:rPr>
          <w:color w:val="414042"/>
          <w:spacing w:val="-7"/>
        </w:rPr>
        <w:t xml:space="preserve"> </w:t>
      </w:r>
      <w:r>
        <w:rPr>
          <w:color w:val="414042"/>
        </w:rPr>
        <w:t>was</w:t>
      </w:r>
      <w:r>
        <w:rPr>
          <w:color w:val="414042"/>
          <w:spacing w:val="-7"/>
        </w:rPr>
        <w:t xml:space="preserve"> </w:t>
      </w:r>
      <w:r>
        <w:rPr>
          <w:color w:val="414042"/>
        </w:rPr>
        <w:t>asked</w:t>
      </w:r>
      <w:r>
        <w:rPr>
          <w:color w:val="414042"/>
          <w:spacing w:val="-6"/>
        </w:rPr>
        <w:t xml:space="preserve"> </w:t>
      </w:r>
      <w:r>
        <w:rPr>
          <w:color w:val="414042"/>
        </w:rPr>
        <w:t>to</w:t>
      </w:r>
      <w:r>
        <w:rPr>
          <w:color w:val="414042"/>
          <w:spacing w:val="-7"/>
        </w:rPr>
        <w:t xml:space="preserve"> </w:t>
      </w:r>
      <w:r>
        <w:rPr>
          <w:color w:val="414042"/>
        </w:rPr>
        <w:t>consider</w:t>
      </w:r>
      <w:r>
        <w:rPr>
          <w:color w:val="414042"/>
          <w:spacing w:val="-7"/>
        </w:rPr>
        <w:t xml:space="preserve"> </w:t>
      </w:r>
      <w:r>
        <w:rPr>
          <w:color w:val="414042"/>
        </w:rPr>
        <w:t>five</w:t>
      </w:r>
      <w:r>
        <w:rPr>
          <w:color w:val="414042"/>
          <w:spacing w:val="-6"/>
        </w:rPr>
        <w:t xml:space="preserve"> </w:t>
      </w:r>
      <w:r>
        <w:rPr>
          <w:color w:val="414042"/>
        </w:rPr>
        <w:t>Review</w:t>
      </w:r>
      <w:r>
        <w:rPr>
          <w:color w:val="414042"/>
          <w:spacing w:val="-7"/>
        </w:rPr>
        <w:t xml:space="preserve"> </w:t>
      </w:r>
      <w:r>
        <w:rPr>
          <w:color w:val="414042"/>
        </w:rPr>
        <w:t>Questions:</w:t>
      </w:r>
    </w:p>
    <w:p w:rsidR="00B02438" w:rsidRDefault="00B02438" w:rsidP="00B02438">
      <w:pPr>
        <w:pStyle w:val="BodyText"/>
        <w:numPr>
          <w:ilvl w:val="0"/>
          <w:numId w:val="33"/>
        </w:numPr>
        <w:spacing w:before="190"/>
      </w:pPr>
      <w:r>
        <w:t>What were the initial expectations from Closing the Gap, including benchmarks for success?</w:t>
      </w:r>
    </w:p>
    <w:p w:rsidR="00B02438" w:rsidRDefault="00B02438" w:rsidP="00B02438">
      <w:pPr>
        <w:pStyle w:val="BodyText"/>
        <w:numPr>
          <w:ilvl w:val="0"/>
          <w:numId w:val="33"/>
        </w:numPr>
        <w:spacing w:before="190"/>
      </w:pPr>
      <w:r>
        <w:t>How appropriate was the design of the policy framework to achieve the objective of Closing the Gap?</w:t>
      </w:r>
    </w:p>
    <w:p w:rsidR="00B02438" w:rsidRDefault="00B02438" w:rsidP="00B02438">
      <w:pPr>
        <w:pStyle w:val="BodyText"/>
        <w:numPr>
          <w:ilvl w:val="0"/>
          <w:numId w:val="33"/>
        </w:numPr>
        <w:spacing w:before="190"/>
      </w:pPr>
      <w:r>
        <w:t>To what extent did the policy framework and components of NIRA assist in meeting objectives?</w:t>
      </w:r>
    </w:p>
    <w:p w:rsidR="00CF2220" w:rsidRDefault="00B02438" w:rsidP="00A6031A">
      <w:pPr>
        <w:pStyle w:val="BodyText"/>
        <w:numPr>
          <w:ilvl w:val="0"/>
          <w:numId w:val="33"/>
        </w:numPr>
        <w:spacing w:before="190"/>
      </w:pPr>
      <w:r>
        <w:t>What were the major factors influencing the achievement or non-achievement of the objectives?</w:t>
      </w:r>
    </w:p>
    <w:p w:rsidR="00A6031A" w:rsidRDefault="00B02438" w:rsidP="00A6031A">
      <w:pPr>
        <w:pStyle w:val="BodyText"/>
        <w:numPr>
          <w:ilvl w:val="0"/>
          <w:numId w:val="33"/>
        </w:numPr>
        <w:spacing w:before="190"/>
      </w:pPr>
      <w:r>
        <w:t>To what extent has Closing the Gap built on strengths, demonstrated cultural respect and involved collaboration in such a way as to make a positive contribution to the lives of current and future generations of Indigenous Australians?</w:t>
      </w:r>
    </w:p>
    <w:p w:rsidR="00580ABF" w:rsidRDefault="00E352FF" w:rsidP="00A6031A">
      <w:pPr>
        <w:pStyle w:val="BodyText"/>
        <w:spacing w:before="190"/>
        <w:ind w:left="765"/>
      </w:pPr>
      <w:r>
        <w:rPr>
          <w:color w:val="414042"/>
        </w:rPr>
        <w:t>The first three of those questions focus more on the formal components of Closing the Gap. What did people see and then expect when it was introduced? Was it appropriately designed, and did its design help achieve the Objectives?</w:t>
      </w:r>
    </w:p>
    <w:p w:rsidR="00580ABF" w:rsidRDefault="00E352FF" w:rsidP="00A6031A">
      <w:pPr>
        <w:pStyle w:val="BodyText"/>
        <w:spacing w:before="108" w:line="211" w:lineRule="auto"/>
        <w:ind w:left="720" w:right="58"/>
      </w:pPr>
      <w:r>
        <w:rPr>
          <w:color w:val="414042"/>
        </w:rPr>
        <w:t>Our analysis of data through consultations and the literature review informs us that there has been a lot of support for Closing the Gap as a framework. But clearly a framework alone does not lead to the lessening of disadvantage.</w:t>
      </w:r>
    </w:p>
    <w:p w:rsidR="00580ABF" w:rsidRDefault="00E352FF">
      <w:pPr>
        <w:pStyle w:val="BodyText"/>
        <w:spacing w:before="46" w:line="211" w:lineRule="auto"/>
        <w:ind w:left="482" w:right="1327"/>
      </w:pPr>
      <w:r>
        <w:br w:type="column"/>
      </w:r>
      <w:r>
        <w:rPr>
          <w:color w:val="414042"/>
        </w:rPr>
        <w:t xml:space="preserve">The Department of the Prime Minister and Cabinet extend the scope in the last two questions, asking us to examine the actual factors influencing outcomes. In </w:t>
      </w:r>
      <w:r>
        <w:rPr>
          <w:color w:val="414042"/>
          <w:spacing w:val="-3"/>
        </w:rPr>
        <w:t xml:space="preserve">particular, </w:t>
      </w:r>
      <w:r>
        <w:rPr>
          <w:color w:val="414042"/>
        </w:rPr>
        <w:t>the last question requires an examination of those factors important to a human rights approach, and which are also found in the NIRA itself: working in partnership with Indigenous Australians and putting culture at the centre of the work.</w:t>
      </w:r>
    </w:p>
    <w:p w:rsidR="00580ABF" w:rsidRDefault="00E352FF">
      <w:pPr>
        <w:pStyle w:val="BodyText"/>
        <w:spacing w:before="105" w:line="211" w:lineRule="auto"/>
        <w:ind w:left="482" w:right="1290"/>
      </w:pPr>
      <w:r>
        <w:rPr>
          <w:color w:val="414042"/>
        </w:rPr>
        <w:t>To answer these questions, we were asked to take into account the following factors:</w:t>
      </w:r>
    </w:p>
    <w:p w:rsidR="00580ABF" w:rsidRDefault="00E352FF" w:rsidP="003C6528">
      <w:pPr>
        <w:pStyle w:val="BodyText"/>
        <w:numPr>
          <w:ilvl w:val="0"/>
          <w:numId w:val="5"/>
        </w:numPr>
        <w:spacing w:before="112" w:line="211" w:lineRule="auto"/>
        <w:ind w:right="1327"/>
      </w:pPr>
      <w:r>
        <w:t>the degree and appropriateness of Indigenous engagement throughout the process</w:t>
      </w:r>
    </w:p>
    <w:p w:rsidR="00580ABF" w:rsidRDefault="00E352FF" w:rsidP="003C6528">
      <w:pPr>
        <w:pStyle w:val="BodyText"/>
        <w:numPr>
          <w:ilvl w:val="0"/>
          <w:numId w:val="5"/>
        </w:numPr>
        <w:spacing w:before="111" w:line="211" w:lineRule="auto"/>
        <w:ind w:right="1327"/>
      </w:pPr>
      <w:r>
        <w:t>relationships between governments, Indigenous Australians and other stakeholders</w:t>
      </w:r>
    </w:p>
    <w:p w:rsidR="00580ABF" w:rsidRDefault="00E352FF" w:rsidP="003C6528">
      <w:pPr>
        <w:pStyle w:val="BodyText"/>
        <w:numPr>
          <w:ilvl w:val="0"/>
          <w:numId w:val="5"/>
        </w:numPr>
        <w:spacing w:before="112" w:line="211" w:lineRule="auto"/>
        <w:ind w:right="1327"/>
      </w:pPr>
      <w:r>
        <w:t>the changing roles and responsibilities of the Commonwealth and the States, and level of co- ordination between programs or strategies</w:t>
      </w:r>
    </w:p>
    <w:p w:rsidR="00580ABF" w:rsidRDefault="00E352FF" w:rsidP="003C6528">
      <w:pPr>
        <w:pStyle w:val="BodyText"/>
        <w:numPr>
          <w:ilvl w:val="0"/>
          <w:numId w:val="5"/>
        </w:numPr>
        <w:spacing w:before="110" w:line="211" w:lineRule="auto"/>
        <w:ind w:right="1327"/>
      </w:pPr>
      <w:r>
        <w:t>the changing social attitudes of people and public awareness of issues</w:t>
      </w:r>
    </w:p>
    <w:p w:rsidR="00580ABF" w:rsidRDefault="00E352FF" w:rsidP="003C6528">
      <w:pPr>
        <w:pStyle w:val="BodyText"/>
        <w:numPr>
          <w:ilvl w:val="0"/>
          <w:numId w:val="5"/>
        </w:numPr>
        <w:spacing w:before="85"/>
      </w:pPr>
      <w:r>
        <w:t>the impact of the initiative on policy development</w:t>
      </w:r>
    </w:p>
    <w:p w:rsidR="00580ABF" w:rsidRDefault="00E352FF" w:rsidP="003C6528">
      <w:pPr>
        <w:pStyle w:val="BodyText"/>
        <w:numPr>
          <w:ilvl w:val="0"/>
          <w:numId w:val="5"/>
        </w:numPr>
        <w:spacing w:before="79"/>
      </w:pPr>
      <w:r>
        <w:t>any gaps in accountability mechanisms</w:t>
      </w:r>
    </w:p>
    <w:p w:rsidR="00580ABF" w:rsidRDefault="00E352FF" w:rsidP="003C6528">
      <w:pPr>
        <w:pStyle w:val="BodyText"/>
        <w:numPr>
          <w:ilvl w:val="0"/>
          <w:numId w:val="5"/>
        </w:numPr>
        <w:spacing w:before="106" w:line="211" w:lineRule="auto"/>
        <w:ind w:right="1689"/>
        <w:jc w:val="both"/>
      </w:pPr>
      <w:r>
        <w:t>the take up and effectiveness of former, existing and new models including Regional Partnership Agreements and Empowered Communities</w:t>
      </w:r>
    </w:p>
    <w:p w:rsidR="00580ABF" w:rsidRDefault="00E352FF" w:rsidP="003C6528">
      <w:pPr>
        <w:pStyle w:val="BodyText"/>
        <w:numPr>
          <w:ilvl w:val="0"/>
          <w:numId w:val="5"/>
        </w:numPr>
        <w:spacing w:before="111" w:line="211" w:lineRule="auto"/>
        <w:ind w:right="1404"/>
      </w:pPr>
      <w:r>
        <w:t>the effectiveness of national partnership agreements and lessons learned; and</w:t>
      </w:r>
    </w:p>
    <w:p w:rsidR="00580ABF" w:rsidRDefault="00E352FF" w:rsidP="003C6528">
      <w:pPr>
        <w:pStyle w:val="BodyText"/>
        <w:numPr>
          <w:ilvl w:val="0"/>
          <w:numId w:val="5"/>
        </w:numPr>
        <w:spacing w:before="111" w:line="211" w:lineRule="auto"/>
        <w:ind w:right="1327"/>
      </w:pPr>
      <w:r>
        <w:t>identify and investigate examples of success and failures at local, state and national levels.</w:t>
      </w:r>
    </w:p>
    <w:p w:rsidR="00580ABF" w:rsidRDefault="00E352FF">
      <w:pPr>
        <w:pStyle w:val="BodyText"/>
        <w:spacing w:before="112" w:line="211" w:lineRule="auto"/>
        <w:ind w:left="482" w:right="1093"/>
      </w:pPr>
      <w:r>
        <w:rPr>
          <w:color w:val="414042"/>
        </w:rPr>
        <w:t>As a retrospective qualitative study focusing on Indigenous opinion we were not asked to provide any statistical details on meeting the Closing the Gap targets, as this information is contained in the Prime Minister’s Annual Report on Closing the Gap.</w:t>
      </w:r>
    </w:p>
    <w:p w:rsidR="00580ABF" w:rsidRDefault="00580ABF">
      <w:pPr>
        <w:spacing w:line="211" w:lineRule="auto"/>
        <w:sectPr w:rsidR="00580ABF">
          <w:type w:val="continuous"/>
          <w:pgSz w:w="11910" w:h="16840"/>
          <w:pgMar w:top="1580" w:right="180" w:bottom="280" w:left="420" w:header="720" w:footer="720" w:gutter="0"/>
          <w:cols w:num="2" w:space="720" w:equalWidth="0">
            <w:col w:w="5238" w:space="40"/>
            <w:col w:w="6032"/>
          </w:cols>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rsidP="00A244CC">
      <w:pPr>
        <w:pStyle w:val="Heading2"/>
      </w:pPr>
      <w:bookmarkStart w:id="4" w:name="Methodology"/>
      <w:bookmarkStart w:id="5" w:name="_bookmark2"/>
      <w:bookmarkEnd w:id="4"/>
      <w:bookmarkEnd w:id="5"/>
      <w:r>
        <w:t>METHODOLOGY</w:t>
      </w:r>
    </w:p>
    <w:p w:rsidR="00580ABF" w:rsidRDefault="00E352FF" w:rsidP="00017DFD">
      <w:pPr>
        <w:pStyle w:val="Heading3"/>
      </w:pPr>
      <w:r>
        <w:t>Project tasks and outputs</w:t>
      </w:r>
    </w:p>
    <w:p w:rsidR="00580ABF" w:rsidRDefault="00E352FF">
      <w:pPr>
        <w:pStyle w:val="BodyText"/>
        <w:spacing w:line="271" w:lineRule="exact"/>
        <w:ind w:left="827"/>
      </w:pPr>
      <w:r>
        <w:rPr>
          <w:color w:val="414042"/>
        </w:rPr>
        <w:t>We were asked to:</w:t>
      </w:r>
    </w:p>
    <w:p w:rsidR="00580ABF" w:rsidRDefault="00E352FF" w:rsidP="003C6528">
      <w:pPr>
        <w:pStyle w:val="BodyText"/>
        <w:numPr>
          <w:ilvl w:val="1"/>
          <w:numId w:val="7"/>
        </w:numPr>
        <w:spacing w:before="106" w:line="211" w:lineRule="auto"/>
        <w:ind w:right="319"/>
      </w:pPr>
      <w:r>
        <w:t>Review the qualitative literature from the last ten years around Closing the Gap</w:t>
      </w:r>
    </w:p>
    <w:p w:rsidR="00580ABF" w:rsidRDefault="00E352FF" w:rsidP="003C6528">
      <w:pPr>
        <w:pStyle w:val="BodyText"/>
        <w:numPr>
          <w:ilvl w:val="1"/>
          <w:numId w:val="7"/>
        </w:numPr>
        <w:spacing w:before="112" w:line="211" w:lineRule="auto"/>
        <w:ind w:right="319"/>
      </w:pPr>
      <w:r>
        <w:t>Seek evidence from key stakeholders about their views</w:t>
      </w:r>
    </w:p>
    <w:p w:rsidR="00580ABF" w:rsidRDefault="00E352FF" w:rsidP="003C6528">
      <w:pPr>
        <w:pStyle w:val="BodyText"/>
        <w:numPr>
          <w:ilvl w:val="1"/>
          <w:numId w:val="7"/>
        </w:numPr>
        <w:spacing w:before="84"/>
      </w:pPr>
      <w:r>
        <w:rPr>
          <w:w w:val="105"/>
        </w:rPr>
        <w:t>Report.</w:t>
      </w:r>
    </w:p>
    <w:p w:rsidR="00580ABF" w:rsidRDefault="00E352FF" w:rsidP="00017DFD">
      <w:pPr>
        <w:pStyle w:val="Heading3"/>
      </w:pPr>
      <w:r w:rsidRPr="00017DFD">
        <w:t>Literature Review</w:t>
      </w:r>
    </w:p>
    <w:p w:rsidR="00580ABF" w:rsidRDefault="00E352FF">
      <w:pPr>
        <w:pStyle w:val="BodyText"/>
        <w:spacing w:before="24" w:line="211" w:lineRule="auto"/>
        <w:ind w:left="827"/>
      </w:pPr>
      <w:r>
        <w:rPr>
          <w:color w:val="414042"/>
        </w:rPr>
        <w:t>The literature review was contracted to Circa (Cultural and Indigenous Research Centre Australia).</w:t>
      </w:r>
    </w:p>
    <w:p w:rsidR="00580ABF" w:rsidRDefault="00E352FF">
      <w:pPr>
        <w:pStyle w:val="BodyText"/>
        <w:spacing w:before="111" w:line="211" w:lineRule="auto"/>
        <w:ind w:left="827" w:right="3"/>
      </w:pPr>
      <w:r>
        <w:rPr>
          <w:color w:val="414042"/>
        </w:rPr>
        <w:t>The specific methodology used for the Literature review is set out in the review, attached to this report as an Appendix.</w:t>
      </w:r>
    </w:p>
    <w:p w:rsidR="00580ABF" w:rsidRDefault="00E352FF" w:rsidP="00017DFD">
      <w:pPr>
        <w:pStyle w:val="Heading3"/>
      </w:pPr>
      <w:r w:rsidRPr="00017DFD">
        <w:t>Consultations</w:t>
      </w:r>
    </w:p>
    <w:p w:rsidR="00580ABF" w:rsidRDefault="00E352FF">
      <w:pPr>
        <w:pStyle w:val="BodyText"/>
        <w:spacing w:before="23" w:line="211" w:lineRule="auto"/>
        <w:ind w:left="827"/>
      </w:pPr>
      <w:r>
        <w:rPr>
          <w:color w:val="414042"/>
        </w:rPr>
        <w:t>Stakeholders were consulted and were drawn from the following categories:</w:t>
      </w:r>
    </w:p>
    <w:p w:rsidR="00580ABF" w:rsidRDefault="00E352FF" w:rsidP="003C6528">
      <w:pPr>
        <w:pStyle w:val="BodyText"/>
        <w:numPr>
          <w:ilvl w:val="1"/>
          <w:numId w:val="8"/>
        </w:numPr>
        <w:spacing w:before="112" w:line="211" w:lineRule="auto"/>
      </w:pPr>
      <w:r>
        <w:t>Indigenous leaders including community and organisational leaders</w:t>
      </w:r>
    </w:p>
    <w:p w:rsidR="00580ABF" w:rsidRDefault="00E352FF" w:rsidP="003C6528">
      <w:pPr>
        <w:pStyle w:val="BodyText"/>
        <w:numPr>
          <w:ilvl w:val="1"/>
          <w:numId w:val="8"/>
        </w:numPr>
        <w:spacing w:before="111" w:line="211" w:lineRule="auto"/>
        <w:ind w:right="319"/>
      </w:pPr>
      <w:r>
        <w:t>Senior Indigenous and non-Indigenous representatives from key Commonwealth, state/ territory and local government agencies</w:t>
      </w:r>
    </w:p>
    <w:p w:rsidR="00580ABF" w:rsidRDefault="00E352FF" w:rsidP="003C6528">
      <w:pPr>
        <w:pStyle w:val="BodyText"/>
        <w:numPr>
          <w:ilvl w:val="1"/>
          <w:numId w:val="8"/>
        </w:numPr>
        <w:spacing w:before="84"/>
      </w:pPr>
      <w:r>
        <w:t>Policy makers and policy advisors</w:t>
      </w:r>
    </w:p>
    <w:p w:rsidR="00580ABF" w:rsidRDefault="00E352FF" w:rsidP="003C6528">
      <w:pPr>
        <w:pStyle w:val="BodyText"/>
        <w:numPr>
          <w:ilvl w:val="1"/>
          <w:numId w:val="8"/>
        </w:numPr>
        <w:spacing w:before="106" w:line="211" w:lineRule="auto"/>
        <w:ind w:right="319"/>
      </w:pPr>
      <w:r>
        <w:t>Indigenous led leadership groups, peak organisations, and service organisations</w:t>
      </w:r>
    </w:p>
    <w:p w:rsidR="00580ABF" w:rsidRDefault="00E352FF" w:rsidP="003C6528">
      <w:pPr>
        <w:pStyle w:val="BodyText"/>
        <w:numPr>
          <w:ilvl w:val="1"/>
          <w:numId w:val="8"/>
        </w:numPr>
        <w:spacing w:before="111" w:line="211" w:lineRule="auto"/>
      </w:pPr>
      <w:r>
        <w:t>Regional representatives of key service provider agencies and relevant service organisations.</w:t>
      </w:r>
    </w:p>
    <w:p w:rsidR="00580ABF" w:rsidRDefault="00E352FF">
      <w:pPr>
        <w:pStyle w:val="BodyText"/>
        <w:spacing w:before="112" w:line="211" w:lineRule="auto"/>
        <w:ind w:left="827" w:right="319"/>
      </w:pPr>
      <w:r>
        <w:rPr>
          <w:color w:val="414042"/>
        </w:rPr>
        <w:t xml:space="preserve">Stakeholders were drawn from all over Australia. </w:t>
      </w:r>
      <w:r>
        <w:rPr>
          <w:color w:val="414042"/>
          <w:spacing w:val="-4"/>
        </w:rPr>
        <w:t xml:space="preserve">We </w:t>
      </w:r>
      <w:r>
        <w:rPr>
          <w:color w:val="414042"/>
        </w:rPr>
        <w:t>estimated approximately 200 stakeholders were consulted throughout the project.</w:t>
      </w:r>
    </w:p>
    <w:p w:rsidR="00580ABF" w:rsidRDefault="00E352FF">
      <w:pPr>
        <w:pStyle w:val="BodyText"/>
        <w:spacing w:before="110" w:line="211" w:lineRule="auto"/>
        <w:ind w:left="827" w:right="-4"/>
      </w:pPr>
      <w:r>
        <w:rPr>
          <w:color w:val="414042"/>
        </w:rPr>
        <w:t>Murawin engaged a team of Indigenous consultants from different jurisdictions to conduct the interviews. The identification of the stakeholders was done by individual consultants, overseen by the project lead. Consultants were encouraged to draw on their cultural and</w:t>
      </w:r>
      <w:r>
        <w:rPr>
          <w:color w:val="414042"/>
          <w:spacing w:val="-7"/>
        </w:rPr>
        <w:t xml:space="preserve"> </w:t>
      </w:r>
      <w:r>
        <w:rPr>
          <w:color w:val="414042"/>
        </w:rPr>
        <w:t>professional</w:t>
      </w:r>
      <w:r>
        <w:rPr>
          <w:color w:val="414042"/>
          <w:spacing w:val="-5"/>
        </w:rPr>
        <w:t xml:space="preserve"> </w:t>
      </w:r>
      <w:r>
        <w:rPr>
          <w:color w:val="414042"/>
        </w:rPr>
        <w:t>networks</w:t>
      </w:r>
      <w:r>
        <w:rPr>
          <w:color w:val="414042"/>
          <w:spacing w:val="-7"/>
        </w:rPr>
        <w:t xml:space="preserve"> </w:t>
      </w:r>
      <w:r>
        <w:rPr>
          <w:color w:val="414042"/>
        </w:rPr>
        <w:t>to</w:t>
      </w:r>
      <w:r>
        <w:rPr>
          <w:color w:val="414042"/>
          <w:spacing w:val="-6"/>
        </w:rPr>
        <w:t xml:space="preserve"> </w:t>
      </w:r>
      <w:r>
        <w:rPr>
          <w:color w:val="414042"/>
        </w:rPr>
        <w:t>maximise</w:t>
      </w:r>
      <w:r>
        <w:rPr>
          <w:color w:val="414042"/>
          <w:spacing w:val="-7"/>
        </w:rPr>
        <w:t xml:space="preserve"> </w:t>
      </w:r>
      <w:r>
        <w:rPr>
          <w:color w:val="414042"/>
        </w:rPr>
        <w:t>engagement</w:t>
      </w:r>
      <w:r>
        <w:rPr>
          <w:color w:val="414042"/>
          <w:spacing w:val="-5"/>
        </w:rPr>
        <w:t xml:space="preserve"> </w:t>
      </w:r>
      <w:r>
        <w:rPr>
          <w:color w:val="414042"/>
        </w:rPr>
        <w:t>and participation.</w:t>
      </w:r>
    </w:p>
    <w:p w:rsidR="00580ABF" w:rsidRDefault="00E352FF">
      <w:pPr>
        <w:pStyle w:val="BodyText"/>
        <w:spacing w:before="106" w:line="211" w:lineRule="auto"/>
        <w:ind w:left="827"/>
      </w:pPr>
      <w:r>
        <w:rPr>
          <w:color w:val="414042"/>
        </w:rPr>
        <w:t>Feedback was gathered by workshop, individual face to face interviews, or by telephone interview.</w:t>
      </w:r>
    </w:p>
    <w:p w:rsidR="00580ABF" w:rsidRDefault="00E352FF">
      <w:pPr>
        <w:pStyle w:val="BodyText"/>
        <w:spacing w:before="112" w:line="211" w:lineRule="auto"/>
        <w:ind w:left="827"/>
      </w:pPr>
      <w:r>
        <w:rPr>
          <w:color w:val="414042"/>
        </w:rPr>
        <w:t>Questions were standardised based on the scope of the project. Consultants provided data in a standardised format to allow for identification of themes across different jurisdictions and methods of data collection.</w:t>
      </w:r>
    </w:p>
    <w:p w:rsidR="00580ABF" w:rsidRDefault="00E352FF">
      <w:pPr>
        <w:pStyle w:val="BodyText"/>
        <w:spacing w:before="46" w:line="211" w:lineRule="auto"/>
        <w:ind w:left="542" w:right="1238"/>
      </w:pPr>
      <w:r>
        <w:br w:type="column"/>
      </w:r>
      <w:r>
        <w:rPr>
          <w:color w:val="414042"/>
        </w:rPr>
        <w:t>A matrix of stakeholder types in relation to Indigeneity, occupation, locality and industry was used to classify stakeholders (e.g. CEO of an Indigenous organisation</w:t>
      </w:r>
    </w:p>
    <w:p w:rsidR="00580ABF" w:rsidRDefault="00E352FF">
      <w:pPr>
        <w:pStyle w:val="BodyText"/>
        <w:spacing w:line="211" w:lineRule="auto"/>
        <w:ind w:left="542" w:right="1362"/>
      </w:pPr>
      <w:r>
        <w:rPr>
          <w:color w:val="414042"/>
        </w:rPr>
        <w:t xml:space="preserve">in Western Australia), allowing Murawin to identify the origin of data. </w:t>
      </w:r>
      <w:r>
        <w:rPr>
          <w:color w:val="414042"/>
          <w:spacing w:val="-4"/>
        </w:rPr>
        <w:t xml:space="preserve">We </w:t>
      </w:r>
      <w:r>
        <w:rPr>
          <w:color w:val="414042"/>
        </w:rPr>
        <w:t>spoke to men and women with approximately</w:t>
      </w:r>
      <w:r>
        <w:rPr>
          <w:color w:val="414042"/>
          <w:spacing w:val="-7"/>
        </w:rPr>
        <w:t xml:space="preserve"> </w:t>
      </w:r>
      <w:r>
        <w:rPr>
          <w:color w:val="414042"/>
        </w:rPr>
        <w:t>90%</w:t>
      </w:r>
      <w:r>
        <w:rPr>
          <w:color w:val="414042"/>
          <w:spacing w:val="-7"/>
        </w:rPr>
        <w:t xml:space="preserve"> </w:t>
      </w:r>
      <w:r>
        <w:rPr>
          <w:color w:val="414042"/>
        </w:rPr>
        <w:t>of</w:t>
      </w:r>
      <w:r>
        <w:rPr>
          <w:color w:val="414042"/>
          <w:spacing w:val="-8"/>
        </w:rPr>
        <w:t xml:space="preserve"> </w:t>
      </w:r>
      <w:r>
        <w:rPr>
          <w:color w:val="414042"/>
        </w:rPr>
        <w:t>stakeholders</w:t>
      </w:r>
      <w:r>
        <w:rPr>
          <w:color w:val="414042"/>
          <w:spacing w:val="-8"/>
        </w:rPr>
        <w:t xml:space="preserve"> </w:t>
      </w:r>
      <w:r>
        <w:rPr>
          <w:color w:val="414042"/>
        </w:rPr>
        <w:t>we</w:t>
      </w:r>
      <w:r>
        <w:rPr>
          <w:color w:val="414042"/>
          <w:spacing w:val="-6"/>
        </w:rPr>
        <w:t xml:space="preserve"> </w:t>
      </w:r>
      <w:r>
        <w:rPr>
          <w:color w:val="414042"/>
        </w:rPr>
        <w:t>spoke</w:t>
      </w:r>
      <w:r>
        <w:rPr>
          <w:color w:val="414042"/>
          <w:spacing w:val="-7"/>
        </w:rPr>
        <w:t xml:space="preserve"> </w:t>
      </w:r>
      <w:r>
        <w:rPr>
          <w:color w:val="414042"/>
        </w:rPr>
        <w:t>to</w:t>
      </w:r>
      <w:r>
        <w:rPr>
          <w:color w:val="414042"/>
          <w:spacing w:val="-8"/>
        </w:rPr>
        <w:t xml:space="preserve"> </w:t>
      </w:r>
      <w:r>
        <w:rPr>
          <w:color w:val="414042"/>
        </w:rPr>
        <w:t>being Indigenous</w:t>
      </w:r>
      <w:r>
        <w:rPr>
          <w:color w:val="414042"/>
          <w:spacing w:val="-1"/>
        </w:rPr>
        <w:t xml:space="preserve"> </w:t>
      </w:r>
      <w:r>
        <w:rPr>
          <w:color w:val="414042"/>
        </w:rPr>
        <w:t>Australians.</w:t>
      </w:r>
    </w:p>
    <w:p w:rsidR="00580ABF" w:rsidRDefault="00E352FF">
      <w:pPr>
        <w:pStyle w:val="BodyText"/>
        <w:spacing w:before="107" w:line="211" w:lineRule="auto"/>
        <w:ind w:left="542" w:right="1238"/>
      </w:pPr>
      <w:r>
        <w:rPr>
          <w:color w:val="414042"/>
          <w:spacing w:val="-4"/>
        </w:rPr>
        <w:t xml:space="preserve">We </w:t>
      </w:r>
      <w:r>
        <w:rPr>
          <w:color w:val="414042"/>
        </w:rPr>
        <w:t>ensured that we received a balance of rural,</w:t>
      </w:r>
      <w:r>
        <w:rPr>
          <w:color w:val="414042"/>
          <w:spacing w:val="-26"/>
        </w:rPr>
        <w:t xml:space="preserve"> </w:t>
      </w:r>
      <w:r>
        <w:rPr>
          <w:color w:val="414042"/>
        </w:rPr>
        <w:t>remote and urban voices, although the majority of those consulted were in urban settings - mainly because most peak Indigenous national and state bodies are based in metropolitan</w:t>
      </w:r>
      <w:r>
        <w:rPr>
          <w:color w:val="414042"/>
          <w:spacing w:val="-2"/>
        </w:rPr>
        <w:t xml:space="preserve"> </w:t>
      </w:r>
      <w:r>
        <w:rPr>
          <w:color w:val="414042"/>
        </w:rPr>
        <w:t>locations.</w:t>
      </w:r>
    </w:p>
    <w:p w:rsidR="00580ABF" w:rsidRDefault="00E352FF">
      <w:pPr>
        <w:pStyle w:val="BodyText"/>
        <w:spacing w:before="108" w:line="211" w:lineRule="auto"/>
        <w:ind w:left="542" w:right="1020"/>
      </w:pPr>
      <w:r>
        <w:rPr>
          <w:color w:val="414042"/>
        </w:rPr>
        <w:t>States and territories were all represented with approximately equal numbers of stakeholders, with the exception of Western Australia, which was slightly less represented.</w:t>
      </w:r>
    </w:p>
    <w:p w:rsidR="00580ABF" w:rsidRDefault="00E352FF">
      <w:pPr>
        <w:pStyle w:val="BodyText"/>
        <w:spacing w:before="109" w:line="211" w:lineRule="auto"/>
        <w:ind w:left="542" w:right="1020"/>
      </w:pPr>
      <w:r>
        <w:rPr>
          <w:color w:val="414042"/>
        </w:rPr>
        <w:t>We strove to achieve a gender balance with an approximately 40% male and 60% female rate. in the stakeholder discussions. We spoke with stakeholders from a range of policy areas, i.e. health, education, Indigenous affairs, local government, justice, the arts and housing, government, non-government and community-controlled bodies.</w:t>
      </w:r>
    </w:p>
    <w:p w:rsidR="00580ABF" w:rsidRDefault="00E352FF" w:rsidP="00017DFD">
      <w:pPr>
        <w:pStyle w:val="Heading3"/>
        <w:ind w:left="0" w:firstLine="542"/>
      </w:pPr>
      <w:r w:rsidRPr="00017DFD">
        <w:t>Reporting</w:t>
      </w:r>
    </w:p>
    <w:p w:rsidR="00580ABF" w:rsidRDefault="00E352FF">
      <w:pPr>
        <w:pStyle w:val="BodyText"/>
        <w:spacing w:before="24" w:line="211" w:lineRule="auto"/>
        <w:ind w:left="542" w:right="1020"/>
      </w:pPr>
      <w:r>
        <w:rPr>
          <w:color w:val="414042"/>
        </w:rPr>
        <w:t>The data from stakeholders was analysed for overarching themes by using NVivo software and team discussions.</w:t>
      </w:r>
    </w:p>
    <w:p w:rsidR="00580ABF" w:rsidRDefault="00E352FF">
      <w:pPr>
        <w:pStyle w:val="BodyText"/>
        <w:spacing w:before="111" w:line="211" w:lineRule="auto"/>
        <w:ind w:left="542" w:right="1020"/>
      </w:pPr>
      <w:r>
        <w:rPr>
          <w:color w:val="414042"/>
        </w:rPr>
        <w:t>The literature was then considered with respect to each theme.</w:t>
      </w:r>
    </w:p>
    <w:p w:rsidR="00580ABF" w:rsidRDefault="00E352FF">
      <w:pPr>
        <w:pStyle w:val="BodyText"/>
        <w:spacing w:before="111" w:line="211" w:lineRule="auto"/>
        <w:ind w:left="542" w:right="1191"/>
        <w:jc w:val="both"/>
      </w:pPr>
      <w:r>
        <w:rPr>
          <w:color w:val="414042"/>
        </w:rPr>
        <w:t>Final</w:t>
      </w:r>
      <w:r>
        <w:rPr>
          <w:color w:val="414042"/>
          <w:spacing w:val="-5"/>
        </w:rPr>
        <w:t xml:space="preserve"> </w:t>
      </w:r>
      <w:r>
        <w:rPr>
          <w:color w:val="414042"/>
        </w:rPr>
        <w:t>write</w:t>
      </w:r>
      <w:r>
        <w:rPr>
          <w:color w:val="414042"/>
          <w:spacing w:val="-3"/>
        </w:rPr>
        <w:t xml:space="preserve"> </w:t>
      </w:r>
      <w:r>
        <w:rPr>
          <w:color w:val="414042"/>
        </w:rPr>
        <w:t>up</w:t>
      </w:r>
      <w:r>
        <w:rPr>
          <w:color w:val="414042"/>
          <w:spacing w:val="-4"/>
        </w:rPr>
        <w:t xml:space="preserve"> </w:t>
      </w:r>
      <w:r>
        <w:rPr>
          <w:color w:val="414042"/>
        </w:rPr>
        <w:t>for</w:t>
      </w:r>
      <w:r>
        <w:rPr>
          <w:color w:val="414042"/>
          <w:spacing w:val="-5"/>
        </w:rPr>
        <w:t xml:space="preserve"> </w:t>
      </w:r>
      <w:r>
        <w:rPr>
          <w:color w:val="414042"/>
        </w:rPr>
        <w:t>each</w:t>
      </w:r>
      <w:r>
        <w:rPr>
          <w:color w:val="414042"/>
          <w:spacing w:val="-3"/>
        </w:rPr>
        <w:t xml:space="preserve"> </w:t>
      </w:r>
      <w:r>
        <w:rPr>
          <w:color w:val="414042"/>
        </w:rPr>
        <w:t>theme</w:t>
      </w:r>
      <w:r>
        <w:rPr>
          <w:color w:val="414042"/>
          <w:spacing w:val="-3"/>
        </w:rPr>
        <w:t xml:space="preserve"> </w:t>
      </w:r>
      <w:r>
        <w:rPr>
          <w:color w:val="414042"/>
        </w:rPr>
        <w:t>is</w:t>
      </w:r>
      <w:r>
        <w:rPr>
          <w:color w:val="414042"/>
          <w:spacing w:val="-4"/>
        </w:rPr>
        <w:t xml:space="preserve"> </w:t>
      </w:r>
      <w:r>
        <w:rPr>
          <w:color w:val="414042"/>
        </w:rPr>
        <w:t>therefore</w:t>
      </w:r>
      <w:r>
        <w:rPr>
          <w:color w:val="414042"/>
          <w:spacing w:val="-4"/>
        </w:rPr>
        <w:t xml:space="preserve"> </w:t>
      </w:r>
      <w:r>
        <w:rPr>
          <w:color w:val="414042"/>
        </w:rPr>
        <w:t>based</w:t>
      </w:r>
      <w:r>
        <w:rPr>
          <w:color w:val="414042"/>
          <w:spacing w:val="-4"/>
        </w:rPr>
        <w:t xml:space="preserve"> </w:t>
      </w:r>
      <w:r>
        <w:rPr>
          <w:color w:val="414042"/>
        </w:rPr>
        <w:t>on</w:t>
      </w:r>
      <w:r>
        <w:rPr>
          <w:color w:val="414042"/>
          <w:spacing w:val="-4"/>
        </w:rPr>
        <w:t xml:space="preserve"> </w:t>
      </w:r>
      <w:r>
        <w:rPr>
          <w:color w:val="414042"/>
        </w:rPr>
        <w:t>both the literature and stakeholder feedback and our analysis of data emerging from these two collection</w:t>
      </w:r>
      <w:r>
        <w:rPr>
          <w:color w:val="414042"/>
          <w:spacing w:val="-19"/>
        </w:rPr>
        <w:t xml:space="preserve"> </w:t>
      </w:r>
      <w:r>
        <w:rPr>
          <w:color w:val="414042"/>
        </w:rPr>
        <w:t>points.</w:t>
      </w:r>
    </w:p>
    <w:p w:rsidR="00580ABF" w:rsidRDefault="00580ABF">
      <w:pPr>
        <w:pStyle w:val="BodyText"/>
        <w:rPr>
          <w:sz w:val="20"/>
        </w:rPr>
      </w:pPr>
    </w:p>
    <w:p w:rsidR="00580ABF" w:rsidRDefault="00580ABF">
      <w:pPr>
        <w:pStyle w:val="BodyText"/>
        <w:rPr>
          <w:sz w:val="17"/>
        </w:rPr>
      </w:pPr>
    </w:p>
    <w:p w:rsidR="00580ABF" w:rsidRDefault="00580ABF">
      <w:pPr>
        <w:rPr>
          <w:sz w:val="17"/>
        </w:rPr>
        <w:sectPr w:rsidR="00580ABF">
          <w:type w:val="continuous"/>
          <w:pgSz w:w="11910" w:h="16840"/>
          <w:pgMar w:top="1580" w:right="180" w:bottom="280" w:left="420" w:header="720" w:footer="720" w:gutter="0"/>
          <w:cols w:num="2" w:space="720" w:equalWidth="0">
            <w:col w:w="5177" w:space="40"/>
            <w:col w:w="6093"/>
          </w:cols>
        </w:sectPr>
      </w:pPr>
    </w:p>
    <w:p w:rsidR="00580ABF" w:rsidRPr="005F31DB" w:rsidRDefault="00D907BC" w:rsidP="00A244CC">
      <w:pPr>
        <w:pStyle w:val="Heading2"/>
        <w:sectPr w:rsidR="00580ABF" w:rsidRPr="005F31DB">
          <w:pgSz w:w="11910" w:h="16840"/>
          <w:pgMar w:top="1280" w:right="180" w:bottom="380" w:left="420" w:header="0" w:footer="183" w:gutter="0"/>
          <w:cols w:space="720"/>
        </w:sectPr>
      </w:pPr>
      <w:r w:rsidRPr="005F31DB">
        <w:lastRenderedPageBreak/>
        <w:t>SNAPSHOT OF THE TARGETS</w:t>
      </w:r>
      <w:r w:rsidR="005F31DB" w:rsidRPr="005F31DB">
        <w:rPr>
          <w:vertAlign w:val="superscript"/>
        </w:rPr>
        <w:t>1</w:t>
      </w:r>
    </w:p>
    <w:p w:rsidR="00190D2F" w:rsidRDefault="00190D2F">
      <w:pPr>
        <w:spacing w:before="26"/>
        <w:ind w:left="800"/>
        <w:rPr>
          <w:color w:val="414042"/>
          <w:sz w:val="14"/>
        </w:rPr>
      </w:pPr>
      <w:r>
        <w:rPr>
          <w:noProof/>
          <w:color w:val="414042"/>
          <w:sz w:val="14"/>
          <w:lang w:val="en-AU" w:eastAsia="en-AU" w:bidi="ar-SA"/>
        </w:rPr>
        <w:drawing>
          <wp:inline distT="0" distB="0" distL="0" distR="0" wp14:anchorId="0BF7A9A0" wp14:editId="373306EA">
            <wp:extent cx="6400800" cy="8001000"/>
            <wp:effectExtent l="0" t="0" r="0" b="0"/>
            <wp:docPr id="10" name="Picture 10" descr="1.Child mortality: Closing the gap in child mortality by 2018 has not been met. However, there has been some significant improvement, as at 2015, the range was just outside of the target and between 1998 and 2015 the child mortality rate declined by 33%. &#10;2.Life expectancy: There is some way to go with closing the gap on life expectancy between Indigenous and non-Indigenous Australians by 2031. The target is not on track but the gap declined by 15% between 1998 and 2015. &#10;3.Early childhood education: The newly set target of having 95% of all Indigenous 4 year old children enrolled in early childhood education by 2025 is on track. In 2015 87% of Indigenous 4 year old children were enrolled compared to 98% for non-Indigenous children.  &#10;" title="Snapshot of Closing the Gap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 and Co\AppData\Local\Temp\Temp1_CTG images.zip\CTG images\Closing the gap_FINAL_V2_TAGGED_WEB-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001000"/>
                    </a:xfrm>
                    <a:prstGeom prst="rect">
                      <a:avLst/>
                    </a:prstGeom>
                    <a:noFill/>
                    <a:ln>
                      <a:noFill/>
                    </a:ln>
                  </pic:spPr>
                </pic:pic>
              </a:graphicData>
            </a:graphic>
          </wp:inline>
        </w:drawing>
      </w:r>
    </w:p>
    <w:p w:rsidR="00580ABF" w:rsidRDefault="00580ABF">
      <w:pPr>
        <w:rPr>
          <w:sz w:val="14"/>
        </w:rPr>
        <w:sectPr w:rsidR="00580ABF">
          <w:type w:val="continuous"/>
          <w:pgSz w:w="11910" w:h="16840"/>
          <w:pgMar w:top="1580" w:right="180" w:bottom="280" w:left="420" w:header="720" w:footer="720" w:gutter="0"/>
          <w:cols w:space="720"/>
        </w:sectPr>
      </w:pPr>
    </w:p>
    <w:p w:rsidR="0002622B" w:rsidRDefault="00686CB3">
      <w:pPr>
        <w:rPr>
          <w:sz w:val="20"/>
          <w:szCs w:val="19"/>
        </w:rPr>
      </w:pPr>
      <w:bookmarkStart w:id="6" w:name="_bookmark4"/>
      <w:bookmarkEnd w:id="6"/>
      <w:r>
        <w:rPr>
          <w:noProof/>
          <w:sz w:val="20"/>
          <w:lang w:val="en-AU" w:eastAsia="en-AU" w:bidi="ar-SA"/>
        </w:rPr>
        <w:lastRenderedPageBreak/>
        <w:drawing>
          <wp:inline distT="0" distB="0" distL="0" distR="0" wp14:anchorId="3B9D03CB" wp14:editId="11A752D9">
            <wp:extent cx="6038850" cy="8867775"/>
            <wp:effectExtent l="0" t="0" r="0" b="9525"/>
            <wp:docPr id="390" name="Picture 390" descr="4. School attendance:  The newly set target to close the gap on school attendance is on track. In 2016 there was 83.4% Indigenous attendance, whereas non-Indigenous attendance was 93.1&#10;5. Reading and numeracy: Halving the gap in reading and numeracy for Indigenous students by 2018 has not been met. However, there have been significant improvements in years 3 and 5 reading and year 9 numeracy. &#10;6. Year 12 completion: The number of Indigenous young people between 20-24 years of age who had completed year 12 had increased from 45.4% in 2008 to 61.5% in 2014-15. Non-Indigenous attainments in that same period did not change significantly, so the target to halve the gap by 2020 is on track. &#10;7. Employment: The target to halve the gap in employment by 2018 has not been met. In 2014-15 the Indigenous employment rate was 48.4%, compared to 72.6% for non-Indigenous Australians.  &#10;" title="Snapshot of th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 and Co\AppData\Local\Temp\Temp1_CTG images.zip\CTG images\Closing the gap_FINAL_V2_TAGGED_WEB-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850" cy="8867775"/>
                    </a:xfrm>
                    <a:prstGeom prst="rect">
                      <a:avLst/>
                    </a:prstGeom>
                    <a:noFill/>
                    <a:ln>
                      <a:noFill/>
                    </a:ln>
                  </pic:spPr>
                </pic:pic>
              </a:graphicData>
            </a:graphic>
          </wp:inline>
        </w:drawing>
      </w:r>
      <w:r w:rsidR="0002622B">
        <w:rPr>
          <w:sz w:val="20"/>
        </w:rPr>
        <w:br w:type="page"/>
      </w:r>
    </w:p>
    <w:p w:rsidR="00580ABF" w:rsidRPr="00673ED3" w:rsidRDefault="00673ED3" w:rsidP="00A244CC">
      <w:pPr>
        <w:pStyle w:val="Heading2"/>
      </w:pPr>
      <w:r w:rsidRPr="00673ED3">
        <w:lastRenderedPageBreak/>
        <w:t>HISTORY OF CLOSING THE GAP</w:t>
      </w:r>
    </w:p>
    <w:p w:rsidR="00580ABF" w:rsidRDefault="00580ABF">
      <w:pPr>
        <w:rPr>
          <w:sz w:val="28"/>
        </w:rPr>
        <w:sectPr w:rsidR="00580ABF">
          <w:pgSz w:w="11910" w:h="16840"/>
          <w:pgMar w:top="1280" w:right="180" w:bottom="380" w:left="420" w:header="0" w:footer="183" w:gutter="0"/>
          <w:cols w:space="720"/>
        </w:sectPr>
      </w:pPr>
    </w:p>
    <w:p w:rsidR="00580ABF" w:rsidRPr="005D3114" w:rsidRDefault="00E352FF" w:rsidP="003522CB">
      <w:pPr>
        <w:pStyle w:val="BodyText"/>
        <w:spacing w:before="216" w:line="211" w:lineRule="auto"/>
        <w:ind w:left="827" w:right="73"/>
        <w:rPr>
          <w:color w:val="414042"/>
        </w:rPr>
      </w:pPr>
      <w:r w:rsidRPr="005D3114">
        <w:rPr>
          <w:color w:val="414042"/>
        </w:rPr>
        <w:t>The story of Closing the Gap is an ongoing story of dispossession and its effects, and a movement for equality and recognition for Indigenous people.</w:t>
      </w:r>
    </w:p>
    <w:p w:rsidR="00580ABF" w:rsidRDefault="00E352FF">
      <w:pPr>
        <w:pStyle w:val="BodyText"/>
        <w:spacing w:before="216" w:line="211" w:lineRule="auto"/>
        <w:ind w:left="827" w:right="73"/>
      </w:pPr>
      <w:r>
        <w:rPr>
          <w:color w:val="414042"/>
        </w:rPr>
        <w:t xml:space="preserve">The genesis of Closing the Gap as a discrete initiative within the wider movement for equality can be traced to the former Aboriginal and </w:t>
      </w:r>
      <w:r>
        <w:rPr>
          <w:color w:val="414042"/>
          <w:spacing w:val="-4"/>
        </w:rPr>
        <w:t xml:space="preserve">Torres </w:t>
      </w:r>
      <w:r>
        <w:rPr>
          <w:color w:val="414042"/>
        </w:rPr>
        <w:t xml:space="preserve">Strait Islander Social Justice </w:t>
      </w:r>
      <w:r>
        <w:rPr>
          <w:color w:val="414042"/>
          <w:spacing w:val="-3"/>
        </w:rPr>
        <w:t xml:space="preserve">Commissioner, </w:t>
      </w:r>
      <w:r>
        <w:rPr>
          <w:color w:val="414042"/>
          <w:spacing w:val="-6"/>
        </w:rPr>
        <w:t xml:space="preserve">Tom </w:t>
      </w:r>
      <w:r>
        <w:rPr>
          <w:color w:val="414042"/>
          <w:spacing w:val="-3"/>
        </w:rPr>
        <w:t xml:space="preserve">Calma’s </w:t>
      </w:r>
      <w:r>
        <w:rPr>
          <w:color w:val="414042"/>
        </w:rPr>
        <w:t>Social Justice Report (2005), in which he called on governments to commit</w:t>
      </w:r>
    </w:p>
    <w:p w:rsidR="00580ABF" w:rsidRDefault="00E352FF">
      <w:pPr>
        <w:pStyle w:val="BodyText"/>
        <w:spacing w:line="211" w:lineRule="auto"/>
        <w:ind w:left="827" w:right="192"/>
      </w:pPr>
      <w:r>
        <w:rPr>
          <w:color w:val="414042"/>
        </w:rPr>
        <w:t>to a campaign for achieving Aboriginal and Torres Strait Islander health equality within a generation. The</w:t>
      </w:r>
    </w:p>
    <w:p w:rsidR="00580ABF" w:rsidRDefault="00E352FF">
      <w:pPr>
        <w:pStyle w:val="BodyText"/>
        <w:spacing w:line="211" w:lineRule="auto"/>
        <w:ind w:left="827" w:right="8"/>
      </w:pPr>
      <w:r>
        <w:rPr>
          <w:color w:val="414042"/>
        </w:rPr>
        <w:t>Commissioner went on to note that there was significant capacity in the health sector which could be built on</w:t>
      </w:r>
    </w:p>
    <w:p w:rsidR="00580ABF" w:rsidRDefault="00E352FF">
      <w:pPr>
        <w:pStyle w:val="BodyText"/>
        <w:spacing w:line="211" w:lineRule="auto"/>
        <w:ind w:left="827"/>
      </w:pPr>
      <w:r>
        <w:rPr>
          <w:color w:val="414042"/>
        </w:rPr>
        <w:t>and that the new arrangements for Indigenous affairs at the federal level and associated commitments of COAG also provided unprecedented leverage for coordinating health programs with other departments and agencies (Australian Human Rights Commission, 2005).</w:t>
      </w:r>
    </w:p>
    <w:p w:rsidR="00580ABF" w:rsidRDefault="00E352FF">
      <w:pPr>
        <w:pStyle w:val="BodyText"/>
        <w:spacing w:before="99" w:line="211" w:lineRule="auto"/>
        <w:ind w:left="827" w:right="31"/>
      </w:pPr>
      <w:r>
        <w:rPr>
          <w:color w:val="414042"/>
        </w:rPr>
        <w:t>This gave rise to the National Indigenous Health Equality Campaign in March 2006, whose aim was to achieve health equality within a generation through a human rights-based approach. The coalition consisted of:</w:t>
      </w:r>
    </w:p>
    <w:p w:rsidR="00580ABF" w:rsidRDefault="00E352FF" w:rsidP="00D51460">
      <w:pPr>
        <w:pStyle w:val="BodyText"/>
        <w:numPr>
          <w:ilvl w:val="1"/>
          <w:numId w:val="10"/>
        </w:numPr>
        <w:spacing w:before="83"/>
      </w:pPr>
      <w:r>
        <w:t>The Australian Human Rights Commission</w:t>
      </w:r>
    </w:p>
    <w:p w:rsidR="00580ABF" w:rsidRDefault="00C13FDF" w:rsidP="00D51460">
      <w:pPr>
        <w:pStyle w:val="BodyText"/>
        <w:numPr>
          <w:ilvl w:val="1"/>
          <w:numId w:val="10"/>
        </w:numPr>
        <w:spacing w:before="106" w:line="211" w:lineRule="auto"/>
      </w:pPr>
      <w:hyperlink r:id="rId21">
        <w:r w:rsidR="00E352FF">
          <w:t>National Aboriginal Community Controlled Health</w:t>
        </w:r>
      </w:hyperlink>
      <w:r w:rsidR="00E352FF">
        <w:t xml:space="preserve"> </w:t>
      </w:r>
      <w:hyperlink r:id="rId22">
        <w:r w:rsidR="00E352FF">
          <w:t>Organisation (NACCHO)</w:t>
        </w:r>
      </w:hyperlink>
    </w:p>
    <w:p w:rsidR="00580ABF" w:rsidRDefault="00C13FDF" w:rsidP="00D51460">
      <w:pPr>
        <w:pStyle w:val="BodyText"/>
        <w:numPr>
          <w:ilvl w:val="1"/>
          <w:numId w:val="10"/>
        </w:numPr>
        <w:spacing w:before="85"/>
      </w:pPr>
      <w:hyperlink r:id="rId23">
        <w:r w:rsidR="00E352FF">
          <w:t>Australian Indigenous Doctors’ Association (AIDA)</w:t>
        </w:r>
      </w:hyperlink>
    </w:p>
    <w:p w:rsidR="00580ABF" w:rsidRDefault="00C13FDF" w:rsidP="00D51460">
      <w:pPr>
        <w:pStyle w:val="BodyText"/>
        <w:numPr>
          <w:ilvl w:val="1"/>
          <w:numId w:val="10"/>
        </w:numPr>
        <w:spacing w:before="106" w:line="211" w:lineRule="auto"/>
        <w:ind w:right="73"/>
      </w:pPr>
      <w:hyperlink r:id="rId24">
        <w:r w:rsidR="00E352FF">
          <w:t>Congress of Aboriginal and Torres Strait Islander</w:t>
        </w:r>
      </w:hyperlink>
      <w:r w:rsidR="00E352FF">
        <w:t xml:space="preserve"> </w:t>
      </w:r>
      <w:hyperlink r:id="rId25">
        <w:r w:rsidR="00E352FF">
          <w:t>Nurses and Midwives (CATSINaM)</w:t>
        </w:r>
      </w:hyperlink>
    </w:p>
    <w:p w:rsidR="00580ABF" w:rsidRDefault="00E352FF" w:rsidP="00D51460">
      <w:pPr>
        <w:pStyle w:val="BodyText"/>
        <w:numPr>
          <w:ilvl w:val="1"/>
          <w:numId w:val="10"/>
        </w:numPr>
        <w:spacing w:before="85"/>
      </w:pPr>
      <w:r>
        <w:t>Indigenous Dentists' Association of Australia (IDAA)</w:t>
      </w:r>
    </w:p>
    <w:p w:rsidR="00580ABF" w:rsidRDefault="00C13FDF" w:rsidP="00D51460">
      <w:pPr>
        <w:pStyle w:val="BodyText"/>
        <w:numPr>
          <w:ilvl w:val="1"/>
          <w:numId w:val="10"/>
        </w:numPr>
        <w:spacing w:before="79"/>
      </w:pPr>
      <w:hyperlink r:id="rId26">
        <w:r w:rsidR="00E352FF">
          <w:rPr>
            <w:w w:val="105"/>
          </w:rPr>
          <w:t>Oxfam Australia</w:t>
        </w:r>
      </w:hyperlink>
    </w:p>
    <w:p w:rsidR="00580ABF" w:rsidRDefault="00C13FDF" w:rsidP="00D51460">
      <w:pPr>
        <w:pStyle w:val="BodyText"/>
        <w:numPr>
          <w:ilvl w:val="1"/>
          <w:numId w:val="9"/>
        </w:numPr>
        <w:spacing w:before="106" w:line="211" w:lineRule="auto"/>
        <w:ind w:right="192"/>
      </w:pPr>
      <w:hyperlink r:id="rId27">
        <w:r w:rsidR="00E352FF">
          <w:t>Australians for Native Title and Reconciliation</w:t>
        </w:r>
      </w:hyperlink>
      <w:r w:rsidR="00E352FF">
        <w:t xml:space="preserve"> </w:t>
      </w:r>
      <w:hyperlink r:id="rId28">
        <w:r w:rsidR="00E352FF">
          <w:t>(ANTAR)</w:t>
        </w:r>
      </w:hyperlink>
      <w:r w:rsidR="00E352FF">
        <w:t>.</w:t>
      </w:r>
    </w:p>
    <w:p w:rsidR="00580ABF" w:rsidRDefault="00E352FF" w:rsidP="003522CB">
      <w:pPr>
        <w:pStyle w:val="BodyText"/>
        <w:spacing w:before="47" w:line="211" w:lineRule="auto"/>
        <w:ind w:left="478" w:right="1337"/>
        <w:rPr>
          <w:color w:val="414042"/>
        </w:rPr>
      </w:pPr>
      <w:r>
        <w:br w:type="column"/>
      </w:r>
      <w:r>
        <w:rPr>
          <w:color w:val="414042"/>
          <w:spacing w:val="-3"/>
        </w:rPr>
        <w:t xml:space="preserve">At </w:t>
      </w:r>
      <w:r>
        <w:rPr>
          <w:color w:val="414042"/>
        </w:rPr>
        <w:t>the end of 2007 this campaigning resulted in the Council</w:t>
      </w:r>
      <w:r>
        <w:rPr>
          <w:color w:val="414042"/>
          <w:spacing w:val="-9"/>
        </w:rPr>
        <w:t xml:space="preserve"> </w:t>
      </w:r>
      <w:r>
        <w:rPr>
          <w:color w:val="414042"/>
        </w:rPr>
        <w:t>of</w:t>
      </w:r>
      <w:r>
        <w:rPr>
          <w:color w:val="414042"/>
          <w:spacing w:val="-9"/>
        </w:rPr>
        <w:t xml:space="preserve"> </w:t>
      </w:r>
      <w:r>
        <w:rPr>
          <w:color w:val="414042"/>
        </w:rPr>
        <w:t>Australian</w:t>
      </w:r>
      <w:r>
        <w:rPr>
          <w:color w:val="414042"/>
          <w:spacing w:val="-9"/>
        </w:rPr>
        <w:t xml:space="preserve"> </w:t>
      </w:r>
      <w:r>
        <w:rPr>
          <w:color w:val="414042"/>
        </w:rPr>
        <w:t>Governments</w:t>
      </w:r>
      <w:r>
        <w:rPr>
          <w:color w:val="414042"/>
          <w:spacing w:val="-8"/>
        </w:rPr>
        <w:t xml:space="preserve"> </w:t>
      </w:r>
      <w:r>
        <w:rPr>
          <w:color w:val="414042"/>
        </w:rPr>
        <w:t>(COAG)</w:t>
      </w:r>
      <w:r>
        <w:rPr>
          <w:color w:val="414042"/>
          <w:spacing w:val="-8"/>
        </w:rPr>
        <w:t xml:space="preserve"> </w:t>
      </w:r>
      <w:r>
        <w:rPr>
          <w:color w:val="414042"/>
        </w:rPr>
        <w:t xml:space="preserve">committing to “Closing the </w:t>
      </w:r>
      <w:r>
        <w:rPr>
          <w:color w:val="414042"/>
          <w:spacing w:val="-4"/>
        </w:rPr>
        <w:t xml:space="preserve">Gap”.  </w:t>
      </w:r>
      <w:r>
        <w:rPr>
          <w:color w:val="414042"/>
        </w:rPr>
        <w:t>A formal statement of intent was adopted in March 2008 whereby the</w:t>
      </w:r>
      <w:r>
        <w:rPr>
          <w:color w:val="414042"/>
          <w:spacing w:val="-15"/>
        </w:rPr>
        <w:t xml:space="preserve"> </w:t>
      </w:r>
      <w:r>
        <w:rPr>
          <w:color w:val="414042"/>
        </w:rPr>
        <w:t>Australian</w:t>
      </w:r>
      <w:r w:rsidR="003522CB">
        <w:rPr>
          <w:color w:val="414042"/>
        </w:rPr>
        <w:t xml:space="preserve"> </w:t>
      </w:r>
      <w:r>
        <w:rPr>
          <w:color w:val="414042"/>
        </w:rPr>
        <w:t>government and key Indigenous health peak bodies and the Australian Human Rights Commission agreed to work together to close the gap.</w:t>
      </w:r>
    </w:p>
    <w:p w:rsidR="003522CB" w:rsidRPr="00477215" w:rsidRDefault="003522CB" w:rsidP="003522CB">
      <w:pPr>
        <w:pStyle w:val="BodyText"/>
        <w:spacing w:before="47" w:line="211" w:lineRule="auto"/>
        <w:ind w:left="478" w:right="1337"/>
        <w:rPr>
          <w:color w:val="414042"/>
        </w:rPr>
      </w:pPr>
    </w:p>
    <w:p w:rsidR="00580ABF" w:rsidRPr="00477215" w:rsidRDefault="00E352FF" w:rsidP="00AD0F84">
      <w:pPr>
        <w:pStyle w:val="BodyText"/>
        <w:spacing w:line="211" w:lineRule="auto"/>
        <w:ind w:left="478" w:right="8"/>
        <w:rPr>
          <w:color w:val="414042"/>
        </w:rPr>
      </w:pPr>
      <w:r>
        <w:rPr>
          <w:color w:val="414042"/>
        </w:rPr>
        <w:t xml:space="preserve">The National Indigenous Reform Agreement (NIRA) was agreed to by COAG in 2008 and incorporated six ‘closing the gap’ targets. It prioritised seven inter-related ‘building blocks’ within its overall approach. Of the specific targets that were set out in the NIRA it included Objective 18 that: </w:t>
      </w:r>
      <w:r w:rsidRPr="00477215">
        <w:rPr>
          <w:color w:val="414042"/>
        </w:rPr>
        <w:t>through this agreement the parties committed</w:t>
      </w:r>
      <w:r w:rsidR="00AD0F84">
        <w:rPr>
          <w:color w:val="414042"/>
        </w:rPr>
        <w:t xml:space="preserve"> </w:t>
      </w:r>
      <w:r w:rsidRPr="00477215">
        <w:rPr>
          <w:color w:val="414042"/>
        </w:rPr>
        <w:t>to working together with Indigenous Australians to Close the Gap on Indigenous disadvantage and work together to achieve equality in health status and</w:t>
      </w:r>
      <w:r w:rsidR="00AD0F84">
        <w:rPr>
          <w:color w:val="414042"/>
        </w:rPr>
        <w:t xml:space="preserve"> </w:t>
      </w:r>
      <w:r w:rsidRPr="00477215">
        <w:rPr>
          <w:color w:val="414042"/>
        </w:rPr>
        <w:t>life expectancy between Aboriginal and Torres Strait Islander peoples and non-Indigenous Australians by 2030.</w:t>
      </w:r>
    </w:p>
    <w:p w:rsidR="00673ED3" w:rsidRPr="00477215" w:rsidRDefault="00673ED3" w:rsidP="00477215">
      <w:pPr>
        <w:pStyle w:val="BodyText"/>
        <w:spacing w:line="211" w:lineRule="auto"/>
        <w:ind w:left="827" w:right="8"/>
        <w:rPr>
          <w:color w:val="414042"/>
        </w:rPr>
      </w:pPr>
    </w:p>
    <w:p w:rsidR="00673ED3" w:rsidRPr="00477215" w:rsidRDefault="00673ED3" w:rsidP="003522CB">
      <w:pPr>
        <w:pStyle w:val="BodyText"/>
        <w:spacing w:line="211" w:lineRule="auto"/>
        <w:ind w:left="478" w:right="8"/>
        <w:rPr>
          <w:color w:val="414042"/>
        </w:rPr>
      </w:pPr>
      <w:r w:rsidRPr="00477215">
        <w:rPr>
          <w:color w:val="414042"/>
        </w:rPr>
        <w:t>It was a key message from our analysis that at the beginning of Closing the Gap, it was seen as a pathway that set out how to move toward equality. It was a blueprint for how, particularly within the Closing the Gap initiative because was a solid recognition that achieving equality between Indigenous and non-Indigenous Australians would only be made possible by working in partnership with Indigenous people.</w:t>
      </w:r>
    </w:p>
    <w:p w:rsidR="00580ABF" w:rsidRDefault="00580ABF">
      <w:pPr>
        <w:pStyle w:val="BodyText"/>
        <w:spacing w:before="13"/>
        <w:rPr>
          <w:sz w:val="8"/>
        </w:rPr>
      </w:pPr>
    </w:p>
    <w:p w:rsidR="00580ABF" w:rsidRDefault="00580ABF">
      <w:pPr>
        <w:spacing w:line="211" w:lineRule="auto"/>
        <w:sectPr w:rsidR="00580ABF">
          <w:type w:val="continuous"/>
          <w:pgSz w:w="11910" w:h="16840"/>
          <w:pgMar w:top="1580" w:right="180" w:bottom="280" w:left="420" w:header="720" w:footer="720" w:gutter="0"/>
          <w:cols w:num="2" w:space="720" w:equalWidth="0">
            <w:col w:w="5242" w:space="40"/>
            <w:col w:w="6028"/>
          </w:cols>
        </w:sectPr>
      </w:pPr>
    </w:p>
    <w:p w:rsidR="00580ABF" w:rsidRDefault="0006017F" w:rsidP="00A244CC">
      <w:pPr>
        <w:pStyle w:val="Heading2"/>
      </w:pPr>
      <w:bookmarkStart w:id="7" w:name="Indigenous_perspectives__on_Closing_the_"/>
      <w:bookmarkStart w:id="8" w:name="_bookmark5"/>
      <w:bookmarkEnd w:id="7"/>
      <w:bookmarkEnd w:id="8"/>
      <w:r>
        <w:lastRenderedPageBreak/>
        <w:t>INDIGENOUS</w:t>
      </w:r>
      <w:r w:rsidR="00C546B4">
        <w:t xml:space="preserve"> </w:t>
      </w:r>
      <w:r>
        <w:t>PERSPECTIVES</w:t>
      </w:r>
      <w:r w:rsidR="00C546B4">
        <w:t xml:space="preserve"> </w:t>
      </w:r>
      <w:r w:rsidR="00E352FF">
        <w:t>ON CLOSING THE GAP</w:t>
      </w:r>
      <w:r w:rsidR="0000050B">
        <w:rPr>
          <w:noProof/>
          <w:lang w:val="en-AU" w:eastAsia="en-AU" w:bidi="ar-SA"/>
        </w:rPr>
        <w:drawing>
          <wp:inline distT="0" distB="0" distL="0" distR="0" wp14:anchorId="5B2208FA" wp14:editId="43BF36DC">
            <wp:extent cx="3291761" cy="3438659"/>
            <wp:effectExtent l="0" t="0" r="4445" b="0"/>
            <wp:docPr id="13" name="image60.png" descr="Image of two elderly Indigenous wome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8680" cy="3445887"/>
                    </a:xfrm>
                    <a:prstGeom prst="rect">
                      <a:avLst/>
                    </a:prstGeom>
                  </pic:spPr>
                </pic:pic>
              </a:graphicData>
            </a:graphic>
          </wp:inline>
        </w:drawing>
      </w:r>
    </w:p>
    <w:p w:rsidR="00580ABF" w:rsidRDefault="00E352FF" w:rsidP="00A6031A">
      <w:pPr>
        <w:pStyle w:val="BodyText"/>
        <w:spacing w:before="216" w:line="211" w:lineRule="auto"/>
        <w:ind w:left="827" w:right="73"/>
        <w:rPr>
          <w:sz w:val="22"/>
        </w:rPr>
      </w:pPr>
      <w:r w:rsidRPr="005D3114">
        <w:rPr>
          <w:color w:val="414042"/>
        </w:rPr>
        <w:t>(Findings from consultations and literature)</w:t>
      </w:r>
      <w:r w:rsidR="00A6031A">
        <w:rPr>
          <w:sz w:val="22"/>
        </w:rPr>
        <w:t xml:space="preserve"> </w:t>
      </w:r>
    </w:p>
    <w:p w:rsidR="00580ABF" w:rsidRDefault="00E352FF" w:rsidP="00017DFD">
      <w:pPr>
        <w:pStyle w:val="Heading3"/>
      </w:pPr>
      <w:r>
        <w:t>Themes and questions</w:t>
      </w:r>
    </w:p>
    <w:p w:rsidR="00580ABF" w:rsidRDefault="00E352FF">
      <w:pPr>
        <w:pStyle w:val="BodyText"/>
        <w:spacing w:before="23" w:line="211" w:lineRule="auto"/>
        <w:ind w:left="827" w:right="5960"/>
      </w:pPr>
      <w:r>
        <w:rPr>
          <w:color w:val="414042"/>
        </w:rPr>
        <w:t>In gathering data for this project under the Review questions outlined in the scope, the data clearly gathered into three main themes: the framework itself generally, the targets specifically, and the implementation of the framework.</w:t>
      </w:r>
    </w:p>
    <w:p w:rsidR="00580ABF" w:rsidRDefault="00E352FF">
      <w:pPr>
        <w:pStyle w:val="BodyText"/>
        <w:spacing w:before="108" w:line="211" w:lineRule="auto"/>
        <w:ind w:left="827" w:right="5960"/>
      </w:pPr>
      <w:r>
        <w:rPr>
          <w:color w:val="414042"/>
        </w:rPr>
        <w:t>The rest of this report is the analysis of feedback from stakeholders and the literature review drawn into those themes, and how they relate to the Review questions in the project scope.</w:t>
      </w:r>
    </w:p>
    <w:p w:rsidR="00580ABF" w:rsidRDefault="00580ABF">
      <w:pPr>
        <w:pStyle w:val="BodyTex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eme's 1, 2 and 3 of Closing the Gap"/>
        <w:tblDescription w:val="Theme 1, Clsoing the Gap as a Framework: What were the initial expectations from Closing the Gap? How appropriate was the design of the policy framework to achieve the objectives of closing the gap? To what extent did the policy framework and components of the NIRA assist in meeting objectives? Theme 2, Targets: How appropriate was the deisgn of the policy framework to achieve the objectives of closing the gap? To what extent did the policy framework and components of the NIRA assist in meeting objectives? Theme 3, Implementation: What were the major features influencing the achievement or non-achievement of these objectives? To what extent has Changing the Gap built on strengths, demonstrated cultural respect, and involved collaboration in such a way as to make a positive contribution to the lives of current and future generations of Indigenous Australians? "/>
      </w:tblPr>
      <w:tblGrid>
        <w:gridCol w:w="3773"/>
        <w:gridCol w:w="3772"/>
        <w:gridCol w:w="3765"/>
      </w:tblGrid>
      <w:tr w:rsidR="00BE5A66" w:rsidTr="00C546B4">
        <w:trPr>
          <w:tblHeader/>
        </w:trPr>
        <w:tc>
          <w:tcPr>
            <w:tcW w:w="3842" w:type="dxa"/>
          </w:tcPr>
          <w:p w:rsidR="00BE5A66" w:rsidRDefault="00BE5A66" w:rsidP="00C546B4">
            <w:pPr>
              <w:pStyle w:val="TableParagraph"/>
            </w:pPr>
            <w:r>
              <w:t>Theme 1: CLOSING THE GAP AS A FRAMEWORK</w:t>
            </w:r>
          </w:p>
        </w:tc>
        <w:tc>
          <w:tcPr>
            <w:tcW w:w="3842" w:type="dxa"/>
          </w:tcPr>
          <w:p w:rsidR="00BE5A66" w:rsidRDefault="00BE5A66" w:rsidP="00C546B4">
            <w:pPr>
              <w:pStyle w:val="TableParagraph"/>
            </w:pPr>
            <w:r>
              <w:t>THEME 2: TARGETS</w:t>
            </w:r>
          </w:p>
        </w:tc>
        <w:tc>
          <w:tcPr>
            <w:tcW w:w="3842" w:type="dxa"/>
          </w:tcPr>
          <w:p w:rsidR="00BE5A66" w:rsidRDefault="00BE5A66" w:rsidP="00C546B4">
            <w:pPr>
              <w:pStyle w:val="TableParagraph"/>
            </w:pPr>
            <w:r>
              <w:t>THEME 3: IMPLEMENTATION</w:t>
            </w:r>
          </w:p>
        </w:tc>
      </w:tr>
      <w:tr w:rsidR="00BE5A66" w:rsidTr="005630FC">
        <w:tc>
          <w:tcPr>
            <w:tcW w:w="3842" w:type="dxa"/>
          </w:tcPr>
          <w:p w:rsidR="00BE5A66" w:rsidRPr="005630FC" w:rsidRDefault="005630FC" w:rsidP="005630FC">
            <w:pPr>
              <w:pStyle w:val="BodyText"/>
              <w:spacing w:before="159" w:line="211" w:lineRule="auto"/>
              <w:ind w:left="113" w:right="429"/>
              <w:rPr>
                <w:color w:val="414042"/>
              </w:rPr>
            </w:pPr>
            <w:r>
              <w:rPr>
                <w:color w:val="414042"/>
              </w:rPr>
              <w:t>This theme responds  to Q</w:t>
            </w:r>
            <w:r w:rsidR="00BE5A66">
              <w:rPr>
                <w:color w:val="414042"/>
              </w:rPr>
              <w:t>uestions:</w:t>
            </w:r>
          </w:p>
          <w:p w:rsidR="00BE5A66" w:rsidRDefault="00BE5A66">
            <w:pPr>
              <w:pStyle w:val="BodyText"/>
              <w:rPr>
                <w:sz w:val="20"/>
              </w:rPr>
            </w:pPr>
          </w:p>
        </w:tc>
        <w:tc>
          <w:tcPr>
            <w:tcW w:w="3842" w:type="dxa"/>
          </w:tcPr>
          <w:p w:rsidR="005630FC" w:rsidRDefault="005630FC" w:rsidP="005630FC">
            <w:pPr>
              <w:pStyle w:val="BodyText"/>
              <w:spacing w:before="159" w:line="211" w:lineRule="auto"/>
              <w:ind w:left="120" w:right="878"/>
            </w:pPr>
            <w:r>
              <w:rPr>
                <w:color w:val="414042"/>
              </w:rPr>
              <w:t>This theme responds to Questions:</w:t>
            </w:r>
          </w:p>
          <w:p w:rsidR="00BE5A66" w:rsidRDefault="00BE5A66">
            <w:pPr>
              <w:pStyle w:val="BodyText"/>
              <w:rPr>
                <w:sz w:val="20"/>
              </w:rPr>
            </w:pPr>
          </w:p>
        </w:tc>
        <w:tc>
          <w:tcPr>
            <w:tcW w:w="3842" w:type="dxa"/>
          </w:tcPr>
          <w:p w:rsidR="005630FC" w:rsidRDefault="005630FC" w:rsidP="005630FC">
            <w:pPr>
              <w:pStyle w:val="BodyText"/>
              <w:spacing w:before="159" w:line="211" w:lineRule="auto"/>
              <w:ind w:left="120" w:right="878"/>
            </w:pPr>
            <w:r>
              <w:rPr>
                <w:color w:val="414042"/>
              </w:rPr>
              <w:t>This theme responds to Questions:</w:t>
            </w:r>
          </w:p>
          <w:p w:rsidR="00BE5A66" w:rsidRDefault="00BE5A66">
            <w:pPr>
              <w:pStyle w:val="BodyText"/>
              <w:rPr>
                <w:sz w:val="20"/>
              </w:rPr>
            </w:pPr>
          </w:p>
        </w:tc>
      </w:tr>
      <w:tr w:rsidR="00BE5A66" w:rsidTr="005630FC">
        <w:tc>
          <w:tcPr>
            <w:tcW w:w="3842" w:type="dxa"/>
          </w:tcPr>
          <w:p w:rsidR="00BE5A66" w:rsidRDefault="00BE5A66" w:rsidP="00BE5A66">
            <w:pPr>
              <w:pStyle w:val="BodyText"/>
              <w:numPr>
                <w:ilvl w:val="0"/>
                <w:numId w:val="9"/>
              </w:numPr>
              <w:spacing w:before="111" w:line="211" w:lineRule="auto"/>
              <w:ind w:right="429"/>
            </w:pPr>
            <w:r>
              <w:t>What were the initial expectations from Closing the Gap?</w:t>
            </w:r>
          </w:p>
          <w:p w:rsidR="00BE5A66" w:rsidRDefault="00BE5A66" w:rsidP="00BE5A66">
            <w:pPr>
              <w:pStyle w:val="BodyText"/>
              <w:rPr>
                <w:sz w:val="20"/>
              </w:rPr>
            </w:pPr>
          </w:p>
        </w:tc>
        <w:tc>
          <w:tcPr>
            <w:tcW w:w="3842" w:type="dxa"/>
          </w:tcPr>
          <w:p w:rsidR="005630FC" w:rsidRDefault="005630FC" w:rsidP="005630FC">
            <w:pPr>
              <w:pStyle w:val="BodyText"/>
              <w:numPr>
                <w:ilvl w:val="0"/>
                <w:numId w:val="12"/>
              </w:numPr>
              <w:spacing w:before="111" w:line="211" w:lineRule="auto"/>
              <w:ind w:right="723"/>
            </w:pPr>
            <w:r>
              <w:t>How appropriate was the design of the policy framework to achieve the objectives of closing the gap?</w:t>
            </w:r>
          </w:p>
          <w:p w:rsidR="00BE5A66" w:rsidRDefault="00BE5A66">
            <w:pPr>
              <w:pStyle w:val="BodyText"/>
              <w:rPr>
                <w:sz w:val="20"/>
              </w:rPr>
            </w:pPr>
          </w:p>
        </w:tc>
        <w:tc>
          <w:tcPr>
            <w:tcW w:w="3842" w:type="dxa"/>
          </w:tcPr>
          <w:p w:rsidR="005630FC" w:rsidRDefault="005630FC" w:rsidP="005630FC">
            <w:pPr>
              <w:pStyle w:val="BodyText"/>
              <w:numPr>
                <w:ilvl w:val="0"/>
                <w:numId w:val="14"/>
              </w:numPr>
              <w:spacing w:before="111" w:line="211" w:lineRule="auto"/>
              <w:ind w:right="429"/>
            </w:pPr>
            <w:r>
              <w:t>What were the major factors influencing the achievement or non- achievement of the objectives?</w:t>
            </w:r>
          </w:p>
          <w:p w:rsidR="00BE5A66" w:rsidRDefault="00BE5A66">
            <w:pPr>
              <w:pStyle w:val="BodyText"/>
              <w:rPr>
                <w:sz w:val="20"/>
              </w:rPr>
            </w:pPr>
          </w:p>
        </w:tc>
      </w:tr>
      <w:tr w:rsidR="00BE5A66" w:rsidTr="005630FC">
        <w:tc>
          <w:tcPr>
            <w:tcW w:w="3842" w:type="dxa"/>
          </w:tcPr>
          <w:p w:rsidR="00BE5A66" w:rsidRDefault="00BE5A66" w:rsidP="00BE5A66">
            <w:pPr>
              <w:pStyle w:val="BodyText"/>
              <w:numPr>
                <w:ilvl w:val="0"/>
                <w:numId w:val="11"/>
              </w:numPr>
              <w:spacing w:before="110" w:line="211" w:lineRule="auto"/>
              <w:ind w:right="730"/>
            </w:pPr>
            <w:r>
              <w:t>How appropriate was the design of the policy framework to achieve the objectives of closing the gap?</w:t>
            </w:r>
          </w:p>
          <w:p w:rsidR="00BE5A66" w:rsidRDefault="00BE5A66">
            <w:pPr>
              <w:pStyle w:val="BodyText"/>
              <w:rPr>
                <w:sz w:val="20"/>
              </w:rPr>
            </w:pPr>
          </w:p>
        </w:tc>
        <w:tc>
          <w:tcPr>
            <w:tcW w:w="3842" w:type="dxa"/>
          </w:tcPr>
          <w:p w:rsidR="005630FC" w:rsidRDefault="005630FC" w:rsidP="005630FC">
            <w:pPr>
              <w:pStyle w:val="BodyText"/>
              <w:numPr>
                <w:ilvl w:val="0"/>
                <w:numId w:val="12"/>
              </w:numPr>
              <w:spacing w:before="108" w:line="211" w:lineRule="auto"/>
              <w:ind w:right="810"/>
            </w:pPr>
            <w:r>
              <w:t>To what extent did the policy framework and components of the NIRA assist in meeting objectives?</w:t>
            </w:r>
          </w:p>
          <w:p w:rsidR="00BE5A66" w:rsidRDefault="00BE5A66">
            <w:pPr>
              <w:pStyle w:val="BodyText"/>
              <w:rPr>
                <w:sz w:val="20"/>
              </w:rPr>
            </w:pPr>
          </w:p>
        </w:tc>
        <w:tc>
          <w:tcPr>
            <w:tcW w:w="3842" w:type="dxa"/>
          </w:tcPr>
          <w:p w:rsidR="005630FC" w:rsidRDefault="005630FC" w:rsidP="005630FC">
            <w:pPr>
              <w:pStyle w:val="BodyText"/>
              <w:numPr>
                <w:ilvl w:val="0"/>
                <w:numId w:val="14"/>
              </w:numPr>
              <w:spacing w:before="111" w:line="211" w:lineRule="auto"/>
              <w:ind w:right="429"/>
            </w:pPr>
            <w:r>
              <w:t>To what extent has Closing the Gap built on</w:t>
            </w:r>
            <w:r w:rsidRPr="00A3477E">
              <w:rPr>
                <w:spacing w:val="-15"/>
              </w:rPr>
              <w:t xml:space="preserve"> </w:t>
            </w:r>
            <w:r>
              <w:t xml:space="preserve">strengths, demonstrated cultural respect, and involved collaboration in such a </w:t>
            </w:r>
            <w:r w:rsidRPr="00A3477E">
              <w:rPr>
                <w:spacing w:val="-3"/>
              </w:rPr>
              <w:t xml:space="preserve">way </w:t>
            </w:r>
            <w:r>
              <w:t>as to make a positive contribution to the</w:t>
            </w:r>
            <w:r w:rsidRPr="00A3477E">
              <w:rPr>
                <w:spacing w:val="-6"/>
              </w:rPr>
              <w:t xml:space="preserve"> </w:t>
            </w:r>
            <w:r>
              <w:t>lives of current and future generations of Indigenous Australians?</w:t>
            </w:r>
          </w:p>
          <w:p w:rsidR="00BE5A66" w:rsidRDefault="00BE5A66">
            <w:pPr>
              <w:pStyle w:val="BodyText"/>
              <w:rPr>
                <w:sz w:val="20"/>
              </w:rPr>
            </w:pPr>
          </w:p>
        </w:tc>
      </w:tr>
      <w:tr w:rsidR="00BE5A66" w:rsidTr="005630FC">
        <w:tc>
          <w:tcPr>
            <w:tcW w:w="3842" w:type="dxa"/>
          </w:tcPr>
          <w:p w:rsidR="00BE5A66" w:rsidRPr="005630FC" w:rsidRDefault="00BE5A66" w:rsidP="005630FC">
            <w:pPr>
              <w:pStyle w:val="BodyText"/>
              <w:numPr>
                <w:ilvl w:val="0"/>
                <w:numId w:val="11"/>
              </w:numPr>
              <w:spacing w:before="109" w:line="211" w:lineRule="auto"/>
              <w:ind w:right="817"/>
            </w:pPr>
            <w:r>
              <w:t>To what extent did the policy framework and components of the NIRA assist in meeting objectives?</w:t>
            </w:r>
          </w:p>
        </w:tc>
        <w:tc>
          <w:tcPr>
            <w:tcW w:w="3842" w:type="dxa"/>
          </w:tcPr>
          <w:p w:rsidR="00BE5A66" w:rsidRDefault="00BE5A66">
            <w:pPr>
              <w:pStyle w:val="BodyText"/>
              <w:rPr>
                <w:sz w:val="20"/>
              </w:rPr>
            </w:pPr>
          </w:p>
        </w:tc>
        <w:tc>
          <w:tcPr>
            <w:tcW w:w="3842" w:type="dxa"/>
          </w:tcPr>
          <w:p w:rsidR="00BE5A66" w:rsidRDefault="00BE5A66">
            <w:pPr>
              <w:pStyle w:val="BodyText"/>
              <w:rPr>
                <w:sz w:val="20"/>
              </w:rPr>
            </w:pPr>
          </w:p>
        </w:tc>
      </w:tr>
    </w:tbl>
    <w:p w:rsidR="00580ABF" w:rsidRDefault="00580ABF">
      <w:pPr>
        <w:rPr>
          <w:sz w:val="20"/>
        </w:rPr>
        <w:sectPr w:rsidR="00580ABF">
          <w:pgSz w:w="11910" w:h="16840"/>
          <w:pgMar w:top="520" w:right="180" w:bottom="380" w:left="420" w:header="0" w:footer="183" w:gutter="0"/>
          <w:cols w:space="720"/>
        </w:sectPr>
      </w:pPr>
    </w:p>
    <w:p w:rsidR="00580ABF" w:rsidRDefault="00E352FF">
      <w:pPr>
        <w:pStyle w:val="BodyText"/>
        <w:spacing w:line="211" w:lineRule="auto"/>
        <w:ind w:left="827" w:right="204"/>
      </w:pPr>
      <w:r>
        <w:rPr>
          <w:color w:val="414042"/>
        </w:rPr>
        <w:lastRenderedPageBreak/>
        <w:t>For clarity and for ease of reference throughout this report the following is provided:</w:t>
      </w:r>
    </w:p>
    <w:p w:rsidR="00580ABF" w:rsidRDefault="00580ABF">
      <w:pPr>
        <w:pStyle w:val="BodyText"/>
        <w:spacing w:before="13"/>
        <w:rPr>
          <w:sz w:val="15"/>
        </w:rPr>
      </w:pPr>
    </w:p>
    <w:p w:rsidR="00580ABF" w:rsidRPr="009D21EF" w:rsidRDefault="00E352FF" w:rsidP="009D21EF">
      <w:pPr>
        <w:pStyle w:val="BodyText"/>
        <w:spacing w:line="211" w:lineRule="auto"/>
        <w:ind w:left="827" w:right="37"/>
        <w:rPr>
          <w:b/>
          <w:color w:val="414042"/>
        </w:rPr>
      </w:pPr>
      <w:r w:rsidRPr="009D21EF">
        <w:rPr>
          <w:b/>
          <w:color w:val="414042"/>
        </w:rPr>
        <w:t>THE CLOSING THE GAP OBJECTIVES SPECIFIC TO THIS PROJECT:</w:t>
      </w:r>
    </w:p>
    <w:p w:rsidR="00580ABF" w:rsidRDefault="00E352FF">
      <w:pPr>
        <w:pStyle w:val="BodyText"/>
        <w:spacing w:line="211" w:lineRule="auto"/>
        <w:ind w:left="827" w:right="37"/>
      </w:pPr>
      <w:r>
        <w:rPr>
          <w:b/>
          <w:color w:val="414042"/>
        </w:rPr>
        <w:t xml:space="preserve">Objective 18. </w:t>
      </w:r>
      <w:r w:rsidRPr="009D21EF">
        <w:rPr>
          <w:b/>
          <w:color w:val="414042"/>
        </w:rPr>
        <w:t>Through this Agreement, the Parties commit to working together</w:t>
      </w:r>
      <w:r>
        <w:rPr>
          <w:color w:val="414042"/>
        </w:rPr>
        <w:t xml:space="preserve"> with Indigenous Australians to Close the Gap in Indigenous disadvantage.</w:t>
      </w:r>
    </w:p>
    <w:p w:rsidR="00580ABF" w:rsidRDefault="00E352FF">
      <w:pPr>
        <w:spacing w:before="79"/>
        <w:ind w:left="827"/>
        <w:rPr>
          <w:color w:val="414042"/>
          <w:sz w:val="19"/>
        </w:rPr>
      </w:pPr>
      <w:r>
        <w:rPr>
          <w:b/>
          <w:color w:val="414042"/>
          <w:sz w:val="19"/>
        </w:rPr>
        <w:t xml:space="preserve">Objective 19. </w:t>
      </w:r>
      <w:r>
        <w:rPr>
          <w:color w:val="414042"/>
          <w:sz w:val="19"/>
        </w:rPr>
        <w:t>COAG has agreed to the following targets:</w:t>
      </w:r>
    </w:p>
    <w:p w:rsidR="00BD5CF7" w:rsidRDefault="00BD5CF7" w:rsidP="00BD5CF7">
      <w:pPr>
        <w:pStyle w:val="ListParagraph"/>
        <w:numPr>
          <w:ilvl w:val="0"/>
          <w:numId w:val="34"/>
        </w:numPr>
        <w:spacing w:before="79"/>
        <w:rPr>
          <w:sz w:val="19"/>
        </w:rPr>
      </w:pPr>
      <w:r>
        <w:rPr>
          <w:sz w:val="19"/>
        </w:rPr>
        <w:t xml:space="preserve">Closing the life expectancy gap within a generation; </w:t>
      </w:r>
    </w:p>
    <w:p w:rsidR="00BD5CF7" w:rsidRDefault="00BD5CF7" w:rsidP="00BD5CF7">
      <w:pPr>
        <w:pStyle w:val="ListParagraph"/>
        <w:numPr>
          <w:ilvl w:val="0"/>
          <w:numId w:val="34"/>
        </w:numPr>
        <w:spacing w:before="79"/>
        <w:rPr>
          <w:sz w:val="19"/>
        </w:rPr>
      </w:pPr>
      <w:r>
        <w:rPr>
          <w:sz w:val="19"/>
        </w:rPr>
        <w:t xml:space="preserve">halving the gap in mortality rates for Indigenous children under five within a decade; </w:t>
      </w:r>
    </w:p>
    <w:p w:rsidR="00BD5CF7" w:rsidRDefault="00BD5CF7" w:rsidP="00BD5CF7">
      <w:pPr>
        <w:pStyle w:val="ListParagraph"/>
        <w:numPr>
          <w:ilvl w:val="0"/>
          <w:numId w:val="34"/>
        </w:numPr>
        <w:spacing w:before="79"/>
        <w:rPr>
          <w:sz w:val="19"/>
        </w:rPr>
      </w:pPr>
      <w:r>
        <w:rPr>
          <w:sz w:val="19"/>
        </w:rPr>
        <w:t>ensuring all Indigenous four years olds in remote communities have access to early childhood education within five years;</w:t>
      </w:r>
    </w:p>
    <w:p w:rsidR="00BD5CF7" w:rsidRDefault="00BD5CF7" w:rsidP="00BD5CF7">
      <w:pPr>
        <w:pStyle w:val="ListParagraph"/>
        <w:numPr>
          <w:ilvl w:val="0"/>
          <w:numId w:val="34"/>
        </w:numPr>
        <w:spacing w:before="79"/>
        <w:rPr>
          <w:sz w:val="19"/>
        </w:rPr>
      </w:pPr>
      <w:r>
        <w:rPr>
          <w:sz w:val="19"/>
        </w:rPr>
        <w:t>halving the gap for Indigenous students in reading, writing and numeracy within a decade;</w:t>
      </w:r>
    </w:p>
    <w:p w:rsidR="001142B7" w:rsidRDefault="001142B7" w:rsidP="00BD5CF7">
      <w:pPr>
        <w:pStyle w:val="ListParagraph"/>
        <w:numPr>
          <w:ilvl w:val="0"/>
          <w:numId w:val="34"/>
        </w:numPr>
        <w:spacing w:before="79"/>
        <w:rPr>
          <w:sz w:val="19"/>
        </w:rPr>
      </w:pPr>
      <w:r>
        <w:rPr>
          <w:sz w:val="19"/>
        </w:rPr>
        <w:t>halving the gap for Indigenous people aged 20-24 in Year 12 attainment or equivalent attainment rates by 2020; and</w:t>
      </w:r>
    </w:p>
    <w:p w:rsidR="001142B7" w:rsidRPr="00BD5CF7" w:rsidRDefault="001142B7" w:rsidP="00BD5CF7">
      <w:pPr>
        <w:pStyle w:val="ListParagraph"/>
        <w:numPr>
          <w:ilvl w:val="0"/>
          <w:numId w:val="34"/>
        </w:numPr>
        <w:spacing w:before="79"/>
        <w:rPr>
          <w:sz w:val="19"/>
        </w:rPr>
      </w:pPr>
      <w:r>
        <w:rPr>
          <w:sz w:val="19"/>
        </w:rPr>
        <w:t>halving the gap in employment outcomes</w:t>
      </w:r>
      <w:r>
        <w:rPr>
          <w:spacing w:val="-31"/>
          <w:sz w:val="19"/>
        </w:rPr>
        <w:t xml:space="preserve"> </w:t>
      </w:r>
      <w:r>
        <w:rPr>
          <w:sz w:val="19"/>
        </w:rPr>
        <w:t>between Indigenous and non-Indigenous Australians within a</w:t>
      </w:r>
      <w:r>
        <w:rPr>
          <w:spacing w:val="-2"/>
          <w:sz w:val="19"/>
        </w:rPr>
        <w:t xml:space="preserve"> </w:t>
      </w:r>
      <w:r>
        <w:rPr>
          <w:sz w:val="19"/>
        </w:rPr>
        <w:t>decade.</w:t>
      </w:r>
    </w:p>
    <w:p w:rsidR="00580ABF" w:rsidRDefault="00580ABF">
      <w:pPr>
        <w:pStyle w:val="BodyText"/>
        <w:spacing w:before="2"/>
        <w:rPr>
          <w:sz w:val="7"/>
        </w:rPr>
      </w:pPr>
    </w:p>
    <w:p w:rsidR="00580ABF" w:rsidRDefault="00580ABF">
      <w:pPr>
        <w:pStyle w:val="BodyText"/>
        <w:spacing w:before="11"/>
        <w:rPr>
          <w:sz w:val="15"/>
        </w:rPr>
      </w:pPr>
    </w:p>
    <w:p w:rsidR="00580ABF" w:rsidRPr="009D21EF" w:rsidRDefault="00E352FF" w:rsidP="009D21EF">
      <w:pPr>
        <w:pStyle w:val="BodyText"/>
        <w:spacing w:line="211" w:lineRule="auto"/>
        <w:ind w:left="827" w:right="37"/>
        <w:rPr>
          <w:b/>
          <w:color w:val="414042"/>
        </w:rPr>
      </w:pPr>
      <w:r w:rsidRPr="009D21EF">
        <w:rPr>
          <w:b/>
          <w:color w:val="414042"/>
        </w:rPr>
        <w:t>THE CLOSING THE GAP BUILDING BLOCKS ARE:</w:t>
      </w:r>
    </w:p>
    <w:p w:rsidR="00580ABF" w:rsidRDefault="00E352FF" w:rsidP="00495F23">
      <w:pPr>
        <w:pStyle w:val="BodyText"/>
        <w:numPr>
          <w:ilvl w:val="0"/>
          <w:numId w:val="15"/>
        </w:numPr>
        <w:spacing w:line="243" w:lineRule="exact"/>
      </w:pPr>
      <w:r w:rsidRPr="00495F23">
        <w:rPr>
          <w:b/>
          <w:w w:val="105"/>
        </w:rPr>
        <w:t>E</w:t>
      </w:r>
      <w:r>
        <w:rPr>
          <w:w w:val="105"/>
        </w:rPr>
        <w:t>arly childhood</w:t>
      </w:r>
    </w:p>
    <w:p w:rsidR="00580ABF" w:rsidRDefault="00E352FF" w:rsidP="00495F23">
      <w:pPr>
        <w:pStyle w:val="BodyText"/>
        <w:numPr>
          <w:ilvl w:val="0"/>
          <w:numId w:val="15"/>
        </w:numPr>
        <w:spacing w:before="80"/>
      </w:pPr>
      <w:r w:rsidRPr="00495F23">
        <w:rPr>
          <w:b/>
          <w:w w:val="105"/>
        </w:rPr>
        <w:t>S</w:t>
      </w:r>
      <w:r>
        <w:rPr>
          <w:w w:val="105"/>
        </w:rPr>
        <w:t>chooling</w:t>
      </w:r>
    </w:p>
    <w:p w:rsidR="00580ABF" w:rsidRDefault="00E352FF" w:rsidP="00495F23">
      <w:pPr>
        <w:pStyle w:val="BodyText"/>
        <w:numPr>
          <w:ilvl w:val="0"/>
          <w:numId w:val="15"/>
        </w:numPr>
        <w:spacing w:before="79"/>
      </w:pPr>
      <w:r>
        <w:rPr>
          <w:w w:val="105"/>
        </w:rPr>
        <w:t>Health</w:t>
      </w:r>
    </w:p>
    <w:p w:rsidR="00580ABF" w:rsidRDefault="00E352FF" w:rsidP="00495F23">
      <w:pPr>
        <w:pStyle w:val="BodyText"/>
        <w:numPr>
          <w:ilvl w:val="0"/>
          <w:numId w:val="15"/>
        </w:numPr>
        <w:spacing w:before="80"/>
      </w:pPr>
      <w:r w:rsidRPr="00495F23">
        <w:rPr>
          <w:b/>
        </w:rPr>
        <w:t>E</w:t>
      </w:r>
      <w:r>
        <w:t>conomic participation</w:t>
      </w:r>
    </w:p>
    <w:p w:rsidR="00580ABF" w:rsidRDefault="00E352FF" w:rsidP="00495F23">
      <w:pPr>
        <w:pStyle w:val="BodyText"/>
        <w:numPr>
          <w:ilvl w:val="0"/>
          <w:numId w:val="15"/>
        </w:numPr>
        <w:spacing w:before="79"/>
      </w:pPr>
      <w:r>
        <w:rPr>
          <w:w w:val="105"/>
        </w:rPr>
        <w:t>Healthy homes</w:t>
      </w:r>
    </w:p>
    <w:p w:rsidR="00580ABF" w:rsidRDefault="00E352FF" w:rsidP="00495F23">
      <w:pPr>
        <w:pStyle w:val="BodyText"/>
        <w:numPr>
          <w:ilvl w:val="0"/>
          <w:numId w:val="15"/>
        </w:numPr>
        <w:spacing w:before="80"/>
      </w:pPr>
      <w:r w:rsidRPr="00495F23">
        <w:rPr>
          <w:b/>
          <w:w w:val="105"/>
        </w:rPr>
        <w:t>S</w:t>
      </w:r>
      <w:r>
        <w:rPr>
          <w:w w:val="105"/>
        </w:rPr>
        <w:t>afe communities</w:t>
      </w:r>
    </w:p>
    <w:p w:rsidR="00580ABF" w:rsidRDefault="00E352FF" w:rsidP="00495F23">
      <w:pPr>
        <w:pStyle w:val="BodyText"/>
        <w:numPr>
          <w:ilvl w:val="0"/>
          <w:numId w:val="15"/>
        </w:numPr>
        <w:spacing w:before="79"/>
      </w:pPr>
      <w:r w:rsidRPr="00495F23">
        <w:rPr>
          <w:b/>
        </w:rPr>
        <w:t>G</w:t>
      </w:r>
      <w:r>
        <w:t>overnance and leadership</w:t>
      </w:r>
    </w:p>
    <w:p w:rsidR="00580ABF" w:rsidRDefault="00580ABF">
      <w:pPr>
        <w:pStyle w:val="BodyText"/>
        <w:spacing w:before="8"/>
        <w:rPr>
          <w:sz w:val="15"/>
        </w:rPr>
      </w:pPr>
    </w:p>
    <w:p w:rsidR="00580ABF" w:rsidRPr="009D21EF" w:rsidRDefault="00E352FF" w:rsidP="009D21EF">
      <w:pPr>
        <w:pStyle w:val="BodyText"/>
        <w:spacing w:line="211" w:lineRule="auto"/>
        <w:ind w:left="827" w:right="37"/>
        <w:rPr>
          <w:b/>
          <w:color w:val="414042"/>
        </w:rPr>
      </w:pPr>
      <w:r w:rsidRPr="009D21EF">
        <w:rPr>
          <w:b/>
          <w:color w:val="414042"/>
        </w:rPr>
        <w:t>NATIONAL INTEGRATED STRATEGY FOR CLOSING THE GAP IN INDIGENOUS</w:t>
      </w:r>
      <w:r w:rsidR="009D21EF">
        <w:rPr>
          <w:b/>
          <w:color w:val="414042"/>
        </w:rPr>
        <w:t xml:space="preserve"> </w:t>
      </w:r>
      <w:r w:rsidRPr="009D21EF">
        <w:rPr>
          <w:b/>
          <w:color w:val="414042"/>
        </w:rPr>
        <w:t>DISADVANTAGE</w:t>
      </w:r>
    </w:p>
    <w:p w:rsidR="00580ABF" w:rsidRDefault="00E352FF">
      <w:pPr>
        <w:pStyle w:val="BodyText"/>
        <w:spacing w:before="6" w:line="211" w:lineRule="auto"/>
        <w:ind w:left="827" w:right="204"/>
      </w:pPr>
      <w:r>
        <w:rPr>
          <w:color w:val="414042"/>
        </w:rPr>
        <w:t>The National Integrated Strategy for Closing the Gap in Indigenous Disadvantage is the key coordinating and direction guiding part of the NIRA.</w:t>
      </w:r>
    </w:p>
    <w:p w:rsidR="00580ABF" w:rsidRDefault="00E352FF">
      <w:pPr>
        <w:pStyle w:val="BodyText"/>
        <w:spacing w:before="84"/>
        <w:ind w:left="827"/>
      </w:pPr>
      <w:r>
        <w:rPr>
          <w:color w:val="414042"/>
        </w:rPr>
        <w:t>It includes an understanding of the importance of culture.</w:t>
      </w:r>
    </w:p>
    <w:p w:rsidR="00580ABF" w:rsidRPr="00B16E4A" w:rsidRDefault="00E352FF" w:rsidP="009D21EF">
      <w:pPr>
        <w:pStyle w:val="BodyText"/>
        <w:spacing w:line="211" w:lineRule="auto"/>
        <w:ind w:left="827" w:right="37"/>
      </w:pPr>
      <w:r>
        <w:br w:type="column"/>
      </w:r>
      <w:r w:rsidRPr="009D21EF">
        <w:rPr>
          <w:b/>
          <w:color w:val="414042"/>
        </w:rPr>
        <w:t>THE IMPORTANCE OF CULTURE</w:t>
      </w:r>
    </w:p>
    <w:p w:rsidR="001142B7" w:rsidRPr="005D3114" w:rsidRDefault="001142B7" w:rsidP="005D3114">
      <w:pPr>
        <w:pStyle w:val="BodyText"/>
        <w:spacing w:before="216" w:line="211" w:lineRule="auto"/>
        <w:ind w:left="827" w:right="73"/>
        <w:rPr>
          <w:i/>
          <w:color w:val="414042"/>
        </w:rPr>
      </w:pPr>
      <w:r w:rsidRPr="005D3114">
        <w:rPr>
          <w:i/>
          <w:color w:val="414042"/>
        </w:rPr>
        <w:t>Connection to culture is critical for emotional, physical and spiritual wellbeing. Culture pervades the lives of Indigenous people and is a key factor in their wellbeing – culture must be recognised in actions intended to overcome Indigenous disadvantage. Pride in culture plays a vital role in shaping people's aspirations and choices. Efforts to Close the Gap in Indigenous disadvantage must recognise and build on the strength of Indigenous cultures and identities.</w:t>
      </w:r>
    </w:p>
    <w:p w:rsidR="001142B7" w:rsidRDefault="001142B7" w:rsidP="005D3114">
      <w:pPr>
        <w:pStyle w:val="BodyText"/>
        <w:spacing w:before="216" w:line="211" w:lineRule="auto"/>
        <w:ind w:left="827" w:right="73"/>
        <w:rPr>
          <w:i/>
          <w:color w:val="414042"/>
        </w:rPr>
      </w:pPr>
      <w:r w:rsidRPr="005D3114">
        <w:rPr>
          <w:i/>
          <w:color w:val="414042"/>
        </w:rPr>
        <w:t>Assuming, promoting and supporting a strong and positive view of Aboriginal and Torres Strait Islander identity and culture are important ways to reduce social exclusion for Indigenous Australians and to support them in their endeavours and aspirations for a positive future. Cultural awareness and competency on the part of policy makers and people implementing government programs, the elimination of overt and systemic discrimination, and the development of programs that meet the cultural needs of Indigenous people will be an important part of the Closing the Gap initiatives.</w:t>
      </w:r>
    </w:p>
    <w:p w:rsidR="0000050B" w:rsidRDefault="0000050B" w:rsidP="005D3114">
      <w:pPr>
        <w:pStyle w:val="BodyText"/>
        <w:spacing w:before="216" w:line="211" w:lineRule="auto"/>
        <w:ind w:left="827" w:right="73"/>
        <w:rPr>
          <w:i/>
          <w:color w:val="414042"/>
        </w:rPr>
      </w:pPr>
    </w:p>
    <w:p w:rsidR="0000050B" w:rsidRPr="005D3114" w:rsidRDefault="0000050B" w:rsidP="005D3114">
      <w:pPr>
        <w:pStyle w:val="BodyText"/>
        <w:spacing w:before="216" w:line="211" w:lineRule="auto"/>
        <w:ind w:left="827" w:right="73"/>
        <w:rPr>
          <w:i/>
          <w:color w:val="414042"/>
        </w:rPr>
        <w:sectPr w:rsidR="0000050B" w:rsidRPr="005D3114">
          <w:pgSz w:w="11910" w:h="16840"/>
          <w:pgMar w:top="1500" w:right="180" w:bottom="380" w:left="420" w:header="0" w:footer="183" w:gutter="0"/>
          <w:cols w:num="2" w:space="720" w:equalWidth="0">
            <w:col w:w="5306" w:space="40"/>
            <w:col w:w="5964"/>
          </w:cols>
        </w:sectPr>
      </w:pPr>
      <w:r>
        <w:rPr>
          <w:noProof/>
          <w:sz w:val="20"/>
          <w:lang w:val="en-AU" w:eastAsia="en-AU" w:bidi="ar-SA"/>
        </w:rPr>
        <w:drawing>
          <wp:inline distT="0" distB="0" distL="0" distR="0" wp14:anchorId="19A8802C" wp14:editId="7049E130">
            <wp:extent cx="2477346" cy="4403407"/>
            <wp:effectExtent l="0" t="0" r="0" b="0"/>
            <wp:docPr id="15" name="image61.png" descr="Image of small Indigenous child wearing Indigenous whit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1.png"/>
                    <pic:cNvPicPr/>
                  </pic:nvPicPr>
                  <pic:blipFill>
                    <a:blip r:embed="rId30" cstate="print"/>
                    <a:stretch>
                      <a:fillRect/>
                    </a:stretch>
                  </pic:blipFill>
                  <pic:spPr>
                    <a:xfrm>
                      <a:off x="0" y="0"/>
                      <a:ext cx="2477346" cy="4403407"/>
                    </a:xfrm>
                    <a:prstGeom prst="rect">
                      <a:avLst/>
                    </a:prstGeom>
                  </pic:spPr>
                </pic:pic>
              </a:graphicData>
            </a:graphic>
          </wp:inline>
        </w:drawing>
      </w:r>
    </w:p>
    <w:p w:rsidR="00292536" w:rsidRPr="005D3114" w:rsidRDefault="00292536" w:rsidP="005D3114">
      <w:pPr>
        <w:pStyle w:val="BodyText"/>
        <w:spacing w:before="24" w:line="211" w:lineRule="auto"/>
        <w:ind w:left="827"/>
        <w:rPr>
          <w:color w:val="414042"/>
        </w:rPr>
      </w:pPr>
      <w:r w:rsidRPr="005D3114">
        <w:rPr>
          <w:color w:val="414042"/>
        </w:rPr>
        <w:lastRenderedPageBreak/>
        <w:t>The Strategy also recognises that the way to implement the Closing the Gap reforms is through engagement and partnership with Indigenous Australians</w:t>
      </w:r>
    </w:p>
    <w:p w:rsidR="00292536" w:rsidRPr="005D3114" w:rsidRDefault="00292536" w:rsidP="005D3114">
      <w:pPr>
        <w:pStyle w:val="BodyText"/>
        <w:spacing w:before="24" w:line="211" w:lineRule="auto"/>
        <w:ind w:left="827"/>
        <w:rPr>
          <w:color w:val="414042"/>
        </w:rPr>
      </w:pPr>
    </w:p>
    <w:p w:rsidR="00292536" w:rsidRPr="005D3114" w:rsidRDefault="00292536" w:rsidP="005D3114">
      <w:pPr>
        <w:pStyle w:val="BodyText"/>
        <w:spacing w:before="24" w:line="211" w:lineRule="auto"/>
        <w:ind w:left="827"/>
        <w:rPr>
          <w:color w:val="414042"/>
        </w:rPr>
      </w:pPr>
      <w:r w:rsidRPr="005D3114">
        <w:rPr>
          <w:color w:val="414042"/>
        </w:rPr>
        <w:t>Engagement and Partnership with Indigenous Australians</w:t>
      </w:r>
    </w:p>
    <w:p w:rsidR="00292536" w:rsidRDefault="00292536" w:rsidP="00292536">
      <w:pPr>
        <w:spacing w:before="142" w:line="223" w:lineRule="auto"/>
        <w:ind w:left="2562" w:right="2579" w:hanging="1"/>
        <w:jc w:val="center"/>
        <w:rPr>
          <w:color w:val="95473C"/>
          <w:sz w:val="24"/>
        </w:rPr>
      </w:pPr>
    </w:p>
    <w:p w:rsidR="00292536" w:rsidRPr="00292536" w:rsidRDefault="00292536" w:rsidP="00292536">
      <w:pPr>
        <w:pStyle w:val="BodyText"/>
        <w:spacing w:before="24" w:line="211" w:lineRule="auto"/>
        <w:ind w:left="827"/>
        <w:rPr>
          <w:color w:val="414042"/>
        </w:rPr>
      </w:pPr>
      <w:r w:rsidRPr="00292536">
        <w:rPr>
          <w:color w:val="414042"/>
        </w:rPr>
        <w:t>COAG recognises Aboriginal and Torres Strait Islanders as Australia’s first peoples. In his Apology to Australia’s Indigenous</w:t>
      </w:r>
    </w:p>
    <w:p w:rsidR="00292536" w:rsidRPr="00292536" w:rsidRDefault="00292536" w:rsidP="00292536">
      <w:pPr>
        <w:pStyle w:val="BodyText"/>
        <w:spacing w:before="24" w:line="211" w:lineRule="auto"/>
        <w:ind w:left="827"/>
        <w:rPr>
          <w:color w:val="414042"/>
        </w:rPr>
      </w:pPr>
      <w:r w:rsidRPr="00292536">
        <w:rPr>
          <w:color w:val="414042"/>
        </w:rPr>
        <w:t>Peoples on 13 February 2008, the then Prime Minister acknowledged that all governments have a special responsibility to engage with</w:t>
      </w:r>
    </w:p>
    <w:p w:rsidR="00292536" w:rsidRPr="00292536" w:rsidRDefault="00292536" w:rsidP="00292536">
      <w:pPr>
        <w:pStyle w:val="BodyText"/>
        <w:spacing w:before="24" w:line="211" w:lineRule="auto"/>
        <w:ind w:left="827"/>
        <w:rPr>
          <w:color w:val="414042"/>
        </w:rPr>
      </w:pPr>
      <w:r w:rsidRPr="00292536">
        <w:rPr>
          <w:color w:val="414042"/>
        </w:rPr>
        <w:t>Indigenous communities in order to rebuild the trust lost through ‘the laws and policies of successive Parliaments and governments that have inflicted</w:t>
      </w:r>
    </w:p>
    <w:p w:rsidR="00292536" w:rsidRPr="00292536" w:rsidRDefault="00292536" w:rsidP="00292536">
      <w:pPr>
        <w:pStyle w:val="BodyText"/>
        <w:spacing w:before="24" w:line="211" w:lineRule="auto"/>
        <w:ind w:left="827"/>
        <w:rPr>
          <w:color w:val="414042"/>
        </w:rPr>
      </w:pPr>
      <w:r w:rsidRPr="00292536">
        <w:rPr>
          <w:color w:val="414042"/>
        </w:rPr>
        <w:t>profound grief, suffering and loss’. COAG is committed to working in partnership with Aboriginal and Torres Strait Islander people to achieve the Closing the Gap reforms, recognising that many Aboriginal and Torres Strait Islander people have demonstrated leadership to create opportunities for their families and communities and are working with governments and the not-for-profit and corporate sectors</w:t>
      </w:r>
    </w:p>
    <w:p w:rsidR="00292536" w:rsidRPr="00292536" w:rsidRDefault="00292536" w:rsidP="00292536">
      <w:pPr>
        <w:pStyle w:val="BodyText"/>
        <w:spacing w:before="24" w:line="211" w:lineRule="auto"/>
        <w:ind w:left="827"/>
        <w:rPr>
          <w:color w:val="414042"/>
        </w:rPr>
      </w:pPr>
      <w:r w:rsidRPr="00292536">
        <w:rPr>
          <w:color w:val="414042"/>
        </w:rPr>
        <w:t>to build on these opportunities. To date, engagement with Aboriginal and Torres Strait Islander people on the development of the Closing the Gap agenda has been at a very broad level. Implementation of the National Agreements and National Partnerships, both mainstream and Indigenous specific, agreed by COAG across the health, education, housing, employment and service</w:t>
      </w:r>
    </w:p>
    <w:p w:rsidR="00292536" w:rsidRPr="00292536" w:rsidRDefault="00292536" w:rsidP="00292536">
      <w:pPr>
        <w:pStyle w:val="BodyText"/>
        <w:spacing w:before="24" w:line="211" w:lineRule="auto"/>
        <w:ind w:left="827"/>
        <w:rPr>
          <w:color w:val="414042"/>
        </w:rPr>
      </w:pPr>
      <w:r w:rsidRPr="00292536">
        <w:rPr>
          <w:color w:val="414042"/>
        </w:rPr>
        <w:t>delivery spheres will require developing and maintaining strengthened partnership arrangements. This is in line with the National Framework of Principles for Government Service Delivery</w:t>
      </w:r>
    </w:p>
    <w:p w:rsidR="00292536" w:rsidRPr="00292536" w:rsidRDefault="00292536" w:rsidP="00AA721E">
      <w:pPr>
        <w:pStyle w:val="BodyText"/>
        <w:spacing w:before="24" w:line="211" w:lineRule="auto"/>
        <w:ind w:left="827"/>
        <w:rPr>
          <w:sz w:val="25"/>
        </w:rPr>
      </w:pPr>
      <w:r w:rsidRPr="00292536">
        <w:rPr>
          <w:color w:val="414042"/>
        </w:rPr>
        <w:t>to Aboriginal and Torres Strait Islander Australians agreed by COAG in 2008.</w:t>
      </w:r>
      <w:r w:rsidR="00AA721E" w:rsidRPr="00292536">
        <w:rPr>
          <w:sz w:val="25"/>
        </w:rPr>
        <w:t xml:space="preserve"> </w:t>
      </w:r>
    </w:p>
    <w:p w:rsidR="00580ABF" w:rsidRDefault="00580ABF" w:rsidP="00292536">
      <w:pPr>
        <w:rPr>
          <w:sz w:val="25"/>
        </w:rPr>
      </w:pPr>
    </w:p>
    <w:p w:rsidR="0000050B" w:rsidRPr="00292536" w:rsidRDefault="0000050B" w:rsidP="00292536">
      <w:pPr>
        <w:rPr>
          <w:sz w:val="25"/>
        </w:rPr>
        <w:sectPr w:rsidR="0000050B" w:rsidRPr="00292536">
          <w:pgSz w:w="11910" w:h="16840"/>
          <w:pgMar w:top="500" w:right="180" w:bottom="380" w:left="420" w:header="0" w:footer="183" w:gutter="0"/>
          <w:cols w:space="720"/>
        </w:sectPr>
      </w:pPr>
      <w:r>
        <w:rPr>
          <w:noProof/>
          <w:lang w:val="en-AU" w:eastAsia="en-AU" w:bidi="ar-SA"/>
        </w:rPr>
        <w:drawing>
          <wp:inline distT="0" distB="0" distL="0" distR="0" wp14:anchorId="5D50DA08" wp14:editId="01C95ED2">
            <wp:extent cx="3556635" cy="3447415"/>
            <wp:effectExtent l="0" t="0" r="5715" b="635"/>
            <wp:docPr id="203" name="Picture 175" descr="Image of Indigenous male elder smiling while holding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635" cy="344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80ABF" w:rsidRDefault="002D1C12" w:rsidP="00A244CC">
      <w:pPr>
        <w:pStyle w:val="Heading2"/>
        <w:rPr>
          <w:sz w:val="20"/>
        </w:rPr>
      </w:pPr>
      <w:r w:rsidRPr="002D1C12">
        <w:t>THEME 1: CLOSING THE GAP AS A FRAMEWORK</w:t>
      </w:r>
    </w:p>
    <w:p w:rsidR="00580ABF" w:rsidRDefault="00580ABF">
      <w:pPr>
        <w:pStyle w:val="BodyText"/>
        <w:spacing w:before="1"/>
        <w:rPr>
          <w:sz w:val="25"/>
        </w:rPr>
      </w:pPr>
    </w:p>
    <w:p w:rsidR="00580ABF" w:rsidRDefault="00580ABF">
      <w:pPr>
        <w:rPr>
          <w:sz w:val="25"/>
        </w:rPr>
        <w:sectPr w:rsidR="00580ABF">
          <w:pgSz w:w="11910" w:h="16840"/>
          <w:pgMar w:top="960" w:right="180" w:bottom="380" w:left="420" w:header="0" w:footer="183" w:gutter="0"/>
          <w:cols w:space="720"/>
        </w:sectPr>
      </w:pPr>
    </w:p>
    <w:p w:rsidR="00580ABF" w:rsidRPr="005D3114" w:rsidRDefault="00E352FF" w:rsidP="009D21EF">
      <w:pPr>
        <w:pStyle w:val="BodyText"/>
        <w:spacing w:before="108" w:line="211" w:lineRule="auto"/>
        <w:ind w:left="827" w:right="966"/>
        <w:rPr>
          <w:color w:val="414042"/>
          <w:spacing w:val="-3"/>
        </w:rPr>
      </w:pPr>
      <w:r w:rsidRPr="005D3114">
        <w:rPr>
          <w:color w:val="414042"/>
          <w:spacing w:val="-3"/>
        </w:rPr>
        <w:t>This theme brings together all the responses and literature that address the formal parts of Closing the Gap as a policy initiative: the NIRA, National Partnership Agreements, state and territory frameworks and other formal policy responses.</w:t>
      </w:r>
    </w:p>
    <w:p w:rsidR="00580ABF" w:rsidRDefault="00580ABF">
      <w:pPr>
        <w:pStyle w:val="BodyText"/>
        <w:spacing w:before="3"/>
        <w:rPr>
          <w:sz w:val="24"/>
        </w:rPr>
      </w:pPr>
    </w:p>
    <w:p w:rsidR="00580ABF" w:rsidRDefault="00E352FF" w:rsidP="00B16E4A">
      <w:pPr>
        <w:pStyle w:val="Heading3"/>
      </w:pPr>
      <w:r>
        <w:t>This theme responds to the questions:</w:t>
      </w:r>
    </w:p>
    <w:p w:rsidR="00580ABF" w:rsidRDefault="00E352FF">
      <w:pPr>
        <w:spacing w:before="97" w:line="182" w:lineRule="auto"/>
        <w:ind w:left="827"/>
        <w:rPr>
          <w:b/>
        </w:rPr>
      </w:pPr>
      <w:r>
        <w:rPr>
          <w:b/>
          <w:color w:val="052B33"/>
        </w:rPr>
        <w:t>What</w:t>
      </w:r>
      <w:r>
        <w:rPr>
          <w:b/>
          <w:color w:val="052B33"/>
          <w:spacing w:val="-7"/>
        </w:rPr>
        <w:t xml:space="preserve"> </w:t>
      </w:r>
      <w:r>
        <w:rPr>
          <w:b/>
          <w:color w:val="052B33"/>
        </w:rPr>
        <w:t>were</w:t>
      </w:r>
      <w:r>
        <w:rPr>
          <w:b/>
          <w:color w:val="052B33"/>
          <w:spacing w:val="-8"/>
        </w:rPr>
        <w:t xml:space="preserve"> </w:t>
      </w:r>
      <w:r>
        <w:rPr>
          <w:b/>
          <w:color w:val="052B33"/>
        </w:rPr>
        <w:t>the</w:t>
      </w:r>
      <w:r>
        <w:rPr>
          <w:b/>
          <w:color w:val="052B33"/>
          <w:spacing w:val="-6"/>
        </w:rPr>
        <w:t xml:space="preserve"> </w:t>
      </w:r>
      <w:r>
        <w:rPr>
          <w:b/>
          <w:color w:val="052B33"/>
        </w:rPr>
        <w:t>initial</w:t>
      </w:r>
      <w:r>
        <w:rPr>
          <w:b/>
          <w:color w:val="052B33"/>
          <w:spacing w:val="-7"/>
        </w:rPr>
        <w:t xml:space="preserve"> </w:t>
      </w:r>
      <w:r>
        <w:rPr>
          <w:b/>
          <w:color w:val="052B33"/>
        </w:rPr>
        <w:t>expectations</w:t>
      </w:r>
      <w:r>
        <w:rPr>
          <w:b/>
          <w:color w:val="052B33"/>
          <w:spacing w:val="-7"/>
        </w:rPr>
        <w:t xml:space="preserve"> </w:t>
      </w:r>
      <w:r>
        <w:rPr>
          <w:b/>
          <w:color w:val="052B33"/>
        </w:rPr>
        <w:t>from</w:t>
      </w:r>
      <w:r>
        <w:rPr>
          <w:b/>
          <w:color w:val="052B33"/>
          <w:spacing w:val="-7"/>
        </w:rPr>
        <w:t xml:space="preserve"> </w:t>
      </w:r>
      <w:r>
        <w:rPr>
          <w:b/>
          <w:color w:val="052B33"/>
        </w:rPr>
        <w:t>Closing the</w:t>
      </w:r>
      <w:r>
        <w:rPr>
          <w:b/>
          <w:color w:val="052B33"/>
          <w:spacing w:val="-1"/>
        </w:rPr>
        <w:t xml:space="preserve"> </w:t>
      </w:r>
      <w:r>
        <w:rPr>
          <w:b/>
          <w:color w:val="052B33"/>
        </w:rPr>
        <w:t>Gap?</w:t>
      </w:r>
    </w:p>
    <w:p w:rsidR="00580ABF" w:rsidRDefault="00E352FF">
      <w:pPr>
        <w:spacing w:before="112" w:line="182" w:lineRule="auto"/>
        <w:ind w:left="827" w:right="135"/>
        <w:rPr>
          <w:b/>
        </w:rPr>
      </w:pPr>
      <w:r>
        <w:rPr>
          <w:b/>
          <w:color w:val="052B33"/>
        </w:rPr>
        <w:t>How appropriate was the design of the policy framework to achieve the objectives of</w:t>
      </w:r>
      <w:r>
        <w:rPr>
          <w:b/>
          <w:color w:val="052B33"/>
          <w:spacing w:val="-29"/>
        </w:rPr>
        <w:t xml:space="preserve"> </w:t>
      </w:r>
      <w:r>
        <w:rPr>
          <w:b/>
          <w:color w:val="052B33"/>
        </w:rPr>
        <w:t>Closing the</w:t>
      </w:r>
      <w:r>
        <w:rPr>
          <w:b/>
          <w:color w:val="052B33"/>
          <w:spacing w:val="-1"/>
        </w:rPr>
        <w:t xml:space="preserve"> </w:t>
      </w:r>
      <w:r>
        <w:rPr>
          <w:b/>
          <w:color w:val="052B33"/>
        </w:rPr>
        <w:t>Gap?</w:t>
      </w:r>
    </w:p>
    <w:p w:rsidR="00580ABF" w:rsidRDefault="00E352FF">
      <w:pPr>
        <w:spacing w:before="110" w:line="182" w:lineRule="auto"/>
        <w:ind w:left="827" w:right="237"/>
        <w:jc w:val="both"/>
        <w:rPr>
          <w:b/>
        </w:rPr>
      </w:pPr>
      <w:r>
        <w:rPr>
          <w:b/>
          <w:color w:val="052B33"/>
          <w:spacing w:val="-10"/>
        </w:rPr>
        <w:t xml:space="preserve">To </w:t>
      </w:r>
      <w:r>
        <w:rPr>
          <w:b/>
          <w:color w:val="052B33"/>
        </w:rPr>
        <w:t>what extent did the policy framework and components of the NIRA assist in meeting</w:t>
      </w:r>
      <w:r>
        <w:rPr>
          <w:b/>
          <w:color w:val="052B33"/>
          <w:spacing w:val="-17"/>
        </w:rPr>
        <w:t xml:space="preserve"> </w:t>
      </w:r>
      <w:r>
        <w:rPr>
          <w:b/>
          <w:color w:val="052B33"/>
        </w:rPr>
        <w:t>the objectives?</w:t>
      </w:r>
    </w:p>
    <w:p w:rsidR="00580ABF" w:rsidRDefault="00E352FF" w:rsidP="00B16E4A">
      <w:pPr>
        <w:pStyle w:val="Heading3"/>
      </w:pPr>
      <w:r>
        <w:t>Introduction</w:t>
      </w:r>
    </w:p>
    <w:p w:rsidR="00580ABF" w:rsidRDefault="00E352FF">
      <w:pPr>
        <w:pStyle w:val="BodyText"/>
        <w:spacing w:before="24" w:line="211" w:lineRule="auto"/>
        <w:ind w:left="827"/>
      </w:pPr>
      <w:r>
        <w:rPr>
          <w:color w:val="414042"/>
        </w:rPr>
        <w:t>Our analysis of responses suggests a communication strategy was lacking or insufficient as many people did not know of the NIRA as an instrument, or the formal parts of the agreement. In fact, more than sixty percent of respondents did not know what the NIRA was.</w:t>
      </w:r>
    </w:p>
    <w:p w:rsidR="00580ABF" w:rsidRDefault="00E352FF">
      <w:pPr>
        <w:pStyle w:val="BodyText"/>
        <w:spacing w:before="108" w:line="211" w:lineRule="auto"/>
        <w:ind w:left="827"/>
      </w:pPr>
      <w:r>
        <w:rPr>
          <w:color w:val="414042"/>
        </w:rPr>
        <w:t>They</w:t>
      </w:r>
      <w:r>
        <w:rPr>
          <w:color w:val="414042"/>
          <w:spacing w:val="-5"/>
        </w:rPr>
        <w:t xml:space="preserve"> </w:t>
      </w:r>
      <w:r>
        <w:rPr>
          <w:color w:val="414042"/>
        </w:rPr>
        <w:t>understood</w:t>
      </w:r>
      <w:r>
        <w:rPr>
          <w:color w:val="414042"/>
          <w:spacing w:val="-6"/>
        </w:rPr>
        <w:t xml:space="preserve"> </w:t>
      </w:r>
      <w:r>
        <w:rPr>
          <w:color w:val="414042"/>
        </w:rPr>
        <w:t>that</w:t>
      </w:r>
      <w:r>
        <w:rPr>
          <w:color w:val="414042"/>
          <w:spacing w:val="-5"/>
        </w:rPr>
        <w:t xml:space="preserve"> </w:t>
      </w:r>
      <w:r>
        <w:rPr>
          <w:color w:val="414042"/>
        </w:rPr>
        <w:t>Closing</w:t>
      </w:r>
      <w:r>
        <w:rPr>
          <w:color w:val="414042"/>
          <w:spacing w:val="-5"/>
        </w:rPr>
        <w:t xml:space="preserve"> </w:t>
      </w:r>
      <w:r>
        <w:rPr>
          <w:color w:val="414042"/>
        </w:rPr>
        <w:t>the</w:t>
      </w:r>
      <w:r>
        <w:rPr>
          <w:color w:val="414042"/>
          <w:spacing w:val="-5"/>
        </w:rPr>
        <w:t xml:space="preserve"> </w:t>
      </w:r>
      <w:r>
        <w:rPr>
          <w:color w:val="414042"/>
        </w:rPr>
        <w:t>Gap</w:t>
      </w:r>
      <w:r>
        <w:rPr>
          <w:color w:val="414042"/>
          <w:spacing w:val="-5"/>
        </w:rPr>
        <w:t xml:space="preserve"> </w:t>
      </w:r>
      <w:r>
        <w:rPr>
          <w:color w:val="414042"/>
        </w:rPr>
        <w:t>represented</w:t>
      </w:r>
      <w:r>
        <w:rPr>
          <w:color w:val="414042"/>
          <w:spacing w:val="-4"/>
        </w:rPr>
        <w:t xml:space="preserve"> </w:t>
      </w:r>
      <w:r>
        <w:rPr>
          <w:color w:val="414042"/>
        </w:rPr>
        <w:t>a</w:t>
      </w:r>
      <w:r>
        <w:rPr>
          <w:color w:val="414042"/>
          <w:spacing w:val="-6"/>
        </w:rPr>
        <w:t xml:space="preserve"> </w:t>
      </w:r>
      <w:r>
        <w:rPr>
          <w:color w:val="414042"/>
        </w:rPr>
        <w:t xml:space="preserve">new </w:t>
      </w:r>
      <w:r>
        <w:rPr>
          <w:color w:val="414042"/>
          <w:spacing w:val="-3"/>
        </w:rPr>
        <w:t xml:space="preserve">way </w:t>
      </w:r>
      <w:r>
        <w:rPr>
          <w:color w:val="414042"/>
        </w:rPr>
        <w:t>of working with Indigenous Australia but did not necessarily distinguish it as a framework separate from other social</w:t>
      </w:r>
      <w:r>
        <w:rPr>
          <w:color w:val="414042"/>
          <w:spacing w:val="-3"/>
        </w:rPr>
        <w:t xml:space="preserve"> policy.</w:t>
      </w:r>
    </w:p>
    <w:p w:rsidR="00580ABF" w:rsidRDefault="00E352FF">
      <w:pPr>
        <w:pStyle w:val="BodyText"/>
        <w:spacing w:before="110" w:line="211" w:lineRule="auto"/>
        <w:ind w:left="827"/>
      </w:pPr>
      <w:r>
        <w:rPr>
          <w:color w:val="414042"/>
        </w:rPr>
        <w:t>People did know of overall targets and that Closing the Gap was an initiative of COAG. There was hope that the policy</w:t>
      </w:r>
      <w:r>
        <w:rPr>
          <w:color w:val="414042"/>
          <w:spacing w:val="-6"/>
        </w:rPr>
        <w:t xml:space="preserve"> </w:t>
      </w:r>
      <w:r>
        <w:rPr>
          <w:color w:val="414042"/>
        </w:rPr>
        <w:t>would</w:t>
      </w:r>
      <w:r>
        <w:rPr>
          <w:color w:val="414042"/>
          <w:spacing w:val="-5"/>
        </w:rPr>
        <w:t xml:space="preserve"> </w:t>
      </w:r>
      <w:r>
        <w:rPr>
          <w:color w:val="414042"/>
        </w:rPr>
        <w:t>lead</w:t>
      </w:r>
      <w:r>
        <w:rPr>
          <w:color w:val="414042"/>
          <w:spacing w:val="-5"/>
        </w:rPr>
        <w:t xml:space="preserve"> </w:t>
      </w:r>
      <w:r>
        <w:rPr>
          <w:color w:val="414042"/>
        </w:rPr>
        <w:t>to</w:t>
      </w:r>
      <w:r>
        <w:rPr>
          <w:color w:val="414042"/>
          <w:spacing w:val="-5"/>
        </w:rPr>
        <w:t xml:space="preserve"> </w:t>
      </w:r>
      <w:r>
        <w:rPr>
          <w:color w:val="414042"/>
        </w:rPr>
        <w:t>coordination</w:t>
      </w:r>
      <w:r>
        <w:rPr>
          <w:color w:val="414042"/>
          <w:spacing w:val="-6"/>
        </w:rPr>
        <w:t xml:space="preserve"> </w:t>
      </w:r>
      <w:r>
        <w:rPr>
          <w:color w:val="414042"/>
        </w:rPr>
        <w:t>of</w:t>
      </w:r>
      <w:r>
        <w:rPr>
          <w:color w:val="414042"/>
          <w:spacing w:val="-5"/>
        </w:rPr>
        <w:t xml:space="preserve"> </w:t>
      </w:r>
      <w:r>
        <w:rPr>
          <w:color w:val="414042"/>
        </w:rPr>
        <w:t>activities</w:t>
      </w:r>
      <w:r>
        <w:rPr>
          <w:color w:val="414042"/>
          <w:spacing w:val="-5"/>
        </w:rPr>
        <w:t xml:space="preserve"> </w:t>
      </w:r>
      <w:r>
        <w:rPr>
          <w:color w:val="414042"/>
        </w:rPr>
        <w:t>at</w:t>
      </w:r>
      <w:r>
        <w:rPr>
          <w:color w:val="414042"/>
          <w:spacing w:val="-4"/>
        </w:rPr>
        <w:t xml:space="preserve"> </w:t>
      </w:r>
      <w:r>
        <w:rPr>
          <w:color w:val="414042"/>
        </w:rPr>
        <w:t>all</w:t>
      </w:r>
      <w:r>
        <w:rPr>
          <w:color w:val="414042"/>
          <w:spacing w:val="-6"/>
        </w:rPr>
        <w:t xml:space="preserve"> </w:t>
      </w:r>
      <w:r>
        <w:rPr>
          <w:color w:val="414042"/>
        </w:rPr>
        <w:t>levels of government and with and between organisations, leading to better outcomes for Indigenous</w:t>
      </w:r>
      <w:r>
        <w:rPr>
          <w:color w:val="414042"/>
          <w:spacing w:val="-18"/>
        </w:rPr>
        <w:t xml:space="preserve"> </w:t>
      </w:r>
      <w:r>
        <w:rPr>
          <w:color w:val="414042"/>
        </w:rPr>
        <w:t>people.</w:t>
      </w:r>
    </w:p>
    <w:p w:rsidR="00580ABF" w:rsidRDefault="00E352FF">
      <w:pPr>
        <w:pStyle w:val="BodyText"/>
        <w:spacing w:before="108" w:line="211" w:lineRule="auto"/>
        <w:ind w:left="827" w:right="-3"/>
      </w:pPr>
      <w:r>
        <w:rPr>
          <w:color w:val="414042"/>
          <w:spacing w:val="-4"/>
        </w:rPr>
        <w:t xml:space="preserve">Coming </w:t>
      </w:r>
      <w:r>
        <w:rPr>
          <w:color w:val="414042"/>
          <w:spacing w:val="-3"/>
        </w:rPr>
        <w:t xml:space="preserve">after the </w:t>
      </w:r>
      <w:r>
        <w:rPr>
          <w:color w:val="414042"/>
          <w:spacing w:val="-4"/>
        </w:rPr>
        <w:t xml:space="preserve">National Apology </w:t>
      </w:r>
      <w:r>
        <w:rPr>
          <w:color w:val="414042"/>
          <w:spacing w:val="-3"/>
        </w:rPr>
        <w:t xml:space="preserve">to the </w:t>
      </w:r>
      <w:r>
        <w:rPr>
          <w:color w:val="414042"/>
          <w:spacing w:val="-4"/>
        </w:rPr>
        <w:t>Stolen</w:t>
      </w:r>
      <w:r>
        <w:rPr>
          <w:color w:val="414042"/>
          <w:spacing w:val="-23"/>
        </w:rPr>
        <w:t xml:space="preserve"> </w:t>
      </w:r>
      <w:r>
        <w:rPr>
          <w:color w:val="414042"/>
          <w:spacing w:val="-5"/>
        </w:rPr>
        <w:t xml:space="preserve">Generation </w:t>
      </w:r>
      <w:r>
        <w:rPr>
          <w:color w:val="414042"/>
        </w:rPr>
        <w:t xml:space="preserve">in </w:t>
      </w:r>
      <w:r>
        <w:rPr>
          <w:color w:val="414042"/>
          <w:spacing w:val="-4"/>
        </w:rPr>
        <w:t xml:space="preserve">2008, </w:t>
      </w:r>
      <w:r>
        <w:rPr>
          <w:color w:val="414042"/>
          <w:spacing w:val="-3"/>
        </w:rPr>
        <w:t xml:space="preserve">the </w:t>
      </w:r>
      <w:r>
        <w:rPr>
          <w:color w:val="414042"/>
          <w:spacing w:val="-4"/>
        </w:rPr>
        <w:t xml:space="preserve">Closing </w:t>
      </w:r>
      <w:r>
        <w:rPr>
          <w:color w:val="414042"/>
          <w:spacing w:val="-3"/>
        </w:rPr>
        <w:t xml:space="preserve">the Gap </w:t>
      </w:r>
      <w:r>
        <w:rPr>
          <w:color w:val="414042"/>
          <w:spacing w:val="-4"/>
        </w:rPr>
        <w:t xml:space="preserve">initiative </w:t>
      </w:r>
      <w:r>
        <w:rPr>
          <w:color w:val="414042"/>
          <w:spacing w:val="-6"/>
        </w:rPr>
        <w:t xml:space="preserve">gave </w:t>
      </w:r>
      <w:r>
        <w:rPr>
          <w:color w:val="414042"/>
          <w:spacing w:val="-4"/>
        </w:rPr>
        <w:t xml:space="preserve">people </w:t>
      </w:r>
      <w:r>
        <w:rPr>
          <w:color w:val="414042"/>
        </w:rPr>
        <w:t xml:space="preserve">a </w:t>
      </w:r>
      <w:r>
        <w:rPr>
          <w:color w:val="414042"/>
          <w:spacing w:val="-5"/>
        </w:rPr>
        <w:t xml:space="preserve">real </w:t>
      </w:r>
      <w:r>
        <w:rPr>
          <w:color w:val="414042"/>
          <w:spacing w:val="-4"/>
        </w:rPr>
        <w:t xml:space="preserve">sense </w:t>
      </w:r>
      <w:r>
        <w:rPr>
          <w:color w:val="414042"/>
        </w:rPr>
        <w:t xml:space="preserve">of </w:t>
      </w:r>
      <w:r>
        <w:rPr>
          <w:color w:val="414042"/>
          <w:spacing w:val="-3"/>
        </w:rPr>
        <w:t xml:space="preserve">hope </w:t>
      </w:r>
      <w:r>
        <w:rPr>
          <w:color w:val="414042"/>
          <w:spacing w:val="-4"/>
        </w:rPr>
        <w:t xml:space="preserve">that </w:t>
      </w:r>
      <w:r>
        <w:rPr>
          <w:color w:val="414042"/>
          <w:spacing w:val="-3"/>
        </w:rPr>
        <w:t xml:space="preserve">this </w:t>
      </w:r>
      <w:r>
        <w:rPr>
          <w:color w:val="414042"/>
          <w:spacing w:val="-4"/>
        </w:rPr>
        <w:t xml:space="preserve">signalled </w:t>
      </w:r>
      <w:r>
        <w:rPr>
          <w:color w:val="414042"/>
          <w:spacing w:val="-3"/>
        </w:rPr>
        <w:t xml:space="preserve">the </w:t>
      </w:r>
      <w:r>
        <w:rPr>
          <w:color w:val="414042"/>
          <w:spacing w:val="-5"/>
        </w:rPr>
        <w:t xml:space="preserve">start </w:t>
      </w:r>
      <w:r>
        <w:rPr>
          <w:color w:val="414042"/>
        </w:rPr>
        <w:t xml:space="preserve">of a </w:t>
      </w:r>
      <w:r>
        <w:rPr>
          <w:color w:val="414042"/>
          <w:spacing w:val="-3"/>
        </w:rPr>
        <w:t xml:space="preserve">new </w:t>
      </w:r>
      <w:r>
        <w:rPr>
          <w:color w:val="414042"/>
          <w:spacing w:val="-5"/>
        </w:rPr>
        <w:t xml:space="preserve">way </w:t>
      </w:r>
      <w:r>
        <w:rPr>
          <w:color w:val="414042"/>
          <w:spacing w:val="-4"/>
        </w:rPr>
        <w:t xml:space="preserve">of working </w:t>
      </w:r>
      <w:r>
        <w:rPr>
          <w:color w:val="414042"/>
          <w:spacing w:val="-3"/>
        </w:rPr>
        <w:t xml:space="preserve">with </w:t>
      </w:r>
      <w:r>
        <w:rPr>
          <w:color w:val="414042"/>
          <w:spacing w:val="-4"/>
        </w:rPr>
        <w:t xml:space="preserve">Indigenous people, working </w:t>
      </w:r>
      <w:r>
        <w:rPr>
          <w:color w:val="414042"/>
        </w:rPr>
        <w:t>in</w:t>
      </w:r>
      <w:r>
        <w:rPr>
          <w:color w:val="414042"/>
          <w:spacing w:val="-23"/>
        </w:rPr>
        <w:t xml:space="preserve"> </w:t>
      </w:r>
      <w:r>
        <w:rPr>
          <w:color w:val="414042"/>
          <w:spacing w:val="-5"/>
        </w:rPr>
        <w:t>partnership.</w:t>
      </w:r>
    </w:p>
    <w:p w:rsidR="00580ABF" w:rsidRDefault="00E352FF">
      <w:pPr>
        <w:pStyle w:val="BodyText"/>
        <w:spacing w:before="109" w:line="211" w:lineRule="auto"/>
        <w:ind w:left="827" w:right="46"/>
        <w:jc w:val="both"/>
      </w:pPr>
      <w:r>
        <w:rPr>
          <w:color w:val="414042"/>
          <w:spacing w:val="-4"/>
        </w:rPr>
        <w:t>From</w:t>
      </w:r>
      <w:r>
        <w:rPr>
          <w:color w:val="414042"/>
          <w:spacing w:val="-7"/>
        </w:rPr>
        <w:t xml:space="preserve"> </w:t>
      </w:r>
      <w:r>
        <w:rPr>
          <w:color w:val="414042"/>
        </w:rPr>
        <w:t>our</w:t>
      </w:r>
      <w:r>
        <w:rPr>
          <w:color w:val="414042"/>
          <w:spacing w:val="-6"/>
        </w:rPr>
        <w:t xml:space="preserve"> </w:t>
      </w:r>
      <w:r>
        <w:rPr>
          <w:color w:val="414042"/>
          <w:spacing w:val="-3"/>
        </w:rPr>
        <w:t>analysis</w:t>
      </w:r>
      <w:r>
        <w:rPr>
          <w:color w:val="414042"/>
          <w:spacing w:val="-7"/>
        </w:rPr>
        <w:t xml:space="preserve"> </w:t>
      </w:r>
      <w:r>
        <w:rPr>
          <w:color w:val="414042"/>
        </w:rPr>
        <w:t>of</w:t>
      </w:r>
      <w:r>
        <w:rPr>
          <w:color w:val="414042"/>
          <w:spacing w:val="-6"/>
        </w:rPr>
        <w:t xml:space="preserve"> </w:t>
      </w:r>
      <w:r>
        <w:rPr>
          <w:color w:val="414042"/>
          <w:spacing w:val="-4"/>
        </w:rPr>
        <w:t>data</w:t>
      </w:r>
      <w:r>
        <w:rPr>
          <w:color w:val="414042"/>
          <w:spacing w:val="-7"/>
        </w:rPr>
        <w:t xml:space="preserve"> </w:t>
      </w:r>
      <w:r>
        <w:rPr>
          <w:color w:val="414042"/>
          <w:spacing w:val="-3"/>
        </w:rPr>
        <w:t>emerging</w:t>
      </w:r>
      <w:r>
        <w:rPr>
          <w:color w:val="414042"/>
          <w:spacing w:val="-6"/>
        </w:rPr>
        <w:t xml:space="preserve"> </w:t>
      </w:r>
      <w:r>
        <w:rPr>
          <w:color w:val="414042"/>
          <w:spacing w:val="-4"/>
        </w:rPr>
        <w:t>from</w:t>
      </w:r>
      <w:r>
        <w:rPr>
          <w:color w:val="414042"/>
          <w:spacing w:val="-6"/>
        </w:rPr>
        <w:t xml:space="preserve"> </w:t>
      </w:r>
      <w:r>
        <w:rPr>
          <w:color w:val="414042"/>
        </w:rPr>
        <w:t>the</w:t>
      </w:r>
      <w:r>
        <w:rPr>
          <w:color w:val="414042"/>
          <w:spacing w:val="-7"/>
        </w:rPr>
        <w:t xml:space="preserve"> </w:t>
      </w:r>
      <w:r>
        <w:rPr>
          <w:color w:val="414042"/>
          <w:spacing w:val="-4"/>
        </w:rPr>
        <w:t>literature</w:t>
      </w:r>
      <w:r>
        <w:rPr>
          <w:color w:val="414042"/>
          <w:spacing w:val="-6"/>
        </w:rPr>
        <w:t xml:space="preserve"> </w:t>
      </w:r>
      <w:r>
        <w:rPr>
          <w:color w:val="414042"/>
          <w:spacing w:val="-3"/>
        </w:rPr>
        <w:t xml:space="preserve">and </w:t>
      </w:r>
      <w:r>
        <w:rPr>
          <w:color w:val="414042"/>
          <w:spacing w:val="-4"/>
        </w:rPr>
        <w:t xml:space="preserve">consultations, </w:t>
      </w:r>
      <w:r>
        <w:rPr>
          <w:color w:val="414042"/>
          <w:spacing w:val="-7"/>
        </w:rPr>
        <w:t xml:space="preserve">now, </w:t>
      </w:r>
      <w:r>
        <w:rPr>
          <w:color w:val="414042"/>
          <w:spacing w:val="-3"/>
        </w:rPr>
        <w:t xml:space="preserve">ten </w:t>
      </w:r>
      <w:r>
        <w:rPr>
          <w:color w:val="414042"/>
          <w:spacing w:val="-4"/>
        </w:rPr>
        <w:t xml:space="preserve">years </w:t>
      </w:r>
      <w:r>
        <w:rPr>
          <w:color w:val="414042"/>
        </w:rPr>
        <w:t xml:space="preserve">on, </w:t>
      </w:r>
      <w:r>
        <w:rPr>
          <w:color w:val="414042"/>
          <w:spacing w:val="-4"/>
        </w:rPr>
        <w:t xml:space="preserve">outcomes have </w:t>
      </w:r>
      <w:r>
        <w:rPr>
          <w:color w:val="414042"/>
        </w:rPr>
        <w:t xml:space="preserve">not </w:t>
      </w:r>
      <w:r>
        <w:rPr>
          <w:color w:val="414042"/>
          <w:spacing w:val="-3"/>
        </w:rPr>
        <w:t xml:space="preserve">been what people hoped </w:t>
      </w:r>
      <w:r>
        <w:rPr>
          <w:color w:val="414042"/>
          <w:spacing w:val="-9"/>
        </w:rPr>
        <w:t xml:space="preserve">for. </w:t>
      </w:r>
      <w:r>
        <w:rPr>
          <w:color w:val="414042"/>
          <w:spacing w:val="-3"/>
        </w:rPr>
        <w:t xml:space="preserve">Despite this, Closing </w:t>
      </w:r>
      <w:r>
        <w:rPr>
          <w:color w:val="414042"/>
        </w:rPr>
        <w:t>the Gap</w:t>
      </w:r>
      <w:r>
        <w:rPr>
          <w:color w:val="414042"/>
          <w:spacing w:val="-19"/>
        </w:rPr>
        <w:t xml:space="preserve"> </w:t>
      </w:r>
      <w:r>
        <w:rPr>
          <w:color w:val="414042"/>
          <w:spacing w:val="-3"/>
        </w:rPr>
        <w:t>is</w:t>
      </w:r>
    </w:p>
    <w:p w:rsidR="00580ABF" w:rsidRDefault="00E352FF">
      <w:pPr>
        <w:pStyle w:val="BodyText"/>
        <w:spacing w:before="47" w:line="211" w:lineRule="auto"/>
        <w:ind w:left="488" w:right="945"/>
      </w:pPr>
      <w:r>
        <w:br w:type="column"/>
      </w:r>
      <w:r>
        <w:rPr>
          <w:color w:val="414042"/>
          <w:spacing w:val="-3"/>
        </w:rPr>
        <w:t xml:space="preserve">still accepted </w:t>
      </w:r>
      <w:r>
        <w:rPr>
          <w:color w:val="414042"/>
        </w:rPr>
        <w:t xml:space="preserve">as a </w:t>
      </w:r>
      <w:r>
        <w:rPr>
          <w:color w:val="414042"/>
          <w:spacing w:val="-3"/>
        </w:rPr>
        <w:t xml:space="preserve">potentially sound </w:t>
      </w:r>
      <w:r>
        <w:rPr>
          <w:color w:val="414042"/>
          <w:spacing w:val="-4"/>
        </w:rPr>
        <w:t xml:space="preserve">framework. </w:t>
      </w:r>
      <w:r>
        <w:rPr>
          <w:color w:val="414042"/>
        </w:rPr>
        <w:t xml:space="preserve">It has </w:t>
      </w:r>
      <w:r>
        <w:rPr>
          <w:color w:val="414042"/>
          <w:spacing w:val="-4"/>
        </w:rPr>
        <w:t xml:space="preserve">acted </w:t>
      </w:r>
      <w:r>
        <w:rPr>
          <w:color w:val="414042"/>
        </w:rPr>
        <w:t xml:space="preserve">as a </w:t>
      </w:r>
      <w:r>
        <w:rPr>
          <w:color w:val="414042"/>
          <w:spacing w:val="-4"/>
        </w:rPr>
        <w:t xml:space="preserve">focal </w:t>
      </w:r>
      <w:r>
        <w:rPr>
          <w:color w:val="414042"/>
          <w:spacing w:val="-3"/>
        </w:rPr>
        <w:t xml:space="preserve">point that </w:t>
      </w:r>
      <w:r>
        <w:rPr>
          <w:color w:val="414042"/>
        </w:rPr>
        <w:t xml:space="preserve">has </w:t>
      </w:r>
      <w:r>
        <w:rPr>
          <w:color w:val="414042"/>
          <w:spacing w:val="-4"/>
        </w:rPr>
        <w:t xml:space="preserve">assisted </w:t>
      </w:r>
      <w:r>
        <w:rPr>
          <w:color w:val="414042"/>
          <w:spacing w:val="-3"/>
        </w:rPr>
        <w:t xml:space="preserve">with </w:t>
      </w:r>
      <w:r>
        <w:rPr>
          <w:color w:val="414042"/>
          <w:spacing w:val="-4"/>
        </w:rPr>
        <w:t xml:space="preserve">coordination across sectors, governments </w:t>
      </w:r>
      <w:r>
        <w:rPr>
          <w:color w:val="414042"/>
        </w:rPr>
        <w:t xml:space="preserve">and </w:t>
      </w:r>
      <w:r>
        <w:rPr>
          <w:color w:val="414042"/>
          <w:spacing w:val="-4"/>
        </w:rPr>
        <w:t xml:space="preserve">organisations. Many </w:t>
      </w:r>
      <w:r>
        <w:rPr>
          <w:color w:val="414042"/>
          <w:spacing w:val="-5"/>
        </w:rPr>
        <w:t xml:space="preserve">stakeholders </w:t>
      </w:r>
      <w:r>
        <w:rPr>
          <w:color w:val="414042"/>
          <w:spacing w:val="-4"/>
        </w:rPr>
        <w:t xml:space="preserve">consulted spoke </w:t>
      </w:r>
      <w:r>
        <w:rPr>
          <w:color w:val="414042"/>
        </w:rPr>
        <w:t xml:space="preserve">of </w:t>
      </w:r>
      <w:r>
        <w:rPr>
          <w:color w:val="414042"/>
          <w:spacing w:val="-3"/>
        </w:rPr>
        <w:t xml:space="preserve">this point </w:t>
      </w:r>
      <w:r>
        <w:rPr>
          <w:color w:val="414042"/>
        </w:rPr>
        <w:t xml:space="preserve">and the </w:t>
      </w:r>
      <w:r>
        <w:rPr>
          <w:color w:val="414042"/>
          <w:spacing w:val="-3"/>
        </w:rPr>
        <w:t xml:space="preserve">need to </w:t>
      </w:r>
      <w:r>
        <w:rPr>
          <w:color w:val="414042"/>
          <w:spacing w:val="-4"/>
        </w:rPr>
        <w:t xml:space="preserve">have </w:t>
      </w:r>
      <w:r>
        <w:rPr>
          <w:color w:val="414042"/>
        </w:rPr>
        <w:t xml:space="preserve">a </w:t>
      </w:r>
      <w:r>
        <w:rPr>
          <w:color w:val="414042"/>
          <w:spacing w:val="-3"/>
        </w:rPr>
        <w:t xml:space="preserve">national </w:t>
      </w:r>
      <w:r>
        <w:rPr>
          <w:color w:val="414042"/>
          <w:spacing w:val="-4"/>
        </w:rPr>
        <w:t xml:space="preserve">focus </w:t>
      </w:r>
      <w:r>
        <w:rPr>
          <w:color w:val="414042"/>
        </w:rPr>
        <w:t xml:space="preserve">on </w:t>
      </w:r>
      <w:r>
        <w:rPr>
          <w:color w:val="414042"/>
          <w:spacing w:val="-3"/>
        </w:rPr>
        <w:t xml:space="preserve">addressing Indigenous </w:t>
      </w:r>
      <w:r>
        <w:rPr>
          <w:color w:val="414042"/>
          <w:spacing w:val="-4"/>
        </w:rPr>
        <w:t>disadvantage.</w:t>
      </w:r>
    </w:p>
    <w:p w:rsidR="00580ABF" w:rsidRDefault="00E352FF">
      <w:pPr>
        <w:pStyle w:val="BodyText"/>
        <w:spacing w:before="108" w:line="211" w:lineRule="auto"/>
        <w:ind w:left="488" w:right="966"/>
        <w:rPr>
          <w:color w:val="414042"/>
          <w:spacing w:val="-5"/>
        </w:rPr>
      </w:pPr>
      <w:r>
        <w:rPr>
          <w:color w:val="414042"/>
          <w:spacing w:val="-4"/>
        </w:rPr>
        <w:t xml:space="preserve">Where Closing </w:t>
      </w:r>
      <w:r>
        <w:rPr>
          <w:color w:val="414042"/>
          <w:spacing w:val="-3"/>
        </w:rPr>
        <w:t xml:space="preserve">the Gap has </w:t>
      </w:r>
      <w:r>
        <w:rPr>
          <w:color w:val="414042"/>
          <w:spacing w:val="-4"/>
        </w:rPr>
        <w:t xml:space="preserve">failed </w:t>
      </w:r>
      <w:r>
        <w:rPr>
          <w:color w:val="414042"/>
          <w:spacing w:val="-3"/>
        </w:rPr>
        <w:t xml:space="preserve">has been </w:t>
      </w:r>
      <w:r>
        <w:rPr>
          <w:color w:val="414042"/>
        </w:rPr>
        <w:t xml:space="preserve">in </w:t>
      </w:r>
      <w:r>
        <w:rPr>
          <w:color w:val="414042"/>
          <w:spacing w:val="-4"/>
        </w:rPr>
        <w:t xml:space="preserve">the implementation: there </w:t>
      </w:r>
      <w:r>
        <w:rPr>
          <w:color w:val="414042"/>
          <w:spacing w:val="-3"/>
        </w:rPr>
        <w:t xml:space="preserve">has been little </w:t>
      </w:r>
      <w:r>
        <w:rPr>
          <w:color w:val="414042"/>
          <w:spacing w:val="-5"/>
        </w:rPr>
        <w:t xml:space="preserve">improvement </w:t>
      </w:r>
      <w:r>
        <w:rPr>
          <w:color w:val="414042"/>
        </w:rPr>
        <w:t xml:space="preserve">in </w:t>
      </w:r>
      <w:r>
        <w:rPr>
          <w:color w:val="414042"/>
          <w:spacing w:val="-4"/>
        </w:rPr>
        <w:t xml:space="preserve">the </w:t>
      </w:r>
      <w:r>
        <w:rPr>
          <w:color w:val="414042"/>
          <w:spacing w:val="-5"/>
        </w:rPr>
        <w:t xml:space="preserve">partnerships </w:t>
      </w:r>
      <w:r>
        <w:rPr>
          <w:color w:val="414042"/>
          <w:spacing w:val="-3"/>
        </w:rPr>
        <w:t xml:space="preserve">with </w:t>
      </w:r>
      <w:r>
        <w:rPr>
          <w:color w:val="414042"/>
          <w:spacing w:val="-4"/>
        </w:rPr>
        <w:t xml:space="preserve">Indigenous people, </w:t>
      </w:r>
      <w:r>
        <w:rPr>
          <w:color w:val="414042"/>
        </w:rPr>
        <w:t xml:space="preserve">or in </w:t>
      </w:r>
      <w:r>
        <w:rPr>
          <w:color w:val="414042"/>
          <w:spacing w:val="-3"/>
        </w:rPr>
        <w:t xml:space="preserve">putting </w:t>
      </w:r>
      <w:r>
        <w:rPr>
          <w:color w:val="414042"/>
          <w:spacing w:val="-4"/>
        </w:rPr>
        <w:t xml:space="preserve">culture </w:t>
      </w:r>
      <w:r>
        <w:rPr>
          <w:color w:val="414042"/>
          <w:spacing w:val="-3"/>
        </w:rPr>
        <w:t xml:space="preserve">at the </w:t>
      </w:r>
      <w:r>
        <w:rPr>
          <w:color w:val="414042"/>
          <w:spacing w:val="-5"/>
        </w:rPr>
        <w:t xml:space="preserve">centre </w:t>
      </w:r>
      <w:r>
        <w:rPr>
          <w:color w:val="414042"/>
        </w:rPr>
        <w:t xml:space="preserve">of </w:t>
      </w:r>
      <w:r>
        <w:rPr>
          <w:color w:val="414042"/>
          <w:spacing w:val="-4"/>
        </w:rPr>
        <w:t xml:space="preserve">initiatives. </w:t>
      </w:r>
      <w:r>
        <w:rPr>
          <w:color w:val="414042"/>
          <w:spacing w:val="-5"/>
        </w:rPr>
        <w:t xml:space="preserve">Overall </w:t>
      </w:r>
      <w:r>
        <w:rPr>
          <w:color w:val="414042"/>
          <w:spacing w:val="-3"/>
        </w:rPr>
        <w:t xml:space="preserve">the </w:t>
      </w:r>
      <w:r>
        <w:rPr>
          <w:color w:val="414042"/>
          <w:spacing w:val="-4"/>
        </w:rPr>
        <w:t xml:space="preserve">consultation </w:t>
      </w:r>
      <w:r>
        <w:rPr>
          <w:color w:val="414042"/>
          <w:spacing w:val="-5"/>
        </w:rPr>
        <w:t xml:space="preserve">responses </w:t>
      </w:r>
      <w:r>
        <w:rPr>
          <w:color w:val="414042"/>
          <w:spacing w:val="-3"/>
        </w:rPr>
        <w:t>and</w:t>
      </w:r>
      <w:r>
        <w:rPr>
          <w:color w:val="414042"/>
          <w:spacing w:val="-8"/>
        </w:rPr>
        <w:t xml:space="preserve"> </w:t>
      </w:r>
      <w:r>
        <w:rPr>
          <w:color w:val="414042"/>
          <w:spacing w:val="-5"/>
        </w:rPr>
        <w:t>literature</w:t>
      </w:r>
      <w:r w:rsidRPr="002D1C12">
        <w:rPr>
          <w:color w:val="414042"/>
          <w:spacing w:val="-5"/>
        </w:rPr>
        <w:t xml:space="preserve"> suggest that Closing the Gap is still often seen as a ‘top down’ approach, and not one of </w:t>
      </w:r>
      <w:r>
        <w:rPr>
          <w:color w:val="414042"/>
          <w:spacing w:val="-5"/>
        </w:rPr>
        <w:t>partnership.</w:t>
      </w:r>
    </w:p>
    <w:p w:rsidR="002D1C12" w:rsidRDefault="002D1C12" w:rsidP="002D1C12">
      <w:pPr>
        <w:pStyle w:val="BodyText"/>
        <w:spacing w:before="108" w:line="211" w:lineRule="auto"/>
        <w:ind w:left="488" w:right="966"/>
        <w:rPr>
          <w:color w:val="414042"/>
          <w:spacing w:val="-5"/>
        </w:rPr>
      </w:pPr>
    </w:p>
    <w:p w:rsidR="002D1C12" w:rsidRPr="002D1C12" w:rsidRDefault="002D1C12" w:rsidP="002D1C12">
      <w:pPr>
        <w:pStyle w:val="BodyText"/>
        <w:spacing w:before="108" w:line="211" w:lineRule="auto"/>
        <w:ind w:left="488" w:right="966"/>
        <w:rPr>
          <w:b/>
          <w:color w:val="414042"/>
          <w:spacing w:val="-5"/>
        </w:rPr>
      </w:pPr>
      <w:r w:rsidRPr="002D1C12">
        <w:rPr>
          <w:b/>
          <w:color w:val="414042"/>
          <w:spacing w:val="-5"/>
        </w:rPr>
        <w:t>A key message is that where Closing the Gap has been successful is where initiatives have enabled Indigenous communities to lead, and where true partnerships have been formed with Indigenous communities. This enabled solutions to problems impacting on the community to be designed and the process for implementation agreed upon between Indigenous communities and service providers and funders.</w:t>
      </w:r>
    </w:p>
    <w:p w:rsidR="002D1C12" w:rsidRPr="002D1C12" w:rsidRDefault="002D1C12">
      <w:pPr>
        <w:pStyle w:val="BodyText"/>
        <w:spacing w:before="108" w:line="211" w:lineRule="auto"/>
        <w:ind w:left="488" w:right="966"/>
        <w:rPr>
          <w:color w:val="414042"/>
          <w:spacing w:val="-5"/>
        </w:rPr>
      </w:pPr>
    </w:p>
    <w:p w:rsidR="00580ABF" w:rsidRDefault="00E352FF" w:rsidP="009D21EF">
      <w:pPr>
        <w:pStyle w:val="Heading3"/>
        <w:ind w:left="0" w:firstLine="488"/>
      </w:pPr>
      <w:r>
        <w:t>The Literature</w:t>
      </w:r>
    </w:p>
    <w:p w:rsidR="00580ABF" w:rsidRDefault="00E352FF">
      <w:pPr>
        <w:pStyle w:val="BodyText"/>
        <w:spacing w:before="23" w:line="211" w:lineRule="auto"/>
        <w:ind w:left="488" w:right="945"/>
      </w:pPr>
      <w:r>
        <w:rPr>
          <w:color w:val="414042"/>
        </w:rPr>
        <w:t>The literature was mostly cautious of Closing the Gap as a policy initiative.</w:t>
      </w:r>
    </w:p>
    <w:p w:rsidR="00580ABF" w:rsidRDefault="00E352FF">
      <w:pPr>
        <w:pStyle w:val="BodyText"/>
        <w:spacing w:before="112" w:line="211" w:lineRule="auto"/>
        <w:ind w:left="488" w:right="1012"/>
      </w:pPr>
      <w:r>
        <w:rPr>
          <w:color w:val="414042"/>
        </w:rPr>
        <w:t>The literature suggests that Closing the Gap is based on a specific ideological heritage that builds on previous public policy that focuses on biomedical and socioeconomic indicators and reflects current trends in social policy and public health more broadly. The literature argues that the framework does not necessarily come to terms with how to meet the complex needs of Aboriginal and Torres Strait islander peoples (Pholi, et al., 2009; Altman, et al., 2008).</w:t>
      </w:r>
    </w:p>
    <w:p w:rsidR="00580ABF" w:rsidRDefault="00E352FF">
      <w:pPr>
        <w:pStyle w:val="BodyText"/>
        <w:spacing w:before="105" w:line="211" w:lineRule="auto"/>
        <w:ind w:left="488" w:right="945"/>
      </w:pPr>
      <w:r>
        <w:rPr>
          <w:color w:val="414042"/>
        </w:rPr>
        <w:t>While this literature is ten years old, its criticisms suggest the need for a person and community/culture centred approach that measures actual outcomes, rather than indicators. These criticisms are still at the core of much of the feedback today.</w:t>
      </w:r>
    </w:p>
    <w:p w:rsidR="00580ABF" w:rsidRDefault="00E352FF">
      <w:pPr>
        <w:pStyle w:val="BodyText"/>
        <w:spacing w:before="109" w:line="211" w:lineRule="auto"/>
        <w:ind w:left="488" w:right="736"/>
      </w:pPr>
      <w:r>
        <w:rPr>
          <w:color w:val="414042"/>
        </w:rPr>
        <w:t>The 2017 Close the Gap Progress and Priorities Report suggests that ‘the constantly changing approaches to Aboriginal and Torres Strait Islander affairs has undermined efforts to forge a nationally coordinated solution’ (Wright &amp; Lewis, 2017, p. 7).</w:t>
      </w:r>
    </w:p>
    <w:p w:rsidR="00580ABF" w:rsidRDefault="00580ABF">
      <w:pPr>
        <w:spacing w:line="211" w:lineRule="auto"/>
        <w:sectPr w:rsidR="00580ABF">
          <w:type w:val="continuous"/>
          <w:pgSz w:w="11910" w:h="16840"/>
          <w:pgMar w:top="1580" w:right="180" w:bottom="280" w:left="420" w:header="720" w:footer="720" w:gutter="0"/>
          <w:cols w:num="2" w:space="720" w:equalWidth="0">
            <w:col w:w="5231" w:space="40"/>
            <w:col w:w="6039"/>
          </w:cols>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rsidP="00B16E4A">
      <w:pPr>
        <w:pStyle w:val="Heading3"/>
      </w:pPr>
      <w:r>
        <w:t>Complexity of the challenge</w:t>
      </w:r>
    </w:p>
    <w:p w:rsidR="00580ABF" w:rsidRDefault="00E352FF">
      <w:pPr>
        <w:pStyle w:val="BodyText"/>
        <w:spacing w:before="23" w:line="211" w:lineRule="auto"/>
        <w:ind w:left="827"/>
        <w:jc w:val="both"/>
      </w:pPr>
      <w:r>
        <w:rPr>
          <w:color w:val="414042"/>
        </w:rPr>
        <w:t xml:space="preserve">Much of the literature describes the complexity of the challenge to Close the Gap given the interconnectedness   of the issues faced by Aboriginal and </w:t>
      </w:r>
      <w:r>
        <w:rPr>
          <w:color w:val="414042"/>
          <w:spacing w:val="-4"/>
        </w:rPr>
        <w:t xml:space="preserve">Torres </w:t>
      </w:r>
      <w:r>
        <w:rPr>
          <w:color w:val="414042"/>
        </w:rPr>
        <w:t>Strait Islander peoples and the shortcomings of tackling specific issues or targets in</w:t>
      </w:r>
      <w:r>
        <w:rPr>
          <w:color w:val="414042"/>
          <w:spacing w:val="-2"/>
        </w:rPr>
        <w:t xml:space="preserve"> </w:t>
      </w:r>
      <w:r>
        <w:rPr>
          <w:color w:val="414042"/>
        </w:rPr>
        <w:t>isolation:</w:t>
      </w:r>
    </w:p>
    <w:p w:rsidR="00580ABF" w:rsidRDefault="00E352FF" w:rsidP="002B0023">
      <w:pPr>
        <w:pStyle w:val="BodyText"/>
        <w:numPr>
          <w:ilvl w:val="0"/>
          <w:numId w:val="16"/>
        </w:numPr>
        <w:tabs>
          <w:tab w:val="left" w:pos="990"/>
        </w:tabs>
        <w:spacing w:before="108" w:line="211" w:lineRule="auto"/>
        <w:ind w:left="990" w:right="354" w:hanging="180"/>
      </w:pPr>
      <w:r>
        <w:t>While Closing the G</w:t>
      </w:r>
      <w:r w:rsidR="002B0023">
        <w:t xml:space="preserve">ap has had broad support across </w:t>
      </w:r>
      <w:r>
        <w:t>the government and in some community sectors, there has been discussion in the academic literature about the complexity of the task given the significant gaps across a range of indicators and the fact that the approach is not overly different from those previously adopted (Altman, et al., 2008; Pholi, et al., 2009).</w:t>
      </w:r>
    </w:p>
    <w:p w:rsidR="00580ABF" w:rsidRDefault="00E352FF" w:rsidP="002B0023">
      <w:pPr>
        <w:pStyle w:val="BodyText"/>
        <w:numPr>
          <w:ilvl w:val="0"/>
          <w:numId w:val="16"/>
        </w:numPr>
        <w:tabs>
          <w:tab w:val="left" w:pos="990"/>
        </w:tabs>
        <w:spacing w:before="106" w:line="211" w:lineRule="auto"/>
        <w:ind w:left="990" w:right="300" w:hanging="180"/>
      </w:pPr>
      <w:r>
        <w:t>There is general acceptance that the underlyin</w:t>
      </w:r>
      <w:r w:rsidR="002B0023">
        <w:t xml:space="preserve">g and </w:t>
      </w:r>
      <w:r>
        <w:t>intergenerational causes of the gaps are not easily addressed. For example, life expectancy will be impacted by factors related to early childhood and health outcomes are dependent on social, cultural and community contexts, along with broader forces, such as macroeconomic growth (Altman, et al., 2008; Pholi, et al., 2009).</w:t>
      </w:r>
    </w:p>
    <w:p w:rsidR="00580ABF" w:rsidRDefault="00E352FF" w:rsidP="002B0023">
      <w:pPr>
        <w:pStyle w:val="BodyText"/>
        <w:numPr>
          <w:ilvl w:val="0"/>
          <w:numId w:val="16"/>
        </w:numPr>
        <w:tabs>
          <w:tab w:val="left" w:pos="990"/>
        </w:tabs>
        <w:spacing w:before="105" w:line="211" w:lineRule="auto"/>
        <w:ind w:left="990" w:right="354" w:hanging="180"/>
      </w:pPr>
      <w:r>
        <w:rPr>
          <w:spacing w:val="2"/>
        </w:rPr>
        <w:t xml:space="preserve">The </w:t>
      </w:r>
      <w:r>
        <w:t>interconnectedness of the indicators and outcomes</w:t>
      </w:r>
      <w:r>
        <w:rPr>
          <w:spacing w:val="-7"/>
        </w:rPr>
        <w:t xml:space="preserve"> </w:t>
      </w:r>
      <w:r>
        <w:t>and</w:t>
      </w:r>
      <w:r>
        <w:rPr>
          <w:spacing w:val="-6"/>
        </w:rPr>
        <w:t xml:space="preserve"> </w:t>
      </w:r>
      <w:r>
        <w:t>the</w:t>
      </w:r>
      <w:r>
        <w:rPr>
          <w:spacing w:val="-6"/>
        </w:rPr>
        <w:t xml:space="preserve"> </w:t>
      </w:r>
      <w:r>
        <w:t>shortcomings</w:t>
      </w:r>
      <w:r>
        <w:rPr>
          <w:spacing w:val="-6"/>
        </w:rPr>
        <w:t xml:space="preserve"> </w:t>
      </w:r>
      <w:r>
        <w:t>of</w:t>
      </w:r>
      <w:r>
        <w:rPr>
          <w:spacing w:val="-6"/>
        </w:rPr>
        <w:t xml:space="preserve"> </w:t>
      </w:r>
      <w:r>
        <w:t>considering</w:t>
      </w:r>
      <w:r>
        <w:rPr>
          <w:spacing w:val="-6"/>
        </w:rPr>
        <w:t xml:space="preserve"> </w:t>
      </w:r>
      <w:r>
        <w:t>these overarching targets in isolation from other factors which may be influencing their progress is</w:t>
      </w:r>
      <w:r>
        <w:rPr>
          <w:spacing w:val="-17"/>
        </w:rPr>
        <w:t xml:space="preserve"> </w:t>
      </w:r>
      <w:r>
        <w:t>noted</w:t>
      </w:r>
    </w:p>
    <w:p w:rsidR="00580ABF" w:rsidRDefault="00E352FF">
      <w:pPr>
        <w:pStyle w:val="BodyText"/>
        <w:spacing w:line="211" w:lineRule="auto"/>
        <w:ind w:left="997" w:right="459"/>
      </w:pPr>
      <w:r>
        <w:t>as a challenge across the literature. For example, the Productivity Commission presents analysis to show how the COAG targets of employment, year 12</w:t>
      </w:r>
      <w:r>
        <w:rPr>
          <w:spacing w:val="-6"/>
        </w:rPr>
        <w:t xml:space="preserve"> </w:t>
      </w:r>
      <w:r>
        <w:t>or</w:t>
      </w:r>
      <w:r>
        <w:rPr>
          <w:spacing w:val="-7"/>
        </w:rPr>
        <w:t xml:space="preserve"> </w:t>
      </w:r>
      <w:r>
        <w:t>equivalent</w:t>
      </w:r>
      <w:r>
        <w:rPr>
          <w:spacing w:val="-6"/>
        </w:rPr>
        <w:t xml:space="preserve"> </w:t>
      </w:r>
      <w:r>
        <w:t>attainment,</w:t>
      </w:r>
      <w:r>
        <w:rPr>
          <w:spacing w:val="-6"/>
        </w:rPr>
        <w:t xml:space="preserve"> </w:t>
      </w:r>
      <w:r>
        <w:t>school</w:t>
      </w:r>
      <w:r>
        <w:rPr>
          <w:spacing w:val="-6"/>
        </w:rPr>
        <w:t xml:space="preserve"> </w:t>
      </w:r>
      <w:r>
        <w:t>attendance</w:t>
      </w:r>
      <w:r>
        <w:rPr>
          <w:spacing w:val="-6"/>
        </w:rPr>
        <w:t xml:space="preserve"> </w:t>
      </w:r>
      <w:r>
        <w:t xml:space="preserve">and reading, writing and numeracy are influenced by outcomes across the framework </w:t>
      </w:r>
      <w:r>
        <w:rPr>
          <w:spacing w:val="-4"/>
        </w:rPr>
        <w:t>(SCRGSP,</w:t>
      </w:r>
      <w:r>
        <w:rPr>
          <w:spacing w:val="-14"/>
        </w:rPr>
        <w:t xml:space="preserve"> </w:t>
      </w:r>
      <w:r>
        <w:t>2016).</w:t>
      </w:r>
    </w:p>
    <w:p w:rsidR="00580ABF" w:rsidRDefault="00E352FF">
      <w:pPr>
        <w:pStyle w:val="BodyText"/>
        <w:spacing w:line="211" w:lineRule="auto"/>
        <w:ind w:left="997" w:right="364"/>
      </w:pPr>
      <w:r>
        <w:t>Social and environmental factors, such as those in the ‘Home environment’ and ‘Safe and Supportive communities’ strategic areas affect all outcomes, as do the inter-generational effects of parental income, employment and education levels (SCRGSP, 2016).</w:t>
      </w:r>
    </w:p>
    <w:p w:rsidR="002D1C12" w:rsidRDefault="002D1C12">
      <w:pPr>
        <w:pStyle w:val="BodyText"/>
        <w:spacing w:line="211" w:lineRule="auto"/>
        <w:ind w:left="997" w:right="364"/>
      </w:pPr>
    </w:p>
    <w:p w:rsidR="002D1C12" w:rsidRPr="002D1C12" w:rsidRDefault="002D1C12" w:rsidP="002D1C12">
      <w:pPr>
        <w:pStyle w:val="BodyText"/>
        <w:spacing w:line="211" w:lineRule="auto"/>
        <w:ind w:left="997" w:right="364"/>
        <w:rPr>
          <w:b/>
        </w:rPr>
      </w:pPr>
      <w:r w:rsidRPr="002D1C12">
        <w:rPr>
          <w:b/>
        </w:rPr>
        <w:t>While the literature notes these challenges with the framework, it does not suggest that the concept of a coordinated approach is not a good one. By pointing out that the task is complex, the literature really underpins the concept of tailoring initiatives for communities and individuals, which in turn requires</w:t>
      </w:r>
      <w:r>
        <w:rPr>
          <w:b/>
        </w:rPr>
        <w:t xml:space="preserve"> </w:t>
      </w:r>
      <w:r w:rsidRPr="002D1C12">
        <w:rPr>
          <w:b/>
        </w:rPr>
        <w:t>working with communities in a person-centred way. This is a key message.</w:t>
      </w:r>
    </w:p>
    <w:p w:rsidR="002D1C12" w:rsidRDefault="002D1C12">
      <w:pPr>
        <w:pStyle w:val="BodyText"/>
        <w:spacing w:line="211" w:lineRule="auto"/>
        <w:ind w:left="997" w:right="364"/>
      </w:pPr>
    </w:p>
    <w:p w:rsidR="00580ABF" w:rsidRDefault="00E352FF">
      <w:pPr>
        <w:pStyle w:val="BodyText"/>
        <w:spacing w:before="19"/>
        <w:ind w:left="269"/>
      </w:pPr>
      <w:r>
        <w:br w:type="column"/>
      </w:r>
      <w:r>
        <w:rPr>
          <w:color w:val="414042"/>
        </w:rPr>
        <w:t>For example:</w:t>
      </w:r>
    </w:p>
    <w:p w:rsidR="00580ABF" w:rsidRDefault="00E352FF" w:rsidP="002B0023">
      <w:pPr>
        <w:pStyle w:val="BodyText"/>
        <w:numPr>
          <w:ilvl w:val="0"/>
          <w:numId w:val="17"/>
        </w:numPr>
        <w:spacing w:before="107" w:line="211" w:lineRule="auto"/>
        <w:ind w:left="630" w:right="1561" w:hanging="270"/>
      </w:pPr>
      <w:r>
        <w:t xml:space="preserve">There is significant support in the literature </w:t>
      </w:r>
      <w:r>
        <w:rPr>
          <w:spacing w:val="-3"/>
        </w:rPr>
        <w:t xml:space="preserve">for </w:t>
      </w:r>
      <w:r>
        <w:t xml:space="preserve">more flexible and tailored approaches to more effectively meet the needs of Aboriginal and </w:t>
      </w:r>
      <w:r>
        <w:rPr>
          <w:spacing w:val="-4"/>
        </w:rPr>
        <w:t xml:space="preserve">Torres </w:t>
      </w:r>
      <w:r>
        <w:t xml:space="preserve">Strait Islander people, particularly </w:t>
      </w:r>
      <w:r>
        <w:rPr>
          <w:spacing w:val="-2"/>
        </w:rPr>
        <w:t xml:space="preserve">for </w:t>
      </w:r>
      <w:r>
        <w:t>those who live in remote and regional</w:t>
      </w:r>
      <w:r>
        <w:rPr>
          <w:spacing w:val="-17"/>
        </w:rPr>
        <w:t xml:space="preserve"> </w:t>
      </w:r>
      <w:r>
        <w:t>Indigenous communities across the country (Altman, et al., 2008; Australian Institute of Health and Welfare, 2013; Cox,</w:t>
      </w:r>
      <w:r>
        <w:rPr>
          <w:spacing w:val="-2"/>
        </w:rPr>
        <w:t xml:space="preserve"> </w:t>
      </w:r>
      <w:r>
        <w:t>2014).</w:t>
      </w:r>
    </w:p>
    <w:p w:rsidR="00580ABF" w:rsidRDefault="00E352FF" w:rsidP="002B0023">
      <w:pPr>
        <w:pStyle w:val="BodyText"/>
        <w:numPr>
          <w:ilvl w:val="0"/>
          <w:numId w:val="17"/>
        </w:numPr>
        <w:spacing w:before="105" w:line="211" w:lineRule="auto"/>
        <w:ind w:left="630" w:right="1402" w:hanging="270"/>
      </w:pPr>
      <w:r>
        <w:t>One critic notes that there has been an over- emphasis in the Closing the Gap approach on equality between Indigenous and other Australians and too little emphasis on diversity and difference. Hiding behind the term ‘Closing the Gap’ and its statistical orientation is the complexity of diverse, Indigenous, culturally-distinct ways of being that are not incorporated into planning or in setting outcomes (Altman, et al., 2008).</w:t>
      </w:r>
    </w:p>
    <w:p w:rsidR="00580ABF" w:rsidRDefault="00E352FF">
      <w:pPr>
        <w:pStyle w:val="BodyText"/>
        <w:spacing w:before="104" w:line="211" w:lineRule="auto"/>
        <w:ind w:left="269" w:right="1155"/>
      </w:pPr>
      <w:r>
        <w:rPr>
          <w:color w:val="414042"/>
        </w:rPr>
        <w:t>According to the literature and the consultations, the issues</w:t>
      </w:r>
      <w:r>
        <w:rPr>
          <w:color w:val="414042"/>
          <w:spacing w:val="-7"/>
        </w:rPr>
        <w:t xml:space="preserve"> </w:t>
      </w:r>
      <w:r>
        <w:rPr>
          <w:color w:val="414042"/>
        </w:rPr>
        <w:t>impacting</w:t>
      </w:r>
      <w:r>
        <w:rPr>
          <w:color w:val="414042"/>
          <w:spacing w:val="-6"/>
        </w:rPr>
        <w:t xml:space="preserve"> </w:t>
      </w:r>
      <w:r>
        <w:rPr>
          <w:color w:val="414042"/>
        </w:rPr>
        <w:t>on</w:t>
      </w:r>
      <w:r>
        <w:rPr>
          <w:color w:val="414042"/>
          <w:spacing w:val="-7"/>
        </w:rPr>
        <w:t xml:space="preserve"> </w:t>
      </w:r>
      <w:r>
        <w:rPr>
          <w:color w:val="414042"/>
        </w:rPr>
        <w:t>Indigenous</w:t>
      </w:r>
      <w:r>
        <w:rPr>
          <w:color w:val="414042"/>
          <w:spacing w:val="-5"/>
        </w:rPr>
        <w:t xml:space="preserve"> </w:t>
      </w:r>
      <w:r>
        <w:rPr>
          <w:color w:val="414042"/>
        </w:rPr>
        <w:t>Australians</w:t>
      </w:r>
      <w:r>
        <w:rPr>
          <w:color w:val="414042"/>
          <w:spacing w:val="-6"/>
        </w:rPr>
        <w:t xml:space="preserve"> </w:t>
      </w:r>
      <w:r>
        <w:rPr>
          <w:color w:val="414042"/>
        </w:rPr>
        <w:t>are</w:t>
      </w:r>
      <w:r>
        <w:rPr>
          <w:color w:val="414042"/>
          <w:spacing w:val="-6"/>
        </w:rPr>
        <w:t xml:space="preserve"> </w:t>
      </w:r>
      <w:r>
        <w:rPr>
          <w:color w:val="414042"/>
        </w:rPr>
        <w:t>complex. It becomes evident that applying a response that can deal with the deep-rooted issues as well as those on</w:t>
      </w:r>
      <w:r>
        <w:rPr>
          <w:color w:val="414042"/>
          <w:spacing w:val="-27"/>
        </w:rPr>
        <w:t xml:space="preserve"> </w:t>
      </w:r>
      <w:r>
        <w:rPr>
          <w:color w:val="414042"/>
        </w:rPr>
        <w:t>the surface is needed. This aligns with a trauma-informed approach to policy development and</w:t>
      </w:r>
      <w:r>
        <w:rPr>
          <w:color w:val="414042"/>
          <w:spacing w:val="-24"/>
        </w:rPr>
        <w:t xml:space="preserve"> </w:t>
      </w:r>
      <w:r>
        <w:rPr>
          <w:color w:val="414042"/>
        </w:rPr>
        <w:t>implementation.</w:t>
      </w:r>
    </w:p>
    <w:p w:rsidR="00580ABF" w:rsidRDefault="00E352FF">
      <w:pPr>
        <w:pStyle w:val="BodyText"/>
        <w:spacing w:before="108" w:line="211" w:lineRule="auto"/>
        <w:ind w:left="269" w:right="1402"/>
      </w:pPr>
      <w:r>
        <w:rPr>
          <w:color w:val="414042"/>
        </w:rPr>
        <w:t>Due to the enormity of issues facing Indigenous Australians, many of the efforts implemented as part of</w:t>
      </w:r>
      <w:r>
        <w:rPr>
          <w:color w:val="414042"/>
          <w:spacing w:val="-5"/>
        </w:rPr>
        <w:t xml:space="preserve"> </w:t>
      </w:r>
      <w:r>
        <w:rPr>
          <w:color w:val="414042"/>
        </w:rPr>
        <w:t>Closing</w:t>
      </w:r>
      <w:r>
        <w:rPr>
          <w:color w:val="414042"/>
          <w:spacing w:val="-4"/>
        </w:rPr>
        <w:t xml:space="preserve"> </w:t>
      </w:r>
      <w:r>
        <w:rPr>
          <w:color w:val="414042"/>
        </w:rPr>
        <w:t>the</w:t>
      </w:r>
      <w:r>
        <w:rPr>
          <w:color w:val="414042"/>
          <w:spacing w:val="-4"/>
        </w:rPr>
        <w:t xml:space="preserve"> </w:t>
      </w:r>
      <w:r>
        <w:rPr>
          <w:color w:val="414042"/>
        </w:rPr>
        <w:t>Gap</w:t>
      </w:r>
      <w:r>
        <w:rPr>
          <w:color w:val="414042"/>
          <w:spacing w:val="-3"/>
        </w:rPr>
        <w:t xml:space="preserve"> </w:t>
      </w:r>
      <w:r>
        <w:rPr>
          <w:color w:val="414042"/>
        </w:rPr>
        <w:t>for</w:t>
      </w:r>
      <w:r>
        <w:rPr>
          <w:color w:val="414042"/>
          <w:spacing w:val="-4"/>
        </w:rPr>
        <w:t xml:space="preserve"> </w:t>
      </w:r>
      <w:r>
        <w:rPr>
          <w:color w:val="414042"/>
        </w:rPr>
        <w:t>the</w:t>
      </w:r>
      <w:r>
        <w:rPr>
          <w:color w:val="414042"/>
          <w:spacing w:val="-4"/>
        </w:rPr>
        <w:t xml:space="preserve"> </w:t>
      </w:r>
      <w:r>
        <w:rPr>
          <w:color w:val="414042"/>
        </w:rPr>
        <w:t>past</w:t>
      </w:r>
      <w:r>
        <w:rPr>
          <w:color w:val="414042"/>
          <w:spacing w:val="-3"/>
        </w:rPr>
        <w:t xml:space="preserve"> </w:t>
      </w:r>
      <w:r>
        <w:rPr>
          <w:color w:val="414042"/>
        </w:rPr>
        <w:t>10</w:t>
      </w:r>
      <w:r>
        <w:rPr>
          <w:color w:val="414042"/>
          <w:spacing w:val="-3"/>
        </w:rPr>
        <w:t xml:space="preserve"> </w:t>
      </w:r>
      <w:r>
        <w:rPr>
          <w:color w:val="414042"/>
        </w:rPr>
        <w:t>years</w:t>
      </w:r>
      <w:r>
        <w:rPr>
          <w:color w:val="414042"/>
          <w:spacing w:val="-5"/>
        </w:rPr>
        <w:t xml:space="preserve"> </w:t>
      </w:r>
      <w:r>
        <w:rPr>
          <w:color w:val="414042"/>
        </w:rPr>
        <w:t>may</w:t>
      </w:r>
      <w:r>
        <w:rPr>
          <w:color w:val="414042"/>
          <w:spacing w:val="-3"/>
        </w:rPr>
        <w:t xml:space="preserve"> </w:t>
      </w:r>
      <w:r>
        <w:rPr>
          <w:color w:val="414042"/>
        </w:rPr>
        <w:t>not</w:t>
      </w:r>
      <w:r>
        <w:rPr>
          <w:color w:val="414042"/>
          <w:spacing w:val="-4"/>
        </w:rPr>
        <w:t xml:space="preserve"> </w:t>
      </w:r>
      <w:r>
        <w:rPr>
          <w:color w:val="414042"/>
        </w:rPr>
        <w:t>have</w:t>
      </w:r>
    </w:p>
    <w:p w:rsidR="00580ABF" w:rsidRDefault="00E352FF">
      <w:pPr>
        <w:pStyle w:val="BodyText"/>
        <w:spacing w:line="211" w:lineRule="auto"/>
        <w:ind w:left="269" w:right="1097"/>
      </w:pPr>
      <w:r>
        <w:rPr>
          <w:color w:val="414042"/>
        </w:rPr>
        <w:t>been trauma-informed for a range of reasons, including inconsistent political leadership, insufficient resources and mistrust of Indigenous communities towards service providers and governments. Embedding this insight into the approaches as part of Closing the Gap Refresh could lead to change that is sustainable, owned and driven by Indigenous Australians.</w:t>
      </w:r>
    </w:p>
    <w:p w:rsidR="00580ABF" w:rsidRDefault="00580ABF">
      <w:pPr>
        <w:spacing w:line="211" w:lineRule="auto"/>
      </w:pPr>
    </w:p>
    <w:p w:rsidR="002D1C12" w:rsidRPr="002D1C12" w:rsidRDefault="002D1C12" w:rsidP="002D1C12">
      <w:pPr>
        <w:pStyle w:val="BodyText"/>
        <w:spacing w:line="211" w:lineRule="auto"/>
        <w:ind w:left="997" w:right="364"/>
        <w:rPr>
          <w:b/>
        </w:rPr>
      </w:pPr>
    </w:p>
    <w:p w:rsidR="002D1C12" w:rsidRPr="002D1C12" w:rsidRDefault="002D1C12" w:rsidP="002D1C12">
      <w:pPr>
        <w:pStyle w:val="BodyText"/>
        <w:spacing w:line="211" w:lineRule="auto"/>
        <w:ind w:left="269" w:right="364"/>
        <w:rPr>
          <w:b/>
        </w:rPr>
        <w:sectPr w:rsidR="002D1C12" w:rsidRPr="002D1C12">
          <w:type w:val="continuous"/>
          <w:pgSz w:w="11910" w:h="16840"/>
          <w:pgMar w:top="1580" w:right="180" w:bottom="280" w:left="420" w:header="720" w:footer="720" w:gutter="0"/>
          <w:cols w:num="2" w:space="720" w:equalWidth="0">
            <w:col w:w="5450" w:space="40"/>
            <w:col w:w="5820"/>
          </w:cols>
        </w:sectPr>
      </w:pPr>
      <w:r w:rsidRPr="002D1C12">
        <w:rPr>
          <w:b/>
        </w:rPr>
        <w:t>A key message from the project is that in light of the complexities of the challenge to Close the Gap, adoption of systems thinking approaches (merged with cultural insights of Indigenous Australians as individuals, communities and as a population group) are required.</w:t>
      </w:r>
    </w:p>
    <w:p w:rsidR="00580ABF" w:rsidRPr="002D1C12" w:rsidRDefault="00580ABF" w:rsidP="002D1C12">
      <w:pPr>
        <w:pStyle w:val="BodyText"/>
        <w:spacing w:line="211" w:lineRule="auto"/>
        <w:ind w:left="997" w:right="364"/>
        <w:rPr>
          <w:b/>
        </w:rPr>
      </w:pPr>
    </w:p>
    <w:p w:rsidR="00580ABF" w:rsidRPr="002D1C12" w:rsidRDefault="00580ABF" w:rsidP="002D1C12">
      <w:pPr>
        <w:pStyle w:val="BodyText"/>
        <w:spacing w:line="211" w:lineRule="auto"/>
        <w:ind w:left="997" w:right="364"/>
        <w:rPr>
          <w:b/>
        </w:rPr>
      </w:pPr>
    </w:p>
    <w:p w:rsidR="00580ABF" w:rsidRDefault="00580ABF">
      <w:pPr>
        <w:rPr>
          <w:sz w:val="20"/>
        </w:rPr>
        <w:sectPr w:rsidR="00580ABF">
          <w:type w:val="continuous"/>
          <w:pgSz w:w="11910" w:h="16840"/>
          <w:pgMar w:top="1580" w:right="180" w:bottom="280" w:left="420" w:header="720" w:footer="720" w:gutter="0"/>
          <w:cols w:space="720"/>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rsidP="00B16E4A">
      <w:pPr>
        <w:pStyle w:val="Heading4"/>
      </w:pPr>
      <w:r>
        <w:t>REVIEW QUESTION:</w:t>
      </w:r>
    </w:p>
    <w:p w:rsidR="00580ABF" w:rsidRDefault="00E352FF" w:rsidP="00B16E4A">
      <w:pPr>
        <w:pStyle w:val="Heading4"/>
      </w:pPr>
      <w:r>
        <w:rPr>
          <w:color w:val="052B33"/>
        </w:rPr>
        <w:t>What were the initial expectations from Closing the Gap, including benchmarks for success?</w:t>
      </w:r>
    </w:p>
    <w:p w:rsidR="00580ABF" w:rsidRDefault="00E352FF">
      <w:pPr>
        <w:pStyle w:val="BodyText"/>
        <w:spacing w:before="55" w:line="211" w:lineRule="auto"/>
        <w:ind w:left="827" w:right="-11"/>
        <w:rPr>
          <w:color w:val="414042"/>
        </w:rPr>
      </w:pPr>
      <w:r>
        <w:rPr>
          <w:color w:val="414042"/>
        </w:rPr>
        <w:t>A clear theme from the consultations was that initial expectations for Closing the Gap were high, despite those difficulties raised in the literature above.</w:t>
      </w:r>
    </w:p>
    <w:p w:rsidR="00992371" w:rsidRDefault="00992371">
      <w:pPr>
        <w:pStyle w:val="BodyText"/>
        <w:spacing w:before="55" w:line="211" w:lineRule="auto"/>
        <w:ind w:left="827" w:right="-11"/>
        <w:rPr>
          <w:color w:val="414042"/>
        </w:rPr>
      </w:pPr>
    </w:p>
    <w:p w:rsidR="00992371" w:rsidRPr="005D3114" w:rsidRDefault="00992371" w:rsidP="005D3114">
      <w:pPr>
        <w:pStyle w:val="BodyText"/>
        <w:spacing w:before="55" w:line="211" w:lineRule="auto"/>
        <w:ind w:left="827" w:right="-11"/>
        <w:rPr>
          <w:i/>
          <w:color w:val="414042"/>
        </w:rPr>
      </w:pPr>
      <w:r w:rsidRPr="005D3114">
        <w:rPr>
          <w:i/>
          <w:color w:val="414042"/>
        </w:rPr>
        <w:t>The language seemed to be different, there seemed to be a sense of inclusion and consultation and I just remembered there being a lot of hope.</w:t>
      </w:r>
    </w:p>
    <w:p w:rsidR="00992371" w:rsidRPr="005D3114" w:rsidRDefault="00992371" w:rsidP="005D3114">
      <w:pPr>
        <w:pStyle w:val="BodyText"/>
        <w:spacing w:before="55" w:line="211" w:lineRule="auto"/>
        <w:ind w:left="827" w:right="-11"/>
        <w:rPr>
          <w:i/>
          <w:color w:val="414042"/>
        </w:rPr>
      </w:pPr>
    </w:p>
    <w:p w:rsidR="00992371" w:rsidRPr="005D3114" w:rsidRDefault="00992371" w:rsidP="00992371">
      <w:pPr>
        <w:pStyle w:val="BodyText"/>
        <w:spacing w:before="55" w:line="211" w:lineRule="auto"/>
        <w:ind w:left="827" w:right="-11"/>
        <w:rPr>
          <w:i/>
          <w:color w:val="414042"/>
        </w:rPr>
      </w:pPr>
      <w:r w:rsidRPr="005D3114">
        <w:rPr>
          <w:i/>
          <w:color w:val="414042"/>
        </w:rPr>
        <w:t>ACT Stakeholder</w:t>
      </w:r>
    </w:p>
    <w:p w:rsidR="00580ABF" w:rsidRDefault="00580ABF">
      <w:pPr>
        <w:pStyle w:val="BodyText"/>
        <w:spacing w:before="11" w:after="1"/>
        <w:rPr>
          <w:sz w:val="7"/>
        </w:rPr>
      </w:pPr>
    </w:p>
    <w:p w:rsidR="00580ABF" w:rsidRDefault="00E352FF">
      <w:pPr>
        <w:pStyle w:val="BodyText"/>
        <w:spacing w:before="104" w:line="211" w:lineRule="auto"/>
        <w:ind w:left="827"/>
      </w:pPr>
      <w:r>
        <w:rPr>
          <w:color w:val="414042"/>
        </w:rPr>
        <w:t>The Closing the Gap framework, coming out of COAG in 2007</w:t>
      </w:r>
      <w:r>
        <w:rPr>
          <w:color w:val="414042"/>
          <w:spacing w:val="-5"/>
        </w:rPr>
        <w:t xml:space="preserve"> </w:t>
      </w:r>
      <w:r>
        <w:rPr>
          <w:color w:val="414042"/>
        </w:rPr>
        <w:t>(formalised</w:t>
      </w:r>
      <w:r>
        <w:rPr>
          <w:color w:val="414042"/>
          <w:spacing w:val="-5"/>
        </w:rPr>
        <w:t xml:space="preserve"> </w:t>
      </w:r>
      <w:r>
        <w:rPr>
          <w:color w:val="414042"/>
        </w:rPr>
        <w:t>2008),</w:t>
      </w:r>
      <w:r>
        <w:rPr>
          <w:color w:val="414042"/>
          <w:spacing w:val="-4"/>
        </w:rPr>
        <w:t xml:space="preserve"> </w:t>
      </w:r>
      <w:r>
        <w:rPr>
          <w:color w:val="414042"/>
        </w:rPr>
        <w:t>was</w:t>
      </w:r>
      <w:r>
        <w:rPr>
          <w:color w:val="414042"/>
          <w:spacing w:val="-5"/>
        </w:rPr>
        <w:t xml:space="preserve"> </w:t>
      </w:r>
      <w:r>
        <w:rPr>
          <w:color w:val="414042"/>
        </w:rPr>
        <w:t>the</w:t>
      </w:r>
      <w:r>
        <w:rPr>
          <w:color w:val="414042"/>
          <w:spacing w:val="-4"/>
        </w:rPr>
        <w:t xml:space="preserve"> </w:t>
      </w:r>
      <w:r>
        <w:rPr>
          <w:color w:val="414042"/>
        </w:rPr>
        <w:t>first</w:t>
      </w:r>
      <w:r>
        <w:rPr>
          <w:color w:val="414042"/>
          <w:spacing w:val="-4"/>
        </w:rPr>
        <w:t xml:space="preserve"> </w:t>
      </w:r>
      <w:r>
        <w:rPr>
          <w:color w:val="414042"/>
        </w:rPr>
        <w:t>agreement</w:t>
      </w:r>
      <w:r>
        <w:rPr>
          <w:color w:val="414042"/>
          <w:spacing w:val="-5"/>
        </w:rPr>
        <w:t xml:space="preserve"> </w:t>
      </w:r>
      <w:r>
        <w:rPr>
          <w:color w:val="414042"/>
        </w:rPr>
        <w:t>where</w:t>
      </w:r>
      <w:r>
        <w:rPr>
          <w:color w:val="414042"/>
          <w:spacing w:val="-4"/>
        </w:rPr>
        <w:t xml:space="preserve"> </w:t>
      </w:r>
      <w:r>
        <w:rPr>
          <w:color w:val="414042"/>
        </w:rPr>
        <w:t xml:space="preserve">all governments would work with Indigenous communities toward specific goals to lessen Indigenous disadvantage. It followed the National Apology to Indigenous Australians and </w:t>
      </w:r>
      <w:r>
        <w:rPr>
          <w:color w:val="414042"/>
          <w:spacing w:val="-3"/>
        </w:rPr>
        <w:t xml:space="preserve">gave </w:t>
      </w:r>
      <w:r>
        <w:rPr>
          <w:color w:val="414042"/>
        </w:rPr>
        <w:t>hope to Indigenous communities, particularly because it seemed to move toward</w:t>
      </w:r>
      <w:r>
        <w:rPr>
          <w:color w:val="414042"/>
          <w:spacing w:val="-17"/>
        </w:rPr>
        <w:t xml:space="preserve"> </w:t>
      </w:r>
      <w:r>
        <w:rPr>
          <w:color w:val="414042"/>
        </w:rPr>
        <w:t>a</w:t>
      </w:r>
    </w:p>
    <w:p w:rsidR="00580ABF" w:rsidRDefault="00E352FF">
      <w:pPr>
        <w:pStyle w:val="BodyText"/>
        <w:spacing w:line="211" w:lineRule="auto"/>
        <w:ind w:left="827"/>
      </w:pPr>
      <w:r>
        <w:rPr>
          <w:color w:val="414042"/>
        </w:rPr>
        <w:t>new way of doing business with Indigenous people; acknowledging the centrality of culture and aiming to work in partnership.</w:t>
      </w:r>
    </w:p>
    <w:p w:rsidR="00580ABF" w:rsidRDefault="00E352FF">
      <w:pPr>
        <w:pStyle w:val="BodyText"/>
        <w:spacing w:before="104" w:line="211" w:lineRule="auto"/>
        <w:ind w:left="827" w:right="86"/>
      </w:pPr>
      <w:r>
        <w:rPr>
          <w:color w:val="414042"/>
        </w:rPr>
        <w:t>Those consulted as part of this project and working in the sector with Indigenous communities discussed the potential that the national Closing the Gap framework had to bring together people, community, government and services to work toward common goals, with a common language and understanding.</w:t>
      </w:r>
    </w:p>
    <w:p w:rsidR="00580ABF" w:rsidRDefault="00E352FF">
      <w:pPr>
        <w:pStyle w:val="BodyText"/>
        <w:spacing w:before="107" w:line="211" w:lineRule="auto"/>
        <w:ind w:left="827" w:right="371"/>
        <w:jc w:val="both"/>
        <w:rPr>
          <w:color w:val="414042"/>
        </w:rPr>
      </w:pPr>
      <w:r>
        <w:rPr>
          <w:color w:val="414042"/>
        </w:rPr>
        <w:t>They argued that the introduction of Closing the Gap enabled</w:t>
      </w:r>
      <w:r>
        <w:rPr>
          <w:color w:val="414042"/>
          <w:spacing w:val="-4"/>
        </w:rPr>
        <w:t xml:space="preserve"> </w:t>
      </w:r>
      <w:r>
        <w:rPr>
          <w:color w:val="414042"/>
        </w:rPr>
        <w:t>government</w:t>
      </w:r>
      <w:r>
        <w:rPr>
          <w:color w:val="414042"/>
          <w:spacing w:val="-4"/>
        </w:rPr>
        <w:t xml:space="preserve"> </w:t>
      </w:r>
      <w:r>
        <w:rPr>
          <w:color w:val="414042"/>
        </w:rPr>
        <w:t>to</w:t>
      </w:r>
      <w:r>
        <w:rPr>
          <w:color w:val="414042"/>
          <w:spacing w:val="-5"/>
        </w:rPr>
        <w:t xml:space="preserve"> </w:t>
      </w:r>
      <w:r>
        <w:rPr>
          <w:color w:val="414042"/>
        </w:rPr>
        <w:t>collapse</w:t>
      </w:r>
      <w:r>
        <w:rPr>
          <w:color w:val="414042"/>
          <w:spacing w:val="-5"/>
        </w:rPr>
        <w:t xml:space="preserve"> </w:t>
      </w:r>
      <w:r>
        <w:rPr>
          <w:color w:val="414042"/>
        </w:rPr>
        <w:t>a</w:t>
      </w:r>
      <w:r>
        <w:rPr>
          <w:color w:val="414042"/>
          <w:spacing w:val="-5"/>
        </w:rPr>
        <w:t xml:space="preserve"> </w:t>
      </w:r>
      <w:r>
        <w:rPr>
          <w:color w:val="414042"/>
        </w:rPr>
        <w:t>range</w:t>
      </w:r>
      <w:r>
        <w:rPr>
          <w:color w:val="414042"/>
          <w:spacing w:val="-4"/>
        </w:rPr>
        <w:t xml:space="preserve"> </w:t>
      </w:r>
      <w:r>
        <w:rPr>
          <w:color w:val="414042"/>
        </w:rPr>
        <w:t>of</w:t>
      </w:r>
      <w:r>
        <w:rPr>
          <w:color w:val="414042"/>
          <w:spacing w:val="-5"/>
        </w:rPr>
        <w:t xml:space="preserve"> </w:t>
      </w:r>
      <w:r>
        <w:rPr>
          <w:color w:val="414042"/>
        </w:rPr>
        <w:t>ideas</w:t>
      </w:r>
      <w:r>
        <w:rPr>
          <w:color w:val="414042"/>
          <w:spacing w:val="-4"/>
        </w:rPr>
        <w:t xml:space="preserve"> </w:t>
      </w:r>
      <w:r>
        <w:rPr>
          <w:color w:val="414042"/>
        </w:rPr>
        <w:t>into succinct targets to set goals,</w:t>
      </w:r>
      <w:r>
        <w:rPr>
          <w:color w:val="414042"/>
          <w:spacing w:val="-7"/>
        </w:rPr>
        <w:t xml:space="preserve"> </w:t>
      </w:r>
      <w:r>
        <w:rPr>
          <w:color w:val="414042"/>
        </w:rPr>
        <w:t>which:</w:t>
      </w:r>
    </w:p>
    <w:p w:rsidR="00992371" w:rsidRDefault="00992371">
      <w:pPr>
        <w:pStyle w:val="BodyText"/>
        <w:spacing w:before="107" w:line="211" w:lineRule="auto"/>
        <w:ind w:left="827" w:right="371"/>
        <w:jc w:val="both"/>
        <w:rPr>
          <w:color w:val="414042"/>
        </w:rPr>
      </w:pPr>
    </w:p>
    <w:p w:rsidR="00992371" w:rsidRPr="005D3114" w:rsidRDefault="00992371" w:rsidP="005D3114">
      <w:pPr>
        <w:pStyle w:val="BodyText"/>
        <w:spacing w:before="55" w:line="211" w:lineRule="auto"/>
        <w:ind w:left="827" w:right="-11"/>
        <w:rPr>
          <w:i/>
          <w:color w:val="414042"/>
        </w:rPr>
      </w:pPr>
      <w:r w:rsidRPr="005D3114">
        <w:rPr>
          <w:i/>
          <w:color w:val="414042"/>
        </w:rPr>
        <w:t>‘gave clear methodology and a way to frame conversations between community and government. The Closing the Gap targets gave parameters and boundaries and the opportunity to talk the same language’ .</w:t>
      </w:r>
    </w:p>
    <w:p w:rsidR="00992371" w:rsidRPr="005D3114" w:rsidRDefault="00992371" w:rsidP="005D3114">
      <w:pPr>
        <w:pStyle w:val="BodyText"/>
        <w:spacing w:before="55" w:line="211" w:lineRule="auto"/>
        <w:ind w:left="827" w:right="-11"/>
        <w:rPr>
          <w:i/>
          <w:color w:val="414042"/>
        </w:rPr>
      </w:pPr>
    </w:p>
    <w:p w:rsidR="00992371" w:rsidRPr="005D3114" w:rsidRDefault="00992371" w:rsidP="005D3114">
      <w:pPr>
        <w:pStyle w:val="BodyText"/>
        <w:spacing w:before="55" w:line="211" w:lineRule="auto"/>
        <w:ind w:left="827" w:right="-11"/>
        <w:rPr>
          <w:i/>
          <w:color w:val="414042"/>
        </w:rPr>
      </w:pPr>
      <w:r w:rsidRPr="005D3114">
        <w:rPr>
          <w:i/>
          <w:color w:val="414042"/>
        </w:rPr>
        <w:t>Tasmania Stakeholder</w:t>
      </w:r>
    </w:p>
    <w:p w:rsidR="00580ABF" w:rsidRDefault="00580ABF">
      <w:pPr>
        <w:pStyle w:val="BodyText"/>
        <w:spacing w:before="11" w:after="1"/>
        <w:rPr>
          <w:sz w:val="7"/>
        </w:rPr>
      </w:pPr>
    </w:p>
    <w:p w:rsidR="00580ABF" w:rsidRDefault="00E352FF">
      <w:pPr>
        <w:pStyle w:val="BodyText"/>
        <w:spacing w:before="104" w:line="211" w:lineRule="auto"/>
        <w:ind w:left="827" w:right="86"/>
      </w:pPr>
      <w:r>
        <w:rPr>
          <w:color w:val="414042"/>
        </w:rPr>
        <w:t>Analysis of comments from stakeholders clearly demonstrate that there was a cautious expectation that the objectives would be achieved in partnership with Indigenous communities. Benchmarks for success were ambitious, but there was hope that steady progress would be made.</w:t>
      </w:r>
    </w:p>
    <w:p w:rsidR="00580ABF" w:rsidRDefault="00E352FF" w:rsidP="009D21EF">
      <w:pPr>
        <w:pStyle w:val="Heading3"/>
        <w:ind w:left="432"/>
      </w:pPr>
      <w:r>
        <w:br w:type="column"/>
      </w:r>
      <w:r>
        <w:rPr>
          <w:spacing w:val="-4"/>
        </w:rPr>
        <w:t xml:space="preserve">Were </w:t>
      </w:r>
      <w:r>
        <w:t>the initial expectations</w:t>
      </w:r>
      <w:r>
        <w:rPr>
          <w:spacing w:val="-28"/>
        </w:rPr>
        <w:t xml:space="preserve"> </w:t>
      </w:r>
      <w:r>
        <w:t>of Closing the Gap</w:t>
      </w:r>
      <w:r>
        <w:rPr>
          <w:spacing w:val="-3"/>
        </w:rPr>
        <w:t xml:space="preserve"> </w:t>
      </w:r>
      <w:r>
        <w:t>met?</w:t>
      </w:r>
    </w:p>
    <w:p w:rsidR="00580ABF" w:rsidRPr="005D3114" w:rsidRDefault="00E352FF" w:rsidP="005D3114">
      <w:pPr>
        <w:pStyle w:val="BodyText"/>
        <w:spacing w:before="216" w:line="211" w:lineRule="auto"/>
        <w:ind w:left="432" w:right="1226"/>
        <w:rPr>
          <w:color w:val="414042"/>
        </w:rPr>
      </w:pPr>
      <w:r w:rsidRPr="005D3114">
        <w:rPr>
          <w:color w:val="414042"/>
        </w:rPr>
        <w:t>Key messages coming from consultations and emerging from the literature highlight that while expectations and hopes were high, they were not met.</w:t>
      </w:r>
    </w:p>
    <w:p w:rsidR="00580ABF" w:rsidRDefault="00E352FF">
      <w:pPr>
        <w:pStyle w:val="BodyText"/>
        <w:spacing w:before="216" w:line="211" w:lineRule="auto"/>
        <w:ind w:left="432" w:right="1226"/>
        <w:rPr>
          <w:color w:val="414042"/>
        </w:rPr>
      </w:pPr>
      <w:r>
        <w:rPr>
          <w:color w:val="414042"/>
        </w:rPr>
        <w:t>Analysis of the literature and consultations significantly note that central to the success of Closing the Gap is culture and partnerships with Indigenous people and communities. These principles formed part of the NIRA, and the literature supports them as being important to the success of initiatives. The new way of working with Indigenous communities didn’t, in the main, materialise (there were some exceptions, such as Empowered Communities, which are discussed below).</w:t>
      </w:r>
    </w:p>
    <w:p w:rsidR="00992371" w:rsidRPr="00992371" w:rsidRDefault="00992371" w:rsidP="00992371">
      <w:pPr>
        <w:pStyle w:val="TableParagraph"/>
        <w:spacing w:before="172" w:line="206" w:lineRule="auto"/>
        <w:ind w:left="827" w:right="361"/>
        <w:rPr>
          <w:i/>
          <w:color w:val="95473C"/>
          <w:sz w:val="21"/>
        </w:rPr>
      </w:pPr>
    </w:p>
    <w:p w:rsidR="00992371" w:rsidRPr="00992371" w:rsidRDefault="00992371" w:rsidP="00992371">
      <w:pPr>
        <w:pStyle w:val="BodyText"/>
        <w:spacing w:line="211" w:lineRule="auto"/>
        <w:ind w:left="432" w:right="364"/>
        <w:rPr>
          <w:b/>
        </w:rPr>
      </w:pPr>
      <w:r w:rsidRPr="00992371">
        <w:rPr>
          <w:b/>
        </w:rPr>
        <w:t>A key message from consultations is that to work in partnership under the Closing the Gap framework requires trust between government, service providers, communities and individuals, yet relationships have not improved.</w:t>
      </w:r>
    </w:p>
    <w:p w:rsidR="00580ABF" w:rsidRDefault="00580ABF">
      <w:pPr>
        <w:pStyle w:val="BodyText"/>
        <w:spacing w:before="3"/>
        <w:rPr>
          <w:sz w:val="8"/>
        </w:rPr>
      </w:pPr>
    </w:p>
    <w:p w:rsidR="00580ABF" w:rsidRDefault="00580ABF">
      <w:pPr>
        <w:pStyle w:val="BodyText"/>
        <w:spacing w:before="12"/>
        <w:rPr>
          <w:sz w:val="15"/>
        </w:rPr>
      </w:pPr>
    </w:p>
    <w:p w:rsidR="00580ABF" w:rsidRDefault="00E352FF">
      <w:pPr>
        <w:pStyle w:val="BodyText"/>
        <w:spacing w:line="211" w:lineRule="auto"/>
        <w:ind w:left="432" w:right="1079"/>
      </w:pPr>
      <w:r>
        <w:rPr>
          <w:color w:val="414042"/>
        </w:rPr>
        <w:t>In fact, the initial hope lessened significantly about three to four years from inception due to a number of actions taken by the Commonwealth government, including redirection of funding from the Aboriginal community- controlled sector and the introduction of the Indigenous Advancement Strategy. Most stakeholders consulted noted their concern that anecdotal evidence seemed</w:t>
      </w:r>
    </w:p>
    <w:p w:rsidR="00580ABF" w:rsidRDefault="00E352FF">
      <w:pPr>
        <w:pStyle w:val="BodyText"/>
        <w:spacing w:line="211" w:lineRule="auto"/>
        <w:ind w:left="432" w:right="1079"/>
      </w:pPr>
      <w:r>
        <w:rPr>
          <w:color w:val="414042"/>
        </w:rPr>
        <w:t>to suggest that a significant amount of the IAS funding was allocated to non-Indigenous organisations to deliver services to Indigenous people.</w:t>
      </w:r>
    </w:p>
    <w:p w:rsidR="00580ABF" w:rsidRDefault="00E352FF">
      <w:pPr>
        <w:pStyle w:val="BodyText"/>
        <w:spacing w:before="104" w:line="211" w:lineRule="auto"/>
        <w:ind w:left="432" w:right="1293"/>
      </w:pPr>
      <w:r>
        <w:rPr>
          <w:color w:val="414042"/>
        </w:rPr>
        <w:t>The relationships between government and</w:t>
      </w:r>
      <w:r>
        <w:rPr>
          <w:color w:val="414042"/>
          <w:spacing w:val="-30"/>
        </w:rPr>
        <w:t xml:space="preserve"> </w:t>
      </w:r>
      <w:r>
        <w:rPr>
          <w:color w:val="414042"/>
        </w:rPr>
        <w:t>Indigenous Australia is affected by many influences, and some of them are arguably beyond the scope of this project because they are not directly about the Closing the Gap framework. Nonetheless due to our analysis of</w:t>
      </w:r>
      <w:r>
        <w:rPr>
          <w:color w:val="414042"/>
          <w:spacing w:val="-29"/>
        </w:rPr>
        <w:t xml:space="preserve"> </w:t>
      </w:r>
      <w:r>
        <w:rPr>
          <w:color w:val="414042"/>
        </w:rPr>
        <w:t>the</w:t>
      </w:r>
    </w:p>
    <w:p w:rsidR="00580ABF" w:rsidRDefault="00E352FF">
      <w:pPr>
        <w:pStyle w:val="BodyText"/>
        <w:spacing w:line="211" w:lineRule="auto"/>
        <w:ind w:left="432" w:right="1079"/>
      </w:pPr>
      <w:r>
        <w:rPr>
          <w:color w:val="414042"/>
        </w:rPr>
        <w:t>literature and comments coming from the consultations, we conclude that they have a profound impact on the ability of government to achieve the objectives and ignoring them would be to do a disservice to efforts to Close the Gap.</w:t>
      </w:r>
    </w:p>
    <w:p w:rsidR="00580ABF" w:rsidRDefault="00E352FF">
      <w:pPr>
        <w:pStyle w:val="BodyText"/>
        <w:spacing w:before="103" w:line="211" w:lineRule="auto"/>
        <w:ind w:left="432" w:right="1013"/>
      </w:pPr>
      <w:r>
        <w:rPr>
          <w:color w:val="414042"/>
        </w:rPr>
        <w:t>A current prominent example is the current political debate about the Uluru Statement from the Heart, which was mentioned by approximately 95% of stakeholders consulted as being significant in contributing to improving outcomes for Indigenous Australians, and as being</w:t>
      </w:r>
    </w:p>
    <w:p w:rsidR="00580ABF" w:rsidRDefault="00E352FF">
      <w:pPr>
        <w:pStyle w:val="BodyText"/>
        <w:spacing w:line="211" w:lineRule="auto"/>
        <w:ind w:left="432" w:right="1079"/>
      </w:pPr>
      <w:r>
        <w:rPr>
          <w:color w:val="414042"/>
        </w:rPr>
        <w:t>an opportunity to embed cultural respect into the machinations of the Closing the Gap framework and Refresh.</w:t>
      </w:r>
    </w:p>
    <w:p w:rsidR="00580ABF" w:rsidRDefault="00580ABF">
      <w:pPr>
        <w:spacing w:line="211" w:lineRule="auto"/>
        <w:sectPr w:rsidR="00580ABF">
          <w:type w:val="continuous"/>
          <w:pgSz w:w="11910" w:h="16840"/>
          <w:pgMar w:top="1580" w:right="180" w:bottom="280" w:left="420" w:header="720" w:footer="720" w:gutter="0"/>
          <w:cols w:num="2" w:space="720" w:equalWidth="0">
            <w:col w:w="5287" w:space="40"/>
            <w:col w:w="5983"/>
          </w:cols>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rsidP="00B16E4A">
      <w:pPr>
        <w:pStyle w:val="Heading4"/>
      </w:pPr>
      <w:bookmarkStart w:id="9" w:name="_Hlk505636825"/>
      <w:bookmarkEnd w:id="9"/>
      <w:r>
        <w:t>REVIEW QUESTION:</w:t>
      </w:r>
    </w:p>
    <w:p w:rsidR="00580ABF" w:rsidRDefault="00E352FF" w:rsidP="00B16E4A">
      <w:pPr>
        <w:pStyle w:val="Heading4"/>
      </w:pPr>
      <w:r>
        <w:rPr>
          <w:color w:val="052B33"/>
        </w:rPr>
        <w:t>How appropriate was the design of the policy framework to achieve the objective of</w:t>
      </w:r>
      <w:r>
        <w:rPr>
          <w:color w:val="052B33"/>
          <w:spacing w:val="-28"/>
        </w:rPr>
        <w:t xml:space="preserve"> </w:t>
      </w:r>
      <w:r>
        <w:rPr>
          <w:color w:val="052B33"/>
        </w:rPr>
        <w:t>Closing the</w:t>
      </w:r>
      <w:r>
        <w:rPr>
          <w:color w:val="052B33"/>
          <w:spacing w:val="-1"/>
        </w:rPr>
        <w:t xml:space="preserve"> </w:t>
      </w:r>
      <w:r>
        <w:rPr>
          <w:color w:val="052B33"/>
        </w:rPr>
        <w:t>Gap?</w:t>
      </w:r>
    </w:p>
    <w:p w:rsidR="00580ABF" w:rsidRDefault="00E352FF" w:rsidP="00B16E4A">
      <w:pPr>
        <w:pStyle w:val="Heading4"/>
      </w:pPr>
      <w:bookmarkStart w:id="10" w:name="_Hlk505636836"/>
      <w:bookmarkEnd w:id="10"/>
      <w:r>
        <w:t>REVIEW QUESTION:</w:t>
      </w:r>
    </w:p>
    <w:p w:rsidR="00580ABF" w:rsidRDefault="00E352FF" w:rsidP="00B16E4A">
      <w:pPr>
        <w:pStyle w:val="Heading4"/>
      </w:pPr>
      <w:r>
        <w:rPr>
          <w:color w:val="052B33"/>
        </w:rPr>
        <w:t>To what extent did the policy framework and components of the NIRA assist in meeting objectives?</w:t>
      </w:r>
    </w:p>
    <w:p w:rsidR="00580ABF" w:rsidRDefault="00E352FF">
      <w:pPr>
        <w:pStyle w:val="BodyText"/>
        <w:spacing w:before="54" w:line="211" w:lineRule="auto"/>
        <w:ind w:left="827"/>
      </w:pPr>
      <w:r>
        <w:rPr>
          <w:color w:val="414042"/>
        </w:rPr>
        <w:t>These two questions considerably overlap, and they are answered together.</w:t>
      </w:r>
    </w:p>
    <w:p w:rsidR="00580ABF" w:rsidRDefault="00E352FF">
      <w:pPr>
        <w:pStyle w:val="BodyText"/>
        <w:spacing w:before="111" w:line="211" w:lineRule="auto"/>
        <w:ind w:left="827" w:right="158"/>
      </w:pPr>
      <w:r>
        <w:rPr>
          <w:color w:val="414042"/>
        </w:rPr>
        <w:t>Among other provisions the NIRA contains objectives, targets, and building blocks for Closing the Gap and the National Integrated Strategy for Closing the Gap in Indigenous Disadvantage. It has a strategic component</w:t>
      </w:r>
    </w:p>
    <w:p w:rsidR="00580ABF" w:rsidRDefault="00E352FF">
      <w:pPr>
        <w:pStyle w:val="BodyText"/>
        <w:spacing w:line="211" w:lineRule="auto"/>
        <w:ind w:left="827"/>
      </w:pPr>
      <w:r>
        <w:rPr>
          <w:color w:val="414042"/>
        </w:rPr>
        <w:t>setting</w:t>
      </w:r>
      <w:r>
        <w:rPr>
          <w:color w:val="414042"/>
          <w:spacing w:val="-5"/>
        </w:rPr>
        <w:t xml:space="preserve"> </w:t>
      </w:r>
      <w:r>
        <w:rPr>
          <w:color w:val="414042"/>
        </w:rPr>
        <w:t>out</w:t>
      </w:r>
      <w:r>
        <w:rPr>
          <w:color w:val="414042"/>
          <w:spacing w:val="-6"/>
        </w:rPr>
        <w:t xml:space="preserve"> </w:t>
      </w:r>
      <w:r>
        <w:rPr>
          <w:color w:val="414042"/>
        </w:rPr>
        <w:t>the</w:t>
      </w:r>
      <w:r>
        <w:rPr>
          <w:color w:val="414042"/>
          <w:spacing w:val="-5"/>
        </w:rPr>
        <w:t xml:space="preserve"> </w:t>
      </w:r>
      <w:r>
        <w:rPr>
          <w:color w:val="414042"/>
        </w:rPr>
        <w:t>principles</w:t>
      </w:r>
      <w:r>
        <w:rPr>
          <w:color w:val="414042"/>
          <w:spacing w:val="-5"/>
        </w:rPr>
        <w:t xml:space="preserve"> </w:t>
      </w:r>
      <w:r>
        <w:rPr>
          <w:color w:val="414042"/>
        </w:rPr>
        <w:t>to</w:t>
      </w:r>
      <w:r>
        <w:rPr>
          <w:color w:val="414042"/>
          <w:spacing w:val="-6"/>
        </w:rPr>
        <w:t xml:space="preserve"> </w:t>
      </w:r>
      <w:r>
        <w:rPr>
          <w:color w:val="414042"/>
        </w:rPr>
        <w:t>enable</w:t>
      </w:r>
      <w:r>
        <w:rPr>
          <w:color w:val="414042"/>
          <w:spacing w:val="-5"/>
        </w:rPr>
        <w:t xml:space="preserve"> </w:t>
      </w:r>
      <w:r>
        <w:rPr>
          <w:color w:val="414042"/>
        </w:rPr>
        <w:t>the</w:t>
      </w:r>
      <w:r>
        <w:rPr>
          <w:color w:val="414042"/>
          <w:spacing w:val="-5"/>
        </w:rPr>
        <w:t xml:space="preserve"> </w:t>
      </w:r>
      <w:r>
        <w:rPr>
          <w:color w:val="414042"/>
        </w:rPr>
        <w:t>policy</w:t>
      </w:r>
      <w:r>
        <w:rPr>
          <w:color w:val="414042"/>
          <w:spacing w:val="-5"/>
        </w:rPr>
        <w:t xml:space="preserve"> </w:t>
      </w:r>
      <w:r>
        <w:rPr>
          <w:color w:val="414042"/>
        </w:rPr>
        <w:t>framework to work, including creating partnerships, and placing culture at the centre of initiatives. Inclusion of these principles was seen as highly appropriate if Closing the Gap was to be</w:t>
      </w:r>
      <w:r>
        <w:rPr>
          <w:color w:val="414042"/>
          <w:spacing w:val="-5"/>
        </w:rPr>
        <w:t xml:space="preserve"> </w:t>
      </w:r>
      <w:r>
        <w:rPr>
          <w:color w:val="414042"/>
        </w:rPr>
        <w:t>successful.</w:t>
      </w:r>
    </w:p>
    <w:p w:rsidR="00580ABF" w:rsidRDefault="00E352FF">
      <w:pPr>
        <w:pStyle w:val="BodyText"/>
        <w:spacing w:before="105" w:line="211" w:lineRule="auto"/>
        <w:ind w:left="827" w:right="203"/>
      </w:pPr>
      <w:r>
        <w:rPr>
          <w:color w:val="414042"/>
        </w:rPr>
        <w:t>Overall the literature review for this project found that</w:t>
      </w:r>
      <w:r>
        <w:rPr>
          <w:color w:val="414042"/>
          <w:spacing w:val="-5"/>
        </w:rPr>
        <w:t xml:space="preserve"> </w:t>
      </w:r>
      <w:r>
        <w:rPr>
          <w:color w:val="414042"/>
        </w:rPr>
        <w:t>there</w:t>
      </w:r>
      <w:r>
        <w:rPr>
          <w:color w:val="414042"/>
          <w:spacing w:val="-4"/>
        </w:rPr>
        <w:t xml:space="preserve"> </w:t>
      </w:r>
      <w:r>
        <w:rPr>
          <w:color w:val="414042"/>
        </w:rPr>
        <w:t>was</w:t>
      </w:r>
      <w:r>
        <w:rPr>
          <w:color w:val="414042"/>
          <w:spacing w:val="-6"/>
        </w:rPr>
        <w:t xml:space="preserve"> </w:t>
      </w:r>
      <w:r>
        <w:rPr>
          <w:color w:val="414042"/>
        </w:rPr>
        <w:t>very</w:t>
      </w:r>
      <w:r>
        <w:rPr>
          <w:color w:val="414042"/>
          <w:spacing w:val="-4"/>
        </w:rPr>
        <w:t xml:space="preserve"> </w:t>
      </w:r>
      <w:r>
        <w:rPr>
          <w:color w:val="414042"/>
        </w:rPr>
        <w:t>limited</w:t>
      </w:r>
      <w:r>
        <w:rPr>
          <w:color w:val="414042"/>
          <w:spacing w:val="-5"/>
        </w:rPr>
        <w:t xml:space="preserve"> </w:t>
      </w:r>
      <w:r>
        <w:rPr>
          <w:color w:val="414042"/>
        </w:rPr>
        <w:t>published</w:t>
      </w:r>
      <w:r>
        <w:rPr>
          <w:color w:val="414042"/>
          <w:spacing w:val="-5"/>
        </w:rPr>
        <w:t xml:space="preserve"> </w:t>
      </w:r>
      <w:r>
        <w:rPr>
          <w:color w:val="414042"/>
        </w:rPr>
        <w:t>literature</w:t>
      </w:r>
      <w:r>
        <w:rPr>
          <w:color w:val="414042"/>
          <w:spacing w:val="-5"/>
        </w:rPr>
        <w:t xml:space="preserve"> </w:t>
      </w:r>
      <w:r>
        <w:rPr>
          <w:color w:val="414042"/>
        </w:rPr>
        <w:t>on</w:t>
      </w:r>
      <w:r>
        <w:rPr>
          <w:color w:val="414042"/>
          <w:spacing w:val="-5"/>
        </w:rPr>
        <w:t xml:space="preserve"> </w:t>
      </w:r>
      <w:r>
        <w:rPr>
          <w:color w:val="414042"/>
        </w:rPr>
        <w:t>the effectiveness of the overarching policy framework, including acknowledging and reporting on lessons learned. There has been limited progress against</w:t>
      </w:r>
      <w:r>
        <w:rPr>
          <w:color w:val="414042"/>
          <w:spacing w:val="-29"/>
        </w:rPr>
        <w:t xml:space="preserve"> </w:t>
      </w:r>
      <w:r>
        <w:rPr>
          <w:color w:val="414042"/>
        </w:rPr>
        <w:t>the</w:t>
      </w:r>
    </w:p>
    <w:p w:rsidR="00580ABF" w:rsidRDefault="00E352FF">
      <w:pPr>
        <w:pStyle w:val="BodyText"/>
        <w:spacing w:line="211" w:lineRule="auto"/>
        <w:ind w:left="827" w:right="-5"/>
      </w:pPr>
      <w:r>
        <w:rPr>
          <w:color w:val="414042"/>
        </w:rPr>
        <w:t>Closing</w:t>
      </w:r>
      <w:r>
        <w:rPr>
          <w:color w:val="414042"/>
          <w:spacing w:val="-5"/>
        </w:rPr>
        <w:t xml:space="preserve"> </w:t>
      </w:r>
      <w:r>
        <w:rPr>
          <w:color w:val="414042"/>
        </w:rPr>
        <w:t>the</w:t>
      </w:r>
      <w:r>
        <w:rPr>
          <w:color w:val="414042"/>
          <w:spacing w:val="-3"/>
        </w:rPr>
        <w:t xml:space="preserve"> </w:t>
      </w:r>
      <w:r>
        <w:rPr>
          <w:color w:val="414042"/>
        </w:rPr>
        <w:t>Gap</w:t>
      </w:r>
      <w:r>
        <w:rPr>
          <w:color w:val="414042"/>
          <w:spacing w:val="-3"/>
        </w:rPr>
        <w:t xml:space="preserve"> </w:t>
      </w:r>
      <w:r>
        <w:rPr>
          <w:color w:val="414042"/>
        </w:rPr>
        <w:t>targets</w:t>
      </w:r>
      <w:r>
        <w:rPr>
          <w:color w:val="414042"/>
          <w:spacing w:val="-4"/>
        </w:rPr>
        <w:t xml:space="preserve"> </w:t>
      </w:r>
      <w:r>
        <w:rPr>
          <w:color w:val="414042"/>
        </w:rPr>
        <w:t>with</w:t>
      </w:r>
      <w:r>
        <w:rPr>
          <w:color w:val="414042"/>
          <w:spacing w:val="-3"/>
        </w:rPr>
        <w:t xml:space="preserve"> </w:t>
      </w:r>
      <w:r>
        <w:rPr>
          <w:color w:val="414042"/>
        </w:rPr>
        <w:t>three</w:t>
      </w:r>
      <w:r>
        <w:rPr>
          <w:color w:val="414042"/>
          <w:spacing w:val="-3"/>
        </w:rPr>
        <w:t xml:space="preserve"> </w:t>
      </w:r>
      <w:r>
        <w:rPr>
          <w:color w:val="414042"/>
        </w:rPr>
        <w:t>of</w:t>
      </w:r>
      <w:r>
        <w:rPr>
          <w:color w:val="414042"/>
          <w:spacing w:val="-4"/>
        </w:rPr>
        <w:t xml:space="preserve"> </w:t>
      </w:r>
      <w:r>
        <w:rPr>
          <w:color w:val="414042"/>
        </w:rPr>
        <w:t>the</w:t>
      </w:r>
      <w:r>
        <w:rPr>
          <w:color w:val="414042"/>
          <w:spacing w:val="-4"/>
        </w:rPr>
        <w:t xml:space="preserve"> </w:t>
      </w:r>
      <w:r>
        <w:rPr>
          <w:color w:val="414042"/>
        </w:rPr>
        <w:t>targets</w:t>
      </w:r>
      <w:r>
        <w:rPr>
          <w:color w:val="414042"/>
          <w:spacing w:val="-3"/>
        </w:rPr>
        <w:t xml:space="preserve"> </w:t>
      </w:r>
      <w:r>
        <w:rPr>
          <w:color w:val="414042"/>
        </w:rPr>
        <w:t>on</w:t>
      </w:r>
      <w:r>
        <w:rPr>
          <w:color w:val="414042"/>
          <w:spacing w:val="-4"/>
        </w:rPr>
        <w:t xml:space="preserve"> </w:t>
      </w:r>
      <w:r>
        <w:rPr>
          <w:color w:val="414042"/>
        </w:rPr>
        <w:t>track to be met. Progress varied significantly by jurisdiction and by remoteness, with progress being made in some locations against some of the targets. The literature also identifies some specific programs and initiatives that positively contributed towards</w:t>
      </w:r>
      <w:r>
        <w:rPr>
          <w:color w:val="414042"/>
          <w:spacing w:val="-5"/>
        </w:rPr>
        <w:t xml:space="preserve"> </w:t>
      </w:r>
      <w:r>
        <w:rPr>
          <w:color w:val="414042"/>
        </w:rPr>
        <w:t>progress.</w:t>
      </w:r>
    </w:p>
    <w:p w:rsidR="00580ABF" w:rsidRDefault="00E352FF">
      <w:pPr>
        <w:pStyle w:val="BodyText"/>
        <w:spacing w:before="102" w:line="211" w:lineRule="auto"/>
        <w:ind w:left="827"/>
      </w:pPr>
      <w:r>
        <w:rPr>
          <w:color w:val="414042"/>
        </w:rPr>
        <w:t>In the policy framework, COAG recognises that overcoming Indigenous disadvantage requires long- term, generational commitment across a range of strategic platforms. In the context of the Building Blocks framework, COAG commenced the task of addressing Indigenous disadvantage across each of the strategic platforms through National Partnership Agreements.</w:t>
      </w:r>
    </w:p>
    <w:p w:rsidR="00580ABF" w:rsidRDefault="00E352FF">
      <w:pPr>
        <w:pStyle w:val="BodyText"/>
        <w:spacing w:before="46" w:line="211" w:lineRule="auto"/>
        <w:ind w:left="511" w:right="1275"/>
      </w:pPr>
      <w:r>
        <w:br w:type="column"/>
      </w:r>
      <w:r>
        <w:rPr>
          <w:color w:val="414042"/>
        </w:rPr>
        <w:t>While engagement and collaboration is happening in some settings, it is made clear by many commentators that Closing the Gap requires sustained effort and time to make those collaborations work (Altman, et al., 2008; Calma, 2007; Collins, 2016). This view is further corroborated by the consultations.</w:t>
      </w:r>
    </w:p>
    <w:p w:rsidR="00580ABF" w:rsidRDefault="00E352FF">
      <w:pPr>
        <w:pStyle w:val="BodyText"/>
        <w:spacing w:before="108" w:line="211" w:lineRule="auto"/>
        <w:ind w:left="511" w:right="943"/>
      </w:pPr>
      <w:r>
        <w:rPr>
          <w:color w:val="414042"/>
        </w:rPr>
        <w:t>In relation to partnerships, it was raised during the consultations that some National Partnership Agreements did have an Indigenous-specific focus, addressing one</w:t>
      </w:r>
    </w:p>
    <w:p w:rsidR="00580ABF" w:rsidRDefault="00E352FF">
      <w:pPr>
        <w:pStyle w:val="BodyText"/>
        <w:spacing w:line="211" w:lineRule="auto"/>
        <w:ind w:left="511" w:right="1242"/>
      </w:pPr>
      <w:r>
        <w:rPr>
          <w:color w:val="414042"/>
        </w:rPr>
        <w:t xml:space="preserve">or more of the building blocks. It was also highlighted by stakeholders that the inclusion of the National Partnership Agreements and various State and </w:t>
      </w:r>
      <w:r>
        <w:rPr>
          <w:color w:val="414042"/>
          <w:spacing w:val="-3"/>
        </w:rPr>
        <w:t xml:space="preserve">Territory </w:t>
      </w:r>
      <w:r>
        <w:rPr>
          <w:color w:val="414042"/>
        </w:rPr>
        <w:t>Bilateral Agreements were to be used to provide guide posts for how governments would work collaboratively across portfolios and with Indigenous Australians in Closing the Gap.</w:t>
      </w:r>
    </w:p>
    <w:p w:rsidR="00580ABF" w:rsidRDefault="00E352FF">
      <w:pPr>
        <w:pStyle w:val="BodyText"/>
        <w:spacing w:before="103" w:line="211" w:lineRule="auto"/>
        <w:ind w:left="511" w:right="943"/>
      </w:pPr>
      <w:r>
        <w:rPr>
          <w:color w:val="414042"/>
        </w:rPr>
        <w:t>These components of the framework for Closing the Gap are predominantly seen as appropriate.</w:t>
      </w:r>
    </w:p>
    <w:p w:rsidR="00580ABF" w:rsidRDefault="00580ABF">
      <w:pPr>
        <w:pStyle w:val="BodyText"/>
        <w:spacing w:before="10"/>
        <w:rPr>
          <w:sz w:val="12"/>
        </w:rPr>
      </w:pPr>
    </w:p>
    <w:p w:rsidR="00580ABF" w:rsidRDefault="00E352FF" w:rsidP="009D21EF">
      <w:pPr>
        <w:pStyle w:val="Heading3"/>
        <w:ind w:left="0" w:firstLine="511"/>
      </w:pPr>
      <w:r>
        <w:t>THE NATIONAL PARTNERSHIP AGREEMENTS</w:t>
      </w:r>
    </w:p>
    <w:p w:rsidR="00992371" w:rsidRPr="005D3114" w:rsidRDefault="00992371" w:rsidP="009D21EF">
      <w:pPr>
        <w:pStyle w:val="BodyText"/>
        <w:spacing w:before="55" w:line="211" w:lineRule="auto"/>
        <w:ind w:left="511" w:right="-11"/>
        <w:rPr>
          <w:i/>
          <w:color w:val="414042"/>
        </w:rPr>
      </w:pPr>
      <w:r w:rsidRPr="005D3114">
        <w:rPr>
          <w:i/>
          <w:color w:val="414042"/>
        </w:rPr>
        <w:t>National Partnership Agreements were a good mechanism for securing equality and commitment but what we don’t see is the will to invest. Hardly any new resources flowing in here, particularly into the Aboriginal controlled sector. Need level of investment commensurate with need.”</w:t>
      </w:r>
    </w:p>
    <w:p w:rsidR="00992371" w:rsidRPr="005D3114" w:rsidRDefault="00992371" w:rsidP="009D21EF">
      <w:pPr>
        <w:pStyle w:val="BodyText"/>
        <w:spacing w:before="55" w:line="211" w:lineRule="auto"/>
        <w:ind w:right="-11" w:firstLine="511"/>
        <w:rPr>
          <w:i/>
          <w:color w:val="414042"/>
        </w:rPr>
      </w:pPr>
      <w:r w:rsidRPr="005D3114">
        <w:rPr>
          <w:i/>
          <w:color w:val="414042"/>
        </w:rPr>
        <w:t>Consultation Stakeholder</w:t>
      </w:r>
    </w:p>
    <w:p w:rsidR="00992371" w:rsidRDefault="00992371" w:rsidP="00992371">
      <w:pPr>
        <w:pStyle w:val="TableParagraph"/>
        <w:spacing w:before="159" w:line="206" w:lineRule="auto"/>
        <w:ind w:right="224"/>
        <w:rPr>
          <w:b/>
          <w:color w:val="95473C"/>
          <w:sz w:val="21"/>
        </w:rPr>
      </w:pPr>
    </w:p>
    <w:p w:rsidR="00992371" w:rsidRPr="00992371" w:rsidRDefault="00992371" w:rsidP="004171C6">
      <w:pPr>
        <w:pStyle w:val="BodyText"/>
        <w:spacing w:line="211" w:lineRule="auto"/>
        <w:ind w:left="516" w:right="364"/>
        <w:rPr>
          <w:b/>
        </w:rPr>
      </w:pPr>
      <w:r w:rsidRPr="00992371">
        <w:rPr>
          <w:b/>
        </w:rPr>
        <w:t>A key message in our analysis of the literature and views coming from the consultations is that the National</w:t>
      </w:r>
      <w:r w:rsidR="004171C6">
        <w:rPr>
          <w:b/>
        </w:rPr>
        <w:t xml:space="preserve"> </w:t>
      </w:r>
      <w:r w:rsidRPr="00992371">
        <w:rPr>
          <w:b/>
        </w:rPr>
        <w:t>Partnership Agreements and the National Urban and Regional Service Delivery Strategy were key to the Closing the Gap initiative.</w:t>
      </w:r>
    </w:p>
    <w:p w:rsidR="00992371" w:rsidRPr="00992371" w:rsidRDefault="00992371" w:rsidP="004171C6">
      <w:pPr>
        <w:pStyle w:val="BodyText"/>
        <w:spacing w:line="211" w:lineRule="auto"/>
        <w:ind w:left="516" w:right="364"/>
        <w:rPr>
          <w:b/>
        </w:rPr>
      </w:pPr>
      <w:r w:rsidRPr="00992371">
        <w:rPr>
          <w:b/>
        </w:rPr>
        <w:t>They provided visible lines of sight for policy development and service delivery.</w:t>
      </w:r>
    </w:p>
    <w:p w:rsidR="00580ABF" w:rsidRDefault="00580ABF">
      <w:pPr>
        <w:rPr>
          <w:sz w:val="21"/>
        </w:rPr>
        <w:sectPr w:rsidR="00580ABF">
          <w:type w:val="continuous"/>
          <w:pgSz w:w="11910" w:h="16840"/>
          <w:pgMar w:top="1580" w:right="180" w:bottom="280" w:left="420" w:header="720" w:footer="720" w:gutter="0"/>
          <w:cols w:num="2" w:space="720" w:equalWidth="0">
            <w:col w:w="5208" w:space="40"/>
            <w:col w:w="6062"/>
          </w:cols>
        </w:sectPr>
      </w:pPr>
    </w:p>
    <w:p w:rsidR="00580ABF" w:rsidRDefault="00580ABF">
      <w:pPr>
        <w:pStyle w:val="BodyText"/>
        <w:rPr>
          <w:b/>
          <w:sz w:val="20"/>
        </w:rPr>
      </w:pPr>
    </w:p>
    <w:p w:rsidR="00580ABF" w:rsidRDefault="00580ABF">
      <w:pPr>
        <w:pStyle w:val="BodyText"/>
        <w:spacing w:before="13"/>
        <w:rPr>
          <w:b/>
          <w:sz w:val="24"/>
        </w:rPr>
      </w:pPr>
    </w:p>
    <w:p w:rsidR="00580ABF" w:rsidRDefault="00580ABF">
      <w:pPr>
        <w:pStyle w:val="BodyText"/>
        <w:ind w:left="762"/>
        <w:rPr>
          <w:sz w:val="20"/>
        </w:rPr>
      </w:pPr>
    </w:p>
    <w:p w:rsidR="00580ABF" w:rsidRDefault="00580ABF">
      <w:pPr>
        <w:rPr>
          <w:sz w:val="20"/>
        </w:rPr>
        <w:sectPr w:rsidR="00580ABF">
          <w:type w:val="continuous"/>
          <w:pgSz w:w="11910" w:h="16840"/>
          <w:pgMar w:top="1580" w:right="180" w:bottom="280" w:left="420" w:header="720" w:footer="720" w:gutter="0"/>
          <w:cols w:space="720"/>
        </w:sectPr>
      </w:pPr>
    </w:p>
    <w:p w:rsidR="00580ABF" w:rsidRDefault="00580ABF">
      <w:pPr>
        <w:pStyle w:val="BodyText"/>
        <w:spacing w:before="1"/>
        <w:rPr>
          <w:b/>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pPr>
        <w:pStyle w:val="BodyText"/>
        <w:spacing w:before="46" w:line="211" w:lineRule="auto"/>
        <w:ind w:left="827" w:right="166"/>
      </w:pPr>
      <w:r>
        <w:rPr>
          <w:color w:val="414042"/>
        </w:rPr>
        <w:t>During the consultations stakeholders from both government and non-government agencies spoke of the potential that the National Partnership Agreements had in bringing people together and providing a focus for service delivery, funding allocation and effort.</w:t>
      </w:r>
    </w:p>
    <w:p w:rsidR="00580ABF" w:rsidRDefault="00E352FF">
      <w:pPr>
        <w:pStyle w:val="BodyText"/>
        <w:spacing w:line="211" w:lineRule="auto"/>
        <w:ind w:left="827" w:right="114"/>
      </w:pPr>
      <w:r>
        <w:rPr>
          <w:color w:val="414042"/>
        </w:rPr>
        <w:t>Stakeholders</w:t>
      </w:r>
      <w:r>
        <w:rPr>
          <w:color w:val="414042"/>
          <w:spacing w:val="-9"/>
        </w:rPr>
        <w:t xml:space="preserve"> </w:t>
      </w:r>
      <w:r>
        <w:rPr>
          <w:color w:val="414042"/>
        </w:rPr>
        <w:t>noted</w:t>
      </w:r>
      <w:r>
        <w:rPr>
          <w:color w:val="414042"/>
          <w:spacing w:val="-8"/>
        </w:rPr>
        <w:t xml:space="preserve"> </w:t>
      </w:r>
      <w:r>
        <w:rPr>
          <w:color w:val="414042"/>
        </w:rPr>
        <w:t>that</w:t>
      </w:r>
      <w:r>
        <w:rPr>
          <w:color w:val="414042"/>
          <w:spacing w:val="-9"/>
        </w:rPr>
        <w:t xml:space="preserve"> </w:t>
      </w:r>
      <w:r>
        <w:rPr>
          <w:color w:val="414042"/>
        </w:rPr>
        <w:t>having</w:t>
      </w:r>
      <w:r>
        <w:rPr>
          <w:color w:val="414042"/>
          <w:spacing w:val="-8"/>
        </w:rPr>
        <w:t xml:space="preserve"> </w:t>
      </w:r>
      <w:r>
        <w:rPr>
          <w:color w:val="414042"/>
        </w:rPr>
        <w:t>a</w:t>
      </w:r>
      <w:r>
        <w:rPr>
          <w:color w:val="414042"/>
          <w:spacing w:val="-9"/>
        </w:rPr>
        <w:t xml:space="preserve"> </w:t>
      </w:r>
      <w:r>
        <w:rPr>
          <w:color w:val="414042"/>
        </w:rPr>
        <w:t>collaborative</w:t>
      </w:r>
      <w:r>
        <w:rPr>
          <w:color w:val="414042"/>
          <w:spacing w:val="-8"/>
        </w:rPr>
        <w:t xml:space="preserve"> </w:t>
      </w:r>
      <w:r>
        <w:rPr>
          <w:color w:val="414042"/>
        </w:rPr>
        <w:t xml:space="preserve">approach across the country focussing in on specific areas </w:t>
      </w:r>
      <w:r>
        <w:rPr>
          <w:color w:val="414042"/>
          <w:spacing w:val="-3"/>
        </w:rPr>
        <w:t xml:space="preserve">gave </w:t>
      </w:r>
      <w:r>
        <w:rPr>
          <w:color w:val="414042"/>
        </w:rPr>
        <w:t>rise to the hope that the concentrated efforts would accelerate change and improve</w:t>
      </w:r>
      <w:r>
        <w:rPr>
          <w:color w:val="414042"/>
          <w:spacing w:val="-6"/>
        </w:rPr>
        <w:t xml:space="preserve"> </w:t>
      </w:r>
      <w:r>
        <w:rPr>
          <w:color w:val="414042"/>
        </w:rPr>
        <w:t>outcomes.</w:t>
      </w:r>
    </w:p>
    <w:p w:rsidR="00580ABF" w:rsidRDefault="00E352FF">
      <w:pPr>
        <w:pStyle w:val="BodyText"/>
        <w:spacing w:before="105" w:line="211" w:lineRule="auto"/>
        <w:ind w:left="827" w:right="-10"/>
        <w:rPr>
          <w:color w:val="414042"/>
        </w:rPr>
      </w:pPr>
      <w:r>
        <w:rPr>
          <w:color w:val="414042"/>
        </w:rPr>
        <w:t>The multiple layers of policy and agreements have resulted in complexity. It is noted elsewhere that communication around the framework has been an issue.</w:t>
      </w:r>
    </w:p>
    <w:p w:rsidR="00992371" w:rsidRPr="002A30F0" w:rsidRDefault="00992371" w:rsidP="002A30F0">
      <w:pPr>
        <w:pStyle w:val="BodyText"/>
        <w:spacing w:line="211" w:lineRule="auto"/>
        <w:ind w:left="269" w:right="364"/>
        <w:rPr>
          <w:b/>
        </w:rPr>
      </w:pPr>
    </w:p>
    <w:p w:rsidR="00992371" w:rsidRPr="002A30F0" w:rsidRDefault="00992371" w:rsidP="002A30F0">
      <w:pPr>
        <w:pStyle w:val="BodyText"/>
        <w:spacing w:line="211" w:lineRule="auto"/>
        <w:ind w:left="827" w:right="364"/>
        <w:rPr>
          <w:b/>
        </w:rPr>
      </w:pPr>
      <w:r w:rsidRPr="002A30F0">
        <w:rPr>
          <w:b/>
        </w:rPr>
        <w:t>The key message is that communication is needed that breaks down the complex</w:t>
      </w:r>
      <w:r w:rsidR="002A30F0">
        <w:rPr>
          <w:b/>
        </w:rPr>
        <w:t xml:space="preserve"> </w:t>
      </w:r>
      <w:r w:rsidRPr="002A30F0">
        <w:rPr>
          <w:b/>
        </w:rPr>
        <w:t>response into realistically achievable pieces of work.</w:t>
      </w:r>
    </w:p>
    <w:p w:rsidR="00580ABF" w:rsidRDefault="00580ABF">
      <w:pPr>
        <w:pStyle w:val="BodyText"/>
        <w:spacing w:before="9"/>
        <w:rPr>
          <w:sz w:val="8"/>
        </w:rPr>
      </w:pPr>
    </w:p>
    <w:p w:rsidR="00580ABF" w:rsidRDefault="00580ABF">
      <w:pPr>
        <w:pStyle w:val="BodyText"/>
        <w:spacing w:before="5"/>
        <w:rPr>
          <w:sz w:val="14"/>
        </w:rPr>
      </w:pPr>
    </w:p>
    <w:p w:rsidR="00580ABF" w:rsidRDefault="00E352FF" w:rsidP="00B16E4A">
      <w:pPr>
        <w:pStyle w:val="Heading3"/>
      </w:pPr>
      <w:r>
        <w:t>STATE AND REGIONAL RESPONSES</w:t>
      </w:r>
    </w:p>
    <w:p w:rsidR="002A30F0" w:rsidRPr="005D3114" w:rsidRDefault="002A30F0" w:rsidP="005D3114">
      <w:pPr>
        <w:pStyle w:val="BodyText"/>
        <w:spacing w:before="105" w:line="211" w:lineRule="auto"/>
        <w:ind w:left="827" w:right="-10"/>
        <w:rPr>
          <w:i/>
          <w:color w:val="414042"/>
        </w:rPr>
      </w:pPr>
      <w:r w:rsidRPr="005D3114">
        <w:rPr>
          <w:i/>
          <w:color w:val="414042"/>
        </w:rPr>
        <w:t>We worked on establishing and maintaining Interagency coordination between local organisations and with Commonwealth and state and local government agencies to better coordinate services delivery to maximise government support and program outcomes. It was really hard, but we set up these coordination groups and it is still working now.</w:t>
      </w:r>
    </w:p>
    <w:p w:rsidR="002A30F0" w:rsidRPr="005D3114" w:rsidRDefault="002A30F0" w:rsidP="005D3114">
      <w:pPr>
        <w:pStyle w:val="BodyText"/>
        <w:spacing w:before="105" w:line="211" w:lineRule="auto"/>
        <w:ind w:left="827" w:right="-10"/>
        <w:rPr>
          <w:i/>
          <w:color w:val="414042"/>
        </w:rPr>
      </w:pPr>
    </w:p>
    <w:p w:rsidR="002A30F0" w:rsidRPr="005D3114" w:rsidRDefault="002A30F0" w:rsidP="005D3114">
      <w:pPr>
        <w:pStyle w:val="BodyText"/>
        <w:spacing w:before="105" w:line="211" w:lineRule="auto"/>
        <w:ind w:left="827" w:right="-10"/>
        <w:rPr>
          <w:i/>
          <w:color w:val="414042"/>
        </w:rPr>
      </w:pPr>
      <w:r w:rsidRPr="005D3114">
        <w:rPr>
          <w:i/>
          <w:color w:val="414042"/>
        </w:rPr>
        <w:t>Consultation Stakeholder</w:t>
      </w:r>
    </w:p>
    <w:p w:rsidR="004171C6" w:rsidRPr="004171C6" w:rsidRDefault="004171C6" w:rsidP="004171C6">
      <w:pPr>
        <w:pStyle w:val="BodyText"/>
        <w:spacing w:line="211" w:lineRule="auto"/>
        <w:ind w:left="827" w:right="364"/>
        <w:rPr>
          <w:b/>
        </w:rPr>
      </w:pPr>
      <w:r w:rsidRPr="004171C6">
        <w:rPr>
          <w:b/>
        </w:rPr>
        <w:t>There was support for the idea that all states and territories implement the Closing the Gap framework.</w:t>
      </w:r>
    </w:p>
    <w:p w:rsidR="00580ABF" w:rsidRDefault="00580ABF">
      <w:pPr>
        <w:pStyle w:val="BodyText"/>
        <w:spacing w:before="5"/>
        <w:rPr>
          <w:b/>
          <w:sz w:val="7"/>
        </w:rPr>
      </w:pPr>
    </w:p>
    <w:p w:rsidR="00580ABF" w:rsidRDefault="00580ABF">
      <w:pPr>
        <w:pStyle w:val="BodyText"/>
        <w:spacing w:before="12"/>
        <w:rPr>
          <w:b/>
          <w:sz w:val="15"/>
        </w:rPr>
      </w:pPr>
    </w:p>
    <w:p w:rsidR="00580ABF" w:rsidRDefault="00E352FF">
      <w:pPr>
        <w:pStyle w:val="BodyText"/>
        <w:spacing w:line="211" w:lineRule="auto"/>
        <w:ind w:left="827" w:right="-10"/>
      </w:pPr>
      <w:r>
        <w:rPr>
          <w:color w:val="414042"/>
        </w:rPr>
        <w:t>From our analysis of data available to the project, clearly, some jurisdictional responses worked better and were better received than others. For example, Victoria’s Aboriginal Affairs Framework 2013-2018 represented</w:t>
      </w:r>
    </w:p>
    <w:p w:rsidR="00580ABF" w:rsidRDefault="00E352FF">
      <w:pPr>
        <w:pStyle w:val="BodyText"/>
        <w:spacing w:line="211" w:lineRule="auto"/>
        <w:ind w:left="827" w:right="155"/>
      </w:pPr>
      <w:r>
        <w:rPr>
          <w:color w:val="414042"/>
        </w:rPr>
        <w:t>a framework for how government and the Aboriginal community would work together to Close the Gap on Aboriginal disadvantage. The Framework draws on NIRA</w:t>
      </w:r>
      <w:r>
        <w:rPr>
          <w:color w:val="414042"/>
          <w:spacing w:val="-3"/>
        </w:rPr>
        <w:t xml:space="preserve"> </w:t>
      </w:r>
      <w:r>
        <w:rPr>
          <w:color w:val="414042"/>
        </w:rPr>
        <w:t>and</w:t>
      </w:r>
      <w:r>
        <w:rPr>
          <w:color w:val="414042"/>
          <w:spacing w:val="-4"/>
        </w:rPr>
        <w:t xml:space="preserve"> </w:t>
      </w:r>
      <w:r>
        <w:rPr>
          <w:color w:val="414042"/>
        </w:rPr>
        <w:t>the</w:t>
      </w:r>
      <w:r>
        <w:rPr>
          <w:color w:val="414042"/>
          <w:spacing w:val="-2"/>
        </w:rPr>
        <w:t xml:space="preserve"> </w:t>
      </w:r>
      <w:r>
        <w:rPr>
          <w:color w:val="414042"/>
        </w:rPr>
        <w:t>Closing</w:t>
      </w:r>
      <w:r>
        <w:rPr>
          <w:color w:val="414042"/>
          <w:spacing w:val="-4"/>
        </w:rPr>
        <w:t xml:space="preserve"> </w:t>
      </w:r>
      <w:r>
        <w:rPr>
          <w:color w:val="414042"/>
        </w:rPr>
        <w:t>the</w:t>
      </w:r>
      <w:r>
        <w:rPr>
          <w:color w:val="414042"/>
          <w:spacing w:val="-2"/>
        </w:rPr>
        <w:t xml:space="preserve"> </w:t>
      </w:r>
      <w:r>
        <w:rPr>
          <w:color w:val="414042"/>
        </w:rPr>
        <w:t>Gap</w:t>
      </w:r>
      <w:r>
        <w:rPr>
          <w:color w:val="414042"/>
          <w:spacing w:val="-3"/>
        </w:rPr>
        <w:t xml:space="preserve"> </w:t>
      </w:r>
      <w:r>
        <w:rPr>
          <w:color w:val="414042"/>
        </w:rPr>
        <w:t>framework</w:t>
      </w:r>
      <w:r>
        <w:rPr>
          <w:color w:val="414042"/>
          <w:spacing w:val="-3"/>
        </w:rPr>
        <w:t xml:space="preserve"> </w:t>
      </w:r>
      <w:r>
        <w:rPr>
          <w:color w:val="414042"/>
        </w:rPr>
        <w:t>to</w:t>
      </w:r>
      <w:r>
        <w:rPr>
          <w:color w:val="414042"/>
          <w:spacing w:val="-4"/>
        </w:rPr>
        <w:t xml:space="preserve"> </w:t>
      </w:r>
      <w:r>
        <w:rPr>
          <w:color w:val="414042"/>
        </w:rPr>
        <w:t>put</w:t>
      </w:r>
      <w:r>
        <w:rPr>
          <w:color w:val="414042"/>
          <w:spacing w:val="-3"/>
        </w:rPr>
        <w:t xml:space="preserve"> </w:t>
      </w:r>
      <w:r>
        <w:rPr>
          <w:color w:val="414042"/>
        </w:rPr>
        <w:t>in</w:t>
      </w:r>
      <w:r>
        <w:rPr>
          <w:color w:val="414042"/>
          <w:spacing w:val="-4"/>
        </w:rPr>
        <w:t xml:space="preserve"> </w:t>
      </w:r>
      <w:r>
        <w:rPr>
          <w:color w:val="414042"/>
        </w:rPr>
        <w:t>place strategic action areas, each with their own headline indicator and specific targets and measures. It is clearly articulated how those targets lead back to the NIRA objectives.</w:t>
      </w:r>
      <w:r>
        <w:rPr>
          <w:color w:val="414042"/>
          <w:spacing w:val="-5"/>
        </w:rPr>
        <w:t xml:space="preserve"> </w:t>
      </w:r>
      <w:r>
        <w:rPr>
          <w:color w:val="414042"/>
        </w:rPr>
        <w:t>This</w:t>
      </w:r>
      <w:r>
        <w:rPr>
          <w:color w:val="414042"/>
          <w:spacing w:val="-5"/>
        </w:rPr>
        <w:t xml:space="preserve"> </w:t>
      </w:r>
      <w:r>
        <w:rPr>
          <w:color w:val="414042"/>
        </w:rPr>
        <w:t>is</w:t>
      </w:r>
      <w:r>
        <w:rPr>
          <w:color w:val="414042"/>
          <w:spacing w:val="-5"/>
        </w:rPr>
        <w:t xml:space="preserve"> </w:t>
      </w:r>
      <w:r>
        <w:rPr>
          <w:color w:val="414042"/>
        </w:rPr>
        <w:t>achieved</w:t>
      </w:r>
      <w:r>
        <w:rPr>
          <w:color w:val="414042"/>
          <w:spacing w:val="-4"/>
        </w:rPr>
        <w:t xml:space="preserve"> </w:t>
      </w:r>
      <w:r>
        <w:rPr>
          <w:color w:val="414042"/>
        </w:rPr>
        <w:t>through</w:t>
      </w:r>
      <w:r>
        <w:rPr>
          <w:color w:val="414042"/>
          <w:spacing w:val="-6"/>
        </w:rPr>
        <w:t xml:space="preserve"> </w:t>
      </w:r>
      <w:r>
        <w:rPr>
          <w:color w:val="414042"/>
        </w:rPr>
        <w:t>a</w:t>
      </w:r>
      <w:r>
        <w:rPr>
          <w:color w:val="414042"/>
          <w:spacing w:val="-5"/>
        </w:rPr>
        <w:t xml:space="preserve"> </w:t>
      </w:r>
      <w:r>
        <w:rPr>
          <w:color w:val="414042"/>
        </w:rPr>
        <w:t>series</w:t>
      </w:r>
      <w:r>
        <w:rPr>
          <w:color w:val="414042"/>
          <w:spacing w:val="-5"/>
        </w:rPr>
        <w:t xml:space="preserve"> </w:t>
      </w:r>
      <w:r>
        <w:rPr>
          <w:color w:val="414042"/>
        </w:rPr>
        <w:t>of</w:t>
      </w:r>
      <w:r>
        <w:rPr>
          <w:color w:val="414042"/>
          <w:spacing w:val="-5"/>
        </w:rPr>
        <w:t xml:space="preserve"> </w:t>
      </w:r>
      <w:r>
        <w:rPr>
          <w:color w:val="414042"/>
        </w:rPr>
        <w:t>inclusion</w:t>
      </w:r>
    </w:p>
    <w:p w:rsidR="00580ABF" w:rsidRDefault="00E352FF">
      <w:pPr>
        <w:pStyle w:val="BodyText"/>
        <w:spacing w:line="211" w:lineRule="auto"/>
        <w:ind w:left="827" w:right="-10"/>
      </w:pPr>
      <w:r>
        <w:rPr>
          <w:color w:val="414042"/>
        </w:rPr>
        <w:t>plans which sought to improve access to and monitoring of services across all areas of government and the basis for their annual report card on Aboriginal Affairs to the Victorian Parliament.</w:t>
      </w:r>
    </w:p>
    <w:p w:rsidR="00580ABF" w:rsidRDefault="00E352FF">
      <w:pPr>
        <w:pStyle w:val="BodyText"/>
        <w:spacing w:before="46" w:line="211" w:lineRule="auto"/>
        <w:ind w:left="432" w:right="1372"/>
      </w:pPr>
      <w:r>
        <w:br w:type="column"/>
      </w:r>
      <w:r>
        <w:rPr>
          <w:color w:val="414042"/>
        </w:rPr>
        <w:t>NSW’s Opportunities, Choice, Healing, Responsibility and Empowerment (OCHRE) Aboriginal Affairs plan established in 2011 sought to improve education and employment outcomes for Aboriginal people and to enhance service accountability. The structure of the OCHRE plan included local and regional Aboriginal governance and decision-making capabilities and the opportunity for Aboriginal communities to actively influence government’s efforts for supporting social,</w:t>
      </w:r>
    </w:p>
    <w:p w:rsidR="00992371" w:rsidRDefault="00E352FF">
      <w:pPr>
        <w:pStyle w:val="BodyText"/>
        <w:spacing w:line="211" w:lineRule="auto"/>
        <w:ind w:left="432" w:right="1016"/>
        <w:rPr>
          <w:color w:val="414042"/>
        </w:rPr>
      </w:pPr>
      <w:r>
        <w:rPr>
          <w:color w:val="414042"/>
        </w:rPr>
        <w:t xml:space="preserve">economic and cultural outcomes. In relation to addressing trauma, NSW government partnered with the Healing Foundation and ran a series of Healing Forums across the </w:t>
      </w:r>
    </w:p>
    <w:p w:rsidR="00580ABF" w:rsidRDefault="00E352FF">
      <w:pPr>
        <w:pStyle w:val="BodyText"/>
        <w:spacing w:line="211" w:lineRule="auto"/>
        <w:ind w:left="432" w:right="1016"/>
      </w:pPr>
      <w:r>
        <w:rPr>
          <w:color w:val="414042"/>
        </w:rPr>
        <w:t>state to gain community input into areas of priority and solutions to close the gap and enable healing.</w:t>
      </w:r>
    </w:p>
    <w:p w:rsidR="00580ABF" w:rsidRDefault="00E352FF">
      <w:pPr>
        <w:pStyle w:val="BodyText"/>
        <w:spacing w:before="100" w:line="211" w:lineRule="auto"/>
        <w:ind w:left="432" w:right="1202"/>
      </w:pPr>
      <w:r>
        <w:rPr>
          <w:color w:val="414042"/>
        </w:rPr>
        <w:t>In our analysis of successful collaboration between governments and Indigenous communities, those state and</w:t>
      </w:r>
      <w:r>
        <w:rPr>
          <w:color w:val="414042"/>
          <w:spacing w:val="-7"/>
        </w:rPr>
        <w:t xml:space="preserve"> </w:t>
      </w:r>
      <w:r>
        <w:rPr>
          <w:color w:val="414042"/>
        </w:rPr>
        <w:t>territory</w:t>
      </w:r>
      <w:r>
        <w:rPr>
          <w:color w:val="414042"/>
          <w:spacing w:val="-6"/>
        </w:rPr>
        <w:t xml:space="preserve"> </w:t>
      </w:r>
      <w:r>
        <w:rPr>
          <w:color w:val="414042"/>
        </w:rPr>
        <w:t>frameworks</w:t>
      </w:r>
      <w:r>
        <w:rPr>
          <w:color w:val="414042"/>
          <w:spacing w:val="-7"/>
        </w:rPr>
        <w:t xml:space="preserve"> </w:t>
      </w:r>
      <w:r>
        <w:rPr>
          <w:color w:val="414042"/>
        </w:rPr>
        <w:t>that</w:t>
      </w:r>
      <w:r>
        <w:rPr>
          <w:color w:val="414042"/>
          <w:spacing w:val="-6"/>
        </w:rPr>
        <w:t xml:space="preserve"> </w:t>
      </w:r>
      <w:r>
        <w:rPr>
          <w:color w:val="414042"/>
        </w:rPr>
        <w:t>were</w:t>
      </w:r>
      <w:r>
        <w:rPr>
          <w:color w:val="414042"/>
          <w:spacing w:val="-6"/>
        </w:rPr>
        <w:t xml:space="preserve"> </w:t>
      </w:r>
      <w:r>
        <w:rPr>
          <w:color w:val="414042"/>
        </w:rPr>
        <w:t>able</w:t>
      </w:r>
      <w:r>
        <w:rPr>
          <w:color w:val="414042"/>
          <w:spacing w:val="-6"/>
        </w:rPr>
        <w:t xml:space="preserve"> </w:t>
      </w:r>
      <w:r>
        <w:rPr>
          <w:color w:val="414042"/>
        </w:rPr>
        <w:t>to</w:t>
      </w:r>
      <w:r>
        <w:rPr>
          <w:color w:val="414042"/>
          <w:spacing w:val="-7"/>
        </w:rPr>
        <w:t xml:space="preserve"> </w:t>
      </w:r>
      <w:r>
        <w:rPr>
          <w:color w:val="414042"/>
        </w:rPr>
        <w:t xml:space="preserve">demonstrate success had two </w:t>
      </w:r>
      <w:r>
        <w:rPr>
          <w:color w:val="414042"/>
          <w:spacing w:val="-3"/>
        </w:rPr>
        <w:t xml:space="preserve">key </w:t>
      </w:r>
      <w:r>
        <w:rPr>
          <w:color w:val="414042"/>
        </w:rPr>
        <w:t>elements to them which would have contributed to their success in achieving increased Indigenous engagement and more appropriate</w:t>
      </w:r>
      <w:r>
        <w:rPr>
          <w:color w:val="414042"/>
          <w:spacing w:val="-16"/>
        </w:rPr>
        <w:t xml:space="preserve"> </w:t>
      </w:r>
      <w:r>
        <w:rPr>
          <w:color w:val="414042"/>
        </w:rPr>
        <w:t>service</w:t>
      </w:r>
    </w:p>
    <w:p w:rsidR="00580ABF" w:rsidRDefault="00E352FF">
      <w:pPr>
        <w:pStyle w:val="BodyText"/>
        <w:spacing w:line="211" w:lineRule="auto"/>
        <w:ind w:left="432" w:right="1016"/>
      </w:pPr>
      <w:r>
        <w:rPr>
          <w:color w:val="414042"/>
        </w:rPr>
        <w:t>delivery. They have goals that were clearly articulated and tied back to the national Closing the Gap framework, and they embedded processes, both formal and informal, in the framework for working in genuine partnership with Indigenous people.</w:t>
      </w:r>
    </w:p>
    <w:p w:rsidR="00580ABF" w:rsidRDefault="00580ABF">
      <w:pPr>
        <w:pStyle w:val="BodyText"/>
        <w:rPr>
          <w:sz w:val="12"/>
        </w:rPr>
      </w:pPr>
    </w:p>
    <w:p w:rsidR="00580ABF" w:rsidRDefault="00E352FF" w:rsidP="009D21EF">
      <w:pPr>
        <w:pStyle w:val="Heading3"/>
        <w:ind w:left="0" w:firstLine="432"/>
      </w:pPr>
      <w:r>
        <w:t>STATE/COMMONWEALTH</w:t>
      </w:r>
      <w:r>
        <w:rPr>
          <w:spacing w:val="15"/>
        </w:rPr>
        <w:t xml:space="preserve"> </w:t>
      </w:r>
      <w:r>
        <w:rPr>
          <w:spacing w:val="6"/>
        </w:rPr>
        <w:t>INTER-AGENCIES</w:t>
      </w:r>
    </w:p>
    <w:p w:rsidR="00580ABF" w:rsidRDefault="00E352FF">
      <w:pPr>
        <w:pStyle w:val="BodyText"/>
        <w:spacing w:before="6" w:line="211" w:lineRule="auto"/>
        <w:ind w:left="432" w:right="1372"/>
      </w:pPr>
      <w:r>
        <w:rPr>
          <w:color w:val="414042"/>
        </w:rPr>
        <w:t>State</w:t>
      </w:r>
      <w:r>
        <w:rPr>
          <w:color w:val="414042"/>
          <w:spacing w:val="-8"/>
        </w:rPr>
        <w:t xml:space="preserve"> </w:t>
      </w:r>
      <w:r>
        <w:rPr>
          <w:color w:val="414042"/>
        </w:rPr>
        <w:t>and</w:t>
      </w:r>
      <w:r>
        <w:rPr>
          <w:color w:val="414042"/>
          <w:spacing w:val="-8"/>
        </w:rPr>
        <w:t xml:space="preserve"> </w:t>
      </w:r>
      <w:r>
        <w:rPr>
          <w:color w:val="414042"/>
        </w:rPr>
        <w:t>Commonwealth</w:t>
      </w:r>
      <w:r>
        <w:rPr>
          <w:color w:val="414042"/>
          <w:spacing w:val="-7"/>
        </w:rPr>
        <w:t xml:space="preserve"> </w:t>
      </w:r>
      <w:r>
        <w:rPr>
          <w:color w:val="414042"/>
        </w:rPr>
        <w:t>inter-agencies</w:t>
      </w:r>
      <w:r>
        <w:rPr>
          <w:color w:val="414042"/>
          <w:spacing w:val="-7"/>
        </w:rPr>
        <w:t xml:space="preserve"> </w:t>
      </w:r>
      <w:r>
        <w:rPr>
          <w:color w:val="414042"/>
        </w:rPr>
        <w:t>were</w:t>
      </w:r>
      <w:r>
        <w:rPr>
          <w:color w:val="414042"/>
          <w:spacing w:val="-7"/>
        </w:rPr>
        <w:t xml:space="preserve"> </w:t>
      </w:r>
      <w:r>
        <w:rPr>
          <w:color w:val="414042"/>
        </w:rPr>
        <w:t>mostly a</w:t>
      </w:r>
      <w:r>
        <w:rPr>
          <w:color w:val="414042"/>
          <w:spacing w:val="-5"/>
        </w:rPr>
        <w:t xml:space="preserve"> </w:t>
      </w:r>
      <w:r>
        <w:rPr>
          <w:color w:val="414042"/>
        </w:rPr>
        <w:t>good</w:t>
      </w:r>
      <w:r>
        <w:rPr>
          <w:color w:val="414042"/>
          <w:spacing w:val="-4"/>
        </w:rPr>
        <w:t xml:space="preserve"> </w:t>
      </w:r>
      <w:r>
        <w:rPr>
          <w:color w:val="414042"/>
        </w:rPr>
        <w:t>model</w:t>
      </w:r>
      <w:r>
        <w:rPr>
          <w:color w:val="414042"/>
          <w:spacing w:val="-4"/>
        </w:rPr>
        <w:t xml:space="preserve"> </w:t>
      </w:r>
      <w:r>
        <w:rPr>
          <w:color w:val="414042"/>
        </w:rPr>
        <w:t>that</w:t>
      </w:r>
      <w:r>
        <w:rPr>
          <w:color w:val="414042"/>
          <w:spacing w:val="-3"/>
        </w:rPr>
        <w:t xml:space="preserve"> </w:t>
      </w:r>
      <w:r>
        <w:rPr>
          <w:color w:val="414042"/>
        </w:rPr>
        <w:t>evolved</w:t>
      </w:r>
      <w:r>
        <w:rPr>
          <w:color w:val="414042"/>
          <w:spacing w:val="-4"/>
        </w:rPr>
        <w:t xml:space="preserve"> </w:t>
      </w:r>
      <w:r>
        <w:rPr>
          <w:color w:val="414042"/>
        </w:rPr>
        <w:t>out</w:t>
      </w:r>
      <w:r>
        <w:rPr>
          <w:color w:val="414042"/>
          <w:spacing w:val="-4"/>
        </w:rPr>
        <w:t xml:space="preserve"> </w:t>
      </w:r>
      <w:r>
        <w:rPr>
          <w:color w:val="414042"/>
        </w:rPr>
        <w:t>of</w:t>
      </w:r>
      <w:r>
        <w:rPr>
          <w:color w:val="414042"/>
          <w:spacing w:val="-5"/>
        </w:rPr>
        <w:t xml:space="preserve"> </w:t>
      </w:r>
      <w:r>
        <w:rPr>
          <w:color w:val="414042"/>
        </w:rPr>
        <w:t>the</w:t>
      </w:r>
      <w:r>
        <w:rPr>
          <w:color w:val="414042"/>
          <w:spacing w:val="-3"/>
        </w:rPr>
        <w:t xml:space="preserve"> </w:t>
      </w:r>
      <w:r>
        <w:rPr>
          <w:color w:val="414042"/>
        </w:rPr>
        <w:t>framework.</w:t>
      </w:r>
      <w:r>
        <w:rPr>
          <w:color w:val="414042"/>
          <w:spacing w:val="-4"/>
        </w:rPr>
        <w:t xml:space="preserve"> </w:t>
      </w:r>
      <w:r>
        <w:rPr>
          <w:color w:val="414042"/>
        </w:rPr>
        <w:t>The</w:t>
      </w:r>
    </w:p>
    <w:p w:rsidR="00580ABF" w:rsidRDefault="00E352FF">
      <w:pPr>
        <w:pStyle w:val="BodyText"/>
        <w:spacing w:line="211" w:lineRule="auto"/>
        <w:ind w:left="432" w:right="1016"/>
      </w:pPr>
      <w:r>
        <w:rPr>
          <w:color w:val="414042"/>
        </w:rPr>
        <w:t>sharing of information and understanding what others in the system were doing led to clarity, contributed to the sense of a shared responsibility, and enabled sharing of good practices.</w:t>
      </w:r>
    </w:p>
    <w:p w:rsidR="00580ABF" w:rsidRDefault="00E352FF">
      <w:pPr>
        <w:pStyle w:val="BodyText"/>
        <w:spacing w:before="107" w:line="211" w:lineRule="auto"/>
        <w:ind w:left="432" w:right="1046"/>
        <w:rPr>
          <w:color w:val="414042"/>
        </w:rPr>
      </w:pPr>
      <w:r>
        <w:rPr>
          <w:color w:val="414042"/>
        </w:rPr>
        <w:t>Where they didn’t work as well, it was because culture and partnerships with Indigenous people were not central to the efforts, often leading to the perception of non- Aboriginal people dominating the efforts.</w:t>
      </w:r>
    </w:p>
    <w:p w:rsidR="007540AD" w:rsidRDefault="007540AD">
      <w:pPr>
        <w:pStyle w:val="BodyText"/>
        <w:spacing w:before="107" w:line="211" w:lineRule="auto"/>
        <w:ind w:left="432" w:right="1046"/>
        <w:rPr>
          <w:color w:val="414042"/>
        </w:rPr>
      </w:pPr>
    </w:p>
    <w:p w:rsidR="007540AD" w:rsidRPr="005D3114" w:rsidRDefault="007540AD" w:rsidP="005D3114">
      <w:pPr>
        <w:pStyle w:val="BodyText"/>
        <w:spacing w:before="105" w:line="211" w:lineRule="auto"/>
        <w:ind w:left="432" w:right="-10"/>
        <w:rPr>
          <w:i/>
          <w:color w:val="414042"/>
        </w:rPr>
      </w:pPr>
      <w:r w:rsidRPr="005D3114">
        <w:rPr>
          <w:i/>
          <w:color w:val="414042"/>
        </w:rPr>
        <w:t>“I believe that with any program aimed at closing the gap it has to be delivered in partnership with the people receiving and the people delivering it. It has to be this way otherwise it won’t work.”</w:t>
      </w:r>
    </w:p>
    <w:p w:rsidR="007540AD" w:rsidRPr="005D3114" w:rsidRDefault="007540AD" w:rsidP="005D3114">
      <w:pPr>
        <w:pStyle w:val="BodyText"/>
        <w:spacing w:before="105" w:line="211" w:lineRule="auto"/>
        <w:ind w:left="827" w:right="-10"/>
        <w:rPr>
          <w:i/>
          <w:color w:val="414042"/>
        </w:rPr>
      </w:pPr>
    </w:p>
    <w:p w:rsidR="007540AD" w:rsidRPr="005D3114" w:rsidRDefault="007540AD" w:rsidP="005D3114">
      <w:pPr>
        <w:pStyle w:val="BodyText"/>
        <w:spacing w:before="105" w:line="211" w:lineRule="auto"/>
        <w:ind w:right="-10" w:firstLine="432"/>
        <w:rPr>
          <w:i/>
          <w:color w:val="414042"/>
        </w:rPr>
      </w:pPr>
      <w:r w:rsidRPr="005D3114">
        <w:rPr>
          <w:i/>
          <w:color w:val="414042"/>
        </w:rPr>
        <w:t>South Australia Stakeholder</w:t>
      </w:r>
    </w:p>
    <w:p w:rsidR="00580ABF" w:rsidRDefault="00580ABF">
      <w:pPr>
        <w:pStyle w:val="BodyText"/>
        <w:spacing w:before="11"/>
        <w:rPr>
          <w:sz w:val="7"/>
        </w:rPr>
      </w:pPr>
    </w:p>
    <w:p w:rsidR="00580ABF" w:rsidRDefault="00580ABF">
      <w:pPr>
        <w:rPr>
          <w:sz w:val="21"/>
        </w:rPr>
        <w:sectPr w:rsidR="00580ABF">
          <w:type w:val="continuous"/>
          <w:pgSz w:w="11910" w:h="16840"/>
          <w:pgMar w:top="1580" w:right="180" w:bottom="280" w:left="420" w:header="720" w:footer="720" w:gutter="0"/>
          <w:cols w:num="2" w:space="720" w:equalWidth="0">
            <w:col w:w="5288" w:space="40"/>
            <w:col w:w="5982"/>
          </w:cols>
        </w:sectPr>
      </w:pPr>
    </w:p>
    <w:p w:rsidR="00580ABF" w:rsidRDefault="00580ABF">
      <w:pPr>
        <w:pStyle w:val="BodyText"/>
        <w:spacing w:before="1"/>
        <w:rPr>
          <w:sz w:val="8"/>
        </w:rPr>
      </w:pPr>
    </w:p>
    <w:p w:rsidR="00580ABF" w:rsidRDefault="00E352FF" w:rsidP="00B16E4A">
      <w:pPr>
        <w:pStyle w:val="Heading3"/>
      </w:pPr>
      <w:r>
        <w:t>EXAMPLES OF WHAT HAS WORKED WELL AND CAN BE BUILT ON IN THE REFRESH</w:t>
      </w:r>
    </w:p>
    <w:p w:rsidR="00580ABF" w:rsidRDefault="00E352FF" w:rsidP="009D21EF">
      <w:pPr>
        <w:pStyle w:val="BodyText"/>
        <w:spacing w:line="211" w:lineRule="auto"/>
        <w:ind w:left="720" w:right="2862"/>
      </w:pPr>
      <w:r>
        <w:rPr>
          <w:color w:val="414042"/>
        </w:rPr>
        <w:t>An example of a collaborative model that is working well for governments and Aboriginal communities is the Aboriginal Justice Forum (AJF) in Victoria. The AJF has responsibility for implementing the Aboriginal Justice Agreement (AJA) which has been operational for 18 years. The AJA is a response to the disadvantage impacting on Aboriginal people across Victoria.</w:t>
      </w:r>
    </w:p>
    <w:p w:rsidR="00580ABF" w:rsidRDefault="00E352FF" w:rsidP="009D21EF">
      <w:pPr>
        <w:pStyle w:val="BodyText"/>
        <w:spacing w:before="104" w:line="211" w:lineRule="auto"/>
        <w:ind w:left="720" w:right="2141"/>
      </w:pPr>
      <w:r>
        <w:rPr>
          <w:color w:val="414042"/>
        </w:rPr>
        <w:t>The governance structures put in place to support the implementation of the Agreement comprised three levels as shown in the figure below:</w:t>
      </w:r>
    </w:p>
    <w:p w:rsidR="00580ABF" w:rsidRDefault="00580ABF">
      <w:pPr>
        <w:pStyle w:val="BodyText"/>
        <w:spacing w:before="12"/>
        <w:rPr>
          <w:sz w:val="20"/>
        </w:rPr>
      </w:pPr>
    </w:p>
    <w:p w:rsidR="00580ABF" w:rsidRDefault="00AA721E" w:rsidP="009D21EF">
      <w:pPr>
        <w:pStyle w:val="BodyText"/>
        <w:spacing w:before="46" w:line="211" w:lineRule="auto"/>
        <w:ind w:left="720" w:right="2787"/>
      </w:pPr>
      <w:r>
        <w:rPr>
          <w:color w:val="414042"/>
        </w:rPr>
        <w:t>A</w:t>
      </w:r>
      <w:r w:rsidR="00E352FF">
        <w:rPr>
          <w:color w:val="414042"/>
        </w:rPr>
        <w:t>t the highest level are two structures, the Aboriginal Justice Forum (AJF), comprising of senior representatives of government, and members of the Koori Caucus and Aboriginal community organisations and peak bodies. The Aboriginal Justice Forum has state-wide responsibility for the development and implementation of the Agreement, including a monitoring function, and provides strategic guidance on justice issues affecting Aboriginal communities in Victoria.</w:t>
      </w:r>
    </w:p>
    <w:p w:rsidR="00580ABF" w:rsidRDefault="00E352FF" w:rsidP="009D21EF">
      <w:pPr>
        <w:pStyle w:val="BodyText"/>
        <w:spacing w:before="107" w:line="211" w:lineRule="auto"/>
        <w:ind w:left="720" w:right="2141"/>
      </w:pPr>
      <w:r>
        <w:rPr>
          <w:color w:val="414042"/>
        </w:rPr>
        <w:t>Regional Aboriginal Justice Advisory Committees (RAJACs) bring together key Aboriginal community members and government agencies in each region.</w:t>
      </w:r>
    </w:p>
    <w:p w:rsidR="009D21EF" w:rsidRDefault="009D21EF" w:rsidP="009D21EF">
      <w:pPr>
        <w:pStyle w:val="BodyText"/>
        <w:spacing w:line="211" w:lineRule="auto"/>
        <w:ind w:right="2616"/>
        <w:rPr>
          <w:color w:val="414042"/>
        </w:rPr>
      </w:pPr>
    </w:p>
    <w:p w:rsidR="00580ABF" w:rsidRDefault="00E352FF" w:rsidP="009D21EF">
      <w:pPr>
        <w:pStyle w:val="BodyText"/>
        <w:spacing w:line="211" w:lineRule="auto"/>
        <w:ind w:left="720" w:right="2616"/>
      </w:pPr>
      <w:r>
        <w:rPr>
          <w:color w:val="414042"/>
        </w:rPr>
        <w:t>The RAJACs are crucial to the delivery of the AJA on the ground through the development of regional justice plans. An elected Aboriginal Chairperson leads each of the RAJACs and represents it on the Koori Caucus and AJF.</w:t>
      </w:r>
    </w:p>
    <w:p w:rsidR="00FB3778" w:rsidRDefault="00AA721E" w:rsidP="009D21EF">
      <w:pPr>
        <w:pStyle w:val="BodyText"/>
        <w:spacing w:before="108" w:line="211" w:lineRule="auto"/>
        <w:ind w:left="720" w:right="2787"/>
        <w:rPr>
          <w:color w:val="414042"/>
        </w:rPr>
      </w:pPr>
      <w:r>
        <w:rPr>
          <w:b/>
          <w:noProof/>
          <w:sz w:val="20"/>
          <w:lang w:val="en-AU" w:eastAsia="en-AU" w:bidi="ar-SA"/>
        </w:rPr>
        <w:drawing>
          <wp:inline distT="0" distB="0" distL="0" distR="0" wp14:anchorId="25473FB6" wp14:editId="3963DD0C">
            <wp:extent cx="4476750" cy="4552950"/>
            <wp:effectExtent l="0" t="0" r="0" b="0"/>
            <wp:docPr id="392" name="Picture 392" descr="This image illustrates the three levels of the goverance structures of government portfolio and community, put in place to support the implementation of the Agreement, including: Statewide (Interdepartmental Committee, Aboriginal Justice Forum, Koori Caucus and Koori Reference Groups); Regional (Executive Officer, RAJAC); and Local (Project Officer, LAJAC). The Koori Justice Unit operates across all three levels. " title="Aboriginal Justic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 and Co\AppData\Local\Temp\Temp1_CTG images.zip\CTG images\Closing the gap_FINAL_V2_TAGGED_WEB-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0" cy="4552950"/>
                    </a:xfrm>
                    <a:prstGeom prst="rect">
                      <a:avLst/>
                    </a:prstGeom>
                    <a:noFill/>
                    <a:ln>
                      <a:noFill/>
                    </a:ln>
                  </pic:spPr>
                </pic:pic>
              </a:graphicData>
            </a:graphic>
          </wp:inline>
        </w:drawing>
      </w:r>
    </w:p>
    <w:p w:rsidR="00580ABF" w:rsidRDefault="00E352FF" w:rsidP="009D21EF">
      <w:pPr>
        <w:pStyle w:val="BodyText"/>
        <w:spacing w:before="108" w:line="211" w:lineRule="auto"/>
        <w:ind w:left="720" w:right="2787"/>
      </w:pPr>
      <w:r>
        <w:rPr>
          <w:color w:val="414042"/>
        </w:rPr>
        <w:t>At a town or city level in some regions are Local Aboriginal Justice Action Committees (LAJACs). The LAJACs bring together local Aboriginal community members and justice representatives to develop and guide responses to local justice issues, with representation at the AJF through the RAJACs.</w:t>
      </w:r>
    </w:p>
    <w:p w:rsidR="00580ABF" w:rsidRDefault="00580ABF">
      <w:pPr>
        <w:spacing w:line="211" w:lineRule="auto"/>
        <w:sectPr w:rsidR="00580ABF">
          <w:pgSz w:w="11910" w:h="16840"/>
          <w:pgMar w:top="1580" w:right="180" w:bottom="380" w:left="420" w:header="0" w:footer="183" w:gutter="0"/>
          <w:cols w:space="720"/>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pPr>
        <w:pStyle w:val="BodyText"/>
        <w:spacing w:before="46" w:line="211" w:lineRule="auto"/>
        <w:ind w:left="827" w:right="4"/>
      </w:pPr>
      <w:r>
        <w:rPr>
          <w:color w:val="414042"/>
        </w:rPr>
        <w:t>From our observation, we note that this is one of many models that are operating successfully across the country to address Indigenous disadvantage. The underpinning reasons these models continue to succeed can be attributed to the following:</w:t>
      </w:r>
    </w:p>
    <w:p w:rsidR="00580ABF" w:rsidRDefault="00E352FF" w:rsidP="002F5D51">
      <w:pPr>
        <w:pStyle w:val="BodyText"/>
        <w:numPr>
          <w:ilvl w:val="1"/>
          <w:numId w:val="20"/>
        </w:numPr>
        <w:spacing w:before="109" w:line="211" w:lineRule="auto"/>
        <w:ind w:right="572"/>
      </w:pPr>
      <w:r>
        <w:t>They involve Indigenous people at the highest level of decision-making, therefore decisions and allocation of resources are agreed upon by Indigenous stakeholders and government;</w:t>
      </w:r>
    </w:p>
    <w:p w:rsidR="00580ABF" w:rsidRDefault="00E352FF" w:rsidP="002F5D51">
      <w:pPr>
        <w:pStyle w:val="BodyText"/>
        <w:numPr>
          <w:ilvl w:val="1"/>
          <w:numId w:val="20"/>
        </w:numPr>
        <w:spacing w:before="109" w:line="211" w:lineRule="auto"/>
        <w:ind w:right="4"/>
      </w:pPr>
      <w:r>
        <w:t>Collegial ways of working are paramount and collaboration is openly-practiced;</w:t>
      </w:r>
    </w:p>
    <w:p w:rsidR="00580ABF" w:rsidRDefault="00E352FF" w:rsidP="002F5D51">
      <w:pPr>
        <w:pStyle w:val="BodyText"/>
        <w:numPr>
          <w:ilvl w:val="1"/>
          <w:numId w:val="20"/>
        </w:numPr>
        <w:spacing w:before="111" w:line="211" w:lineRule="auto"/>
        <w:ind w:right="572"/>
      </w:pPr>
      <w:r>
        <w:t>They are holistic in their approach to addressing issues;</w:t>
      </w:r>
    </w:p>
    <w:p w:rsidR="00580ABF" w:rsidRDefault="00E352FF" w:rsidP="002F5D51">
      <w:pPr>
        <w:pStyle w:val="BodyText"/>
        <w:numPr>
          <w:ilvl w:val="1"/>
          <w:numId w:val="20"/>
        </w:numPr>
        <w:spacing w:before="112" w:line="211" w:lineRule="auto"/>
        <w:ind w:right="572"/>
      </w:pPr>
      <w:r>
        <w:t>They contain monitoring and reporting responsibilities at Indigenous community, bureaucracy and ministerial levels;</w:t>
      </w:r>
    </w:p>
    <w:p w:rsidR="00580ABF" w:rsidRDefault="00E352FF" w:rsidP="002F5D51">
      <w:pPr>
        <w:pStyle w:val="BodyText"/>
        <w:numPr>
          <w:ilvl w:val="1"/>
          <w:numId w:val="20"/>
        </w:numPr>
        <w:spacing w:before="110" w:line="211" w:lineRule="auto"/>
        <w:ind w:right="872"/>
      </w:pPr>
      <w:r>
        <w:t>They are accessible, in that forums are held in different locations and sessions are made</w:t>
      </w:r>
    </w:p>
    <w:p w:rsidR="00580ABF" w:rsidRDefault="00E352FF" w:rsidP="002F5D51">
      <w:pPr>
        <w:pStyle w:val="BodyText"/>
        <w:numPr>
          <w:ilvl w:val="1"/>
          <w:numId w:val="20"/>
        </w:numPr>
        <w:spacing w:line="211" w:lineRule="auto"/>
        <w:ind w:right="4"/>
      </w:pPr>
      <w:r>
        <w:t>available specifically for Indigenous community participation;</w:t>
      </w:r>
    </w:p>
    <w:p w:rsidR="00580ABF" w:rsidRDefault="00E352FF" w:rsidP="002F5D51">
      <w:pPr>
        <w:pStyle w:val="BodyText"/>
        <w:numPr>
          <w:ilvl w:val="1"/>
          <w:numId w:val="20"/>
        </w:numPr>
        <w:spacing w:before="83"/>
      </w:pPr>
      <w:r>
        <w:t>Young people have a formal seat at the table.</w:t>
      </w:r>
    </w:p>
    <w:p w:rsidR="00580ABF" w:rsidRDefault="00E352FF" w:rsidP="00B16E4A">
      <w:pPr>
        <w:pStyle w:val="Heading3"/>
      </w:pPr>
      <w:r>
        <w:t>OMISSIONS</w:t>
      </w:r>
    </w:p>
    <w:p w:rsidR="00580ABF" w:rsidRDefault="00E352FF">
      <w:pPr>
        <w:pStyle w:val="BodyText"/>
        <w:spacing w:before="6" w:line="211" w:lineRule="auto"/>
        <w:ind w:left="827"/>
      </w:pPr>
      <w:r>
        <w:rPr>
          <w:color w:val="414042"/>
        </w:rPr>
        <w:t>Both the literature and data from the consultations to support</w:t>
      </w:r>
      <w:r>
        <w:rPr>
          <w:color w:val="414042"/>
          <w:spacing w:val="-5"/>
        </w:rPr>
        <w:t xml:space="preserve"> </w:t>
      </w:r>
      <w:r>
        <w:rPr>
          <w:color w:val="414042"/>
        </w:rPr>
        <w:t>the</w:t>
      </w:r>
      <w:r>
        <w:rPr>
          <w:color w:val="414042"/>
          <w:spacing w:val="-3"/>
        </w:rPr>
        <w:t xml:space="preserve"> </w:t>
      </w:r>
      <w:r>
        <w:rPr>
          <w:color w:val="414042"/>
        </w:rPr>
        <w:t>notion</w:t>
      </w:r>
      <w:r>
        <w:rPr>
          <w:color w:val="414042"/>
          <w:spacing w:val="-4"/>
        </w:rPr>
        <w:t xml:space="preserve"> </w:t>
      </w:r>
      <w:r>
        <w:rPr>
          <w:color w:val="414042"/>
        </w:rPr>
        <w:t>that</w:t>
      </w:r>
      <w:r>
        <w:rPr>
          <w:color w:val="414042"/>
          <w:spacing w:val="-3"/>
        </w:rPr>
        <w:t xml:space="preserve"> </w:t>
      </w:r>
      <w:r>
        <w:rPr>
          <w:color w:val="414042"/>
        </w:rPr>
        <w:t>while</w:t>
      </w:r>
      <w:r>
        <w:rPr>
          <w:color w:val="414042"/>
          <w:spacing w:val="-4"/>
        </w:rPr>
        <w:t xml:space="preserve"> </w:t>
      </w:r>
      <w:r>
        <w:rPr>
          <w:color w:val="414042"/>
        </w:rPr>
        <w:t>the</w:t>
      </w:r>
      <w:r>
        <w:rPr>
          <w:color w:val="414042"/>
          <w:spacing w:val="-3"/>
        </w:rPr>
        <w:t xml:space="preserve"> </w:t>
      </w:r>
      <w:r>
        <w:rPr>
          <w:color w:val="414042"/>
        </w:rPr>
        <w:t>inclusions</w:t>
      </w:r>
      <w:r>
        <w:rPr>
          <w:color w:val="414042"/>
          <w:spacing w:val="-4"/>
        </w:rPr>
        <w:t xml:space="preserve"> </w:t>
      </w:r>
      <w:r>
        <w:rPr>
          <w:color w:val="414042"/>
        </w:rPr>
        <w:t>in</w:t>
      </w:r>
      <w:r>
        <w:rPr>
          <w:color w:val="414042"/>
          <w:spacing w:val="-4"/>
        </w:rPr>
        <w:t xml:space="preserve"> </w:t>
      </w:r>
      <w:r>
        <w:rPr>
          <w:color w:val="414042"/>
        </w:rPr>
        <w:t>the</w:t>
      </w:r>
      <w:r>
        <w:rPr>
          <w:color w:val="414042"/>
          <w:spacing w:val="-4"/>
        </w:rPr>
        <w:t xml:space="preserve"> </w:t>
      </w:r>
      <w:r>
        <w:rPr>
          <w:color w:val="414042"/>
        </w:rPr>
        <w:t>Closing the Gap framework are generally supported, it is the omissions that may be blocking the ability to achieve the objectives.</w:t>
      </w:r>
    </w:p>
    <w:p w:rsidR="00580ABF" w:rsidRDefault="00E352FF">
      <w:pPr>
        <w:pStyle w:val="BodyText"/>
        <w:spacing w:before="109" w:line="211" w:lineRule="auto"/>
        <w:ind w:left="827" w:right="54"/>
      </w:pPr>
      <w:bookmarkStart w:id="11" w:name="_Hlk506310018"/>
      <w:bookmarkEnd w:id="11"/>
      <w:r>
        <w:rPr>
          <w:color w:val="414042"/>
        </w:rPr>
        <w:t>The issue of trans-generational trauma and the impacts this has on Indigenous communities is well documented in the literature. Experience pointed to the direct correlation of trauma-informed policies and initiatives to progress against achieving the objectives of Closing the Gap. The policy framework does not raise this issue and is void of any understanding of the impacts of trauma individually and collectively.</w:t>
      </w:r>
    </w:p>
    <w:p w:rsidR="00580ABF" w:rsidRDefault="00E352FF">
      <w:pPr>
        <w:pStyle w:val="BodyText"/>
        <w:spacing w:before="105" w:line="211" w:lineRule="auto"/>
        <w:ind w:left="827" w:right="-17"/>
      </w:pPr>
      <w:r>
        <w:rPr>
          <w:color w:val="414042"/>
        </w:rPr>
        <w:t>The negative impact of racism on health and wellbeing is well documented and was raised in consultations. In fact, the majority of those consulted spoke of the impacts of racism in the context of policy and service delivery. The perceived paternalistic approaches to service delivery by mainstream organisations and the increasing, seemingly publicly accepted, intolerance for cultural difference does and has impacted on achieving equality for Indigenous Australians.</w:t>
      </w:r>
    </w:p>
    <w:p w:rsidR="00580ABF" w:rsidRDefault="00E352FF">
      <w:pPr>
        <w:pStyle w:val="BodyText"/>
        <w:spacing w:before="104" w:line="211" w:lineRule="auto"/>
        <w:ind w:left="827" w:right="4"/>
      </w:pPr>
      <w:r>
        <w:rPr>
          <w:color w:val="414042"/>
        </w:rPr>
        <w:t>The omission of certain targets that are needed to Close the Gap is covered in the next section.</w:t>
      </w:r>
    </w:p>
    <w:p w:rsidR="00580ABF" w:rsidRDefault="00E352FF">
      <w:pPr>
        <w:pStyle w:val="BodyText"/>
        <w:spacing w:before="46" w:line="211" w:lineRule="auto"/>
        <w:ind w:left="435" w:right="1249"/>
      </w:pPr>
      <w:r>
        <w:br w:type="column"/>
      </w:r>
      <w:r>
        <w:rPr>
          <w:color w:val="414042"/>
        </w:rPr>
        <w:t>In 2009, the Commonwealth Productivity Commission’s Overcoming Indigenous Disadvantage annual reporting measures were aligned with the COAG targets. The OID report measures the wellbeing of Australia's</w:t>
      </w:r>
      <w:r>
        <w:rPr>
          <w:color w:val="414042"/>
          <w:spacing w:val="-18"/>
        </w:rPr>
        <w:t xml:space="preserve"> </w:t>
      </w:r>
      <w:r>
        <w:rPr>
          <w:color w:val="414042"/>
        </w:rPr>
        <w:t>Indigenous peoples. It provides detailed analysis of the progress of indicators against the seven Closing the Gap targets but also presents analysis of data against a broader range of indicators of health and wellbeing such as early child development, education and training, healthy</w:t>
      </w:r>
      <w:r>
        <w:rPr>
          <w:color w:val="414042"/>
          <w:spacing w:val="-13"/>
        </w:rPr>
        <w:t xml:space="preserve"> </w:t>
      </w:r>
      <w:r>
        <w:rPr>
          <w:color w:val="414042"/>
        </w:rPr>
        <w:t>lives,</w:t>
      </w:r>
    </w:p>
    <w:p w:rsidR="00580ABF" w:rsidRDefault="00E352FF">
      <w:pPr>
        <w:pStyle w:val="BodyText"/>
        <w:spacing w:line="211" w:lineRule="auto"/>
        <w:ind w:left="435" w:right="1116"/>
        <w:jc w:val="both"/>
      </w:pPr>
      <w:r>
        <w:rPr>
          <w:color w:val="414042"/>
        </w:rPr>
        <w:t>economic</w:t>
      </w:r>
      <w:r>
        <w:rPr>
          <w:color w:val="414042"/>
          <w:spacing w:val="-8"/>
        </w:rPr>
        <w:t xml:space="preserve"> </w:t>
      </w:r>
      <w:r>
        <w:rPr>
          <w:color w:val="414042"/>
        </w:rPr>
        <w:t>participation,</w:t>
      </w:r>
      <w:r>
        <w:rPr>
          <w:color w:val="414042"/>
          <w:spacing w:val="-8"/>
        </w:rPr>
        <w:t xml:space="preserve"> </w:t>
      </w:r>
      <w:r>
        <w:rPr>
          <w:color w:val="414042"/>
        </w:rPr>
        <w:t>home</w:t>
      </w:r>
      <w:r>
        <w:rPr>
          <w:color w:val="414042"/>
          <w:spacing w:val="-7"/>
        </w:rPr>
        <w:t xml:space="preserve"> </w:t>
      </w:r>
      <w:r>
        <w:rPr>
          <w:color w:val="414042"/>
        </w:rPr>
        <w:t>environment,</w:t>
      </w:r>
      <w:r>
        <w:rPr>
          <w:color w:val="414042"/>
          <w:spacing w:val="-7"/>
        </w:rPr>
        <w:t xml:space="preserve"> </w:t>
      </w:r>
      <w:r>
        <w:rPr>
          <w:color w:val="414042"/>
        </w:rPr>
        <w:t>and</w:t>
      </w:r>
      <w:r>
        <w:rPr>
          <w:color w:val="414042"/>
          <w:spacing w:val="-7"/>
        </w:rPr>
        <w:t xml:space="preserve"> </w:t>
      </w:r>
      <w:r>
        <w:rPr>
          <w:color w:val="414042"/>
        </w:rPr>
        <w:t>safe</w:t>
      </w:r>
      <w:r>
        <w:rPr>
          <w:color w:val="414042"/>
          <w:spacing w:val="-7"/>
        </w:rPr>
        <w:t xml:space="preserve"> </w:t>
      </w:r>
      <w:r>
        <w:rPr>
          <w:color w:val="414042"/>
        </w:rPr>
        <w:t>and supportive</w:t>
      </w:r>
      <w:r>
        <w:rPr>
          <w:color w:val="414042"/>
          <w:spacing w:val="-6"/>
        </w:rPr>
        <w:t xml:space="preserve"> </w:t>
      </w:r>
      <w:r>
        <w:rPr>
          <w:color w:val="414042"/>
        </w:rPr>
        <w:t>communities.</w:t>
      </w:r>
      <w:r>
        <w:rPr>
          <w:color w:val="414042"/>
          <w:spacing w:val="-7"/>
        </w:rPr>
        <w:t xml:space="preserve"> </w:t>
      </w:r>
      <w:r>
        <w:rPr>
          <w:color w:val="414042"/>
        </w:rPr>
        <w:t>Progress</w:t>
      </w:r>
      <w:r>
        <w:rPr>
          <w:color w:val="414042"/>
          <w:spacing w:val="-6"/>
        </w:rPr>
        <w:t xml:space="preserve"> </w:t>
      </w:r>
      <w:r>
        <w:rPr>
          <w:color w:val="414042"/>
        </w:rPr>
        <w:t>is</w:t>
      </w:r>
      <w:r>
        <w:rPr>
          <w:color w:val="414042"/>
          <w:spacing w:val="-7"/>
        </w:rPr>
        <w:t xml:space="preserve"> </w:t>
      </w:r>
      <w:r>
        <w:rPr>
          <w:color w:val="414042"/>
        </w:rPr>
        <w:t>discussed</w:t>
      </w:r>
      <w:r>
        <w:rPr>
          <w:color w:val="414042"/>
          <w:spacing w:val="-7"/>
        </w:rPr>
        <w:t xml:space="preserve"> </w:t>
      </w:r>
      <w:r>
        <w:rPr>
          <w:color w:val="414042"/>
        </w:rPr>
        <w:t>in</w:t>
      </w:r>
      <w:r>
        <w:rPr>
          <w:color w:val="414042"/>
          <w:spacing w:val="-7"/>
        </w:rPr>
        <w:t xml:space="preserve"> </w:t>
      </w:r>
      <w:r>
        <w:rPr>
          <w:color w:val="414042"/>
        </w:rPr>
        <w:t>the</w:t>
      </w:r>
      <w:r>
        <w:rPr>
          <w:color w:val="414042"/>
          <w:spacing w:val="-5"/>
        </w:rPr>
        <w:t xml:space="preserve"> </w:t>
      </w:r>
      <w:r>
        <w:rPr>
          <w:color w:val="414042"/>
        </w:rPr>
        <w:t>next section.</w:t>
      </w:r>
    </w:p>
    <w:p w:rsidR="00580ABF" w:rsidRDefault="00E352FF">
      <w:pPr>
        <w:pStyle w:val="BodyText"/>
        <w:spacing w:before="102" w:line="211" w:lineRule="auto"/>
        <w:ind w:left="435" w:right="846"/>
        <w:rPr>
          <w:color w:val="414042"/>
        </w:rPr>
      </w:pPr>
      <w:r>
        <w:rPr>
          <w:color w:val="414042"/>
        </w:rPr>
        <w:t>The report also includes case studies of policies and programs that have been demonstrated to have made a difference to the health and wellbeing of Aboriginal and Torres Strait Islander peoples (SCRGSP, 2016).</w:t>
      </w:r>
    </w:p>
    <w:p w:rsidR="0091510D" w:rsidRPr="0091510D" w:rsidRDefault="0091510D" w:rsidP="0091510D">
      <w:pPr>
        <w:pStyle w:val="BodyText"/>
        <w:spacing w:line="211" w:lineRule="auto"/>
        <w:ind w:left="516" w:right="364"/>
        <w:rPr>
          <w:b/>
        </w:rPr>
      </w:pPr>
    </w:p>
    <w:p w:rsidR="0091510D" w:rsidRPr="0091510D" w:rsidRDefault="0091510D" w:rsidP="009D21EF">
      <w:pPr>
        <w:pStyle w:val="BodyText"/>
        <w:spacing w:line="211" w:lineRule="auto"/>
        <w:ind w:left="435" w:right="364"/>
        <w:rPr>
          <w:b/>
        </w:rPr>
      </w:pPr>
      <w:r w:rsidRPr="0091510D">
        <w:rPr>
          <w:b/>
        </w:rPr>
        <w:t>A key message is the evidence pointing to the interconnected nature of the targets in Closing the Gap to other indicators of Indigenous social and emotional wellbeing and that a more holistic view would be</w:t>
      </w:r>
      <w:r>
        <w:rPr>
          <w:b/>
        </w:rPr>
        <w:t xml:space="preserve"> </w:t>
      </w:r>
      <w:r w:rsidRPr="0091510D">
        <w:rPr>
          <w:b/>
        </w:rPr>
        <w:t>beneficial in targeting need and Closing the Gap.</w:t>
      </w:r>
    </w:p>
    <w:p w:rsidR="00580ABF" w:rsidRPr="0091510D" w:rsidRDefault="00580ABF" w:rsidP="0091510D">
      <w:pPr>
        <w:pStyle w:val="BodyText"/>
        <w:spacing w:line="211" w:lineRule="auto"/>
        <w:ind w:left="516" w:right="364"/>
        <w:rPr>
          <w:b/>
        </w:rPr>
      </w:pPr>
    </w:p>
    <w:p w:rsidR="00580ABF" w:rsidRDefault="00580ABF">
      <w:pPr>
        <w:spacing w:line="211" w:lineRule="auto"/>
        <w:sectPr w:rsidR="00580ABF">
          <w:type w:val="continuous"/>
          <w:pgSz w:w="11910" w:h="16840"/>
          <w:pgMar w:top="1580" w:right="180" w:bottom="280" w:left="420" w:header="720" w:footer="720" w:gutter="0"/>
          <w:cols w:num="2" w:space="720" w:equalWidth="0">
            <w:col w:w="5284" w:space="40"/>
            <w:col w:w="5986"/>
          </w:cols>
        </w:sectPr>
      </w:pPr>
    </w:p>
    <w:p w:rsidR="00580ABF" w:rsidRPr="00357CAD" w:rsidRDefault="00357CAD" w:rsidP="00A244CC">
      <w:pPr>
        <w:pStyle w:val="Heading2"/>
      </w:pPr>
      <w:r w:rsidRPr="00357CAD">
        <w:t>THEME 2: TARGETS</w:t>
      </w:r>
    </w:p>
    <w:p w:rsidR="00580ABF" w:rsidRDefault="00580ABF">
      <w:pPr>
        <w:pStyle w:val="BodyText"/>
        <w:spacing w:before="5"/>
        <w:rPr>
          <w:sz w:val="24"/>
        </w:rPr>
      </w:pPr>
    </w:p>
    <w:p w:rsidR="00580ABF" w:rsidRDefault="00580ABF">
      <w:pPr>
        <w:rPr>
          <w:sz w:val="24"/>
        </w:rPr>
        <w:sectPr w:rsidR="00580ABF">
          <w:pgSz w:w="11910" w:h="16840"/>
          <w:pgMar w:top="0" w:right="180" w:bottom="380" w:left="420" w:header="0" w:footer="183" w:gutter="0"/>
          <w:cols w:space="720"/>
        </w:sectPr>
      </w:pPr>
    </w:p>
    <w:p w:rsidR="00580ABF" w:rsidRDefault="00E352FF" w:rsidP="00B16E4A">
      <w:pPr>
        <w:pStyle w:val="Heading3"/>
      </w:pPr>
      <w:r>
        <w:t>Introduction</w:t>
      </w:r>
    </w:p>
    <w:p w:rsidR="00580ABF" w:rsidRDefault="00E352FF">
      <w:pPr>
        <w:pStyle w:val="BodyText"/>
        <w:spacing w:before="23" w:line="211" w:lineRule="auto"/>
        <w:ind w:left="827" w:right="3"/>
      </w:pPr>
      <w:r>
        <w:rPr>
          <w:color w:val="414042"/>
          <w:spacing w:val="-4"/>
        </w:rPr>
        <w:t xml:space="preserve">We </w:t>
      </w:r>
      <w:r>
        <w:rPr>
          <w:color w:val="414042"/>
        </w:rPr>
        <w:t>have taken the approach of addressing targets as an overarching theme.  While targets are, of course, a part of the Closing the Gap framework and therefore could be included in Theme 1 they are the most referred to part of Closing</w:t>
      </w:r>
      <w:r>
        <w:rPr>
          <w:color w:val="414042"/>
          <w:spacing w:val="-4"/>
        </w:rPr>
        <w:t xml:space="preserve"> </w:t>
      </w:r>
      <w:r>
        <w:rPr>
          <w:color w:val="414042"/>
        </w:rPr>
        <w:t>the</w:t>
      </w:r>
      <w:r>
        <w:rPr>
          <w:color w:val="414042"/>
          <w:spacing w:val="-3"/>
        </w:rPr>
        <w:t xml:space="preserve"> </w:t>
      </w:r>
      <w:r>
        <w:rPr>
          <w:color w:val="414042"/>
        </w:rPr>
        <w:t>Gap</w:t>
      </w:r>
      <w:r>
        <w:rPr>
          <w:color w:val="414042"/>
          <w:spacing w:val="-3"/>
        </w:rPr>
        <w:t xml:space="preserve"> </w:t>
      </w:r>
      <w:r>
        <w:rPr>
          <w:color w:val="414042"/>
        </w:rPr>
        <w:t>and</w:t>
      </w:r>
      <w:r>
        <w:rPr>
          <w:color w:val="414042"/>
          <w:spacing w:val="-3"/>
        </w:rPr>
        <w:t xml:space="preserve"> </w:t>
      </w:r>
      <w:r>
        <w:rPr>
          <w:color w:val="414042"/>
        </w:rPr>
        <w:t>a</w:t>
      </w:r>
      <w:r>
        <w:rPr>
          <w:color w:val="414042"/>
          <w:spacing w:val="-4"/>
        </w:rPr>
        <w:t xml:space="preserve"> </w:t>
      </w:r>
      <w:r>
        <w:rPr>
          <w:color w:val="414042"/>
        </w:rPr>
        <w:t>strong</w:t>
      </w:r>
      <w:r>
        <w:rPr>
          <w:color w:val="414042"/>
          <w:spacing w:val="-3"/>
        </w:rPr>
        <w:t xml:space="preserve"> </w:t>
      </w:r>
      <w:r>
        <w:rPr>
          <w:color w:val="414042"/>
        </w:rPr>
        <w:t>focus</w:t>
      </w:r>
      <w:r>
        <w:rPr>
          <w:color w:val="414042"/>
          <w:spacing w:val="-4"/>
        </w:rPr>
        <w:t xml:space="preserve"> </w:t>
      </w:r>
      <w:r>
        <w:rPr>
          <w:color w:val="414042"/>
        </w:rPr>
        <w:t>of</w:t>
      </w:r>
      <w:r>
        <w:rPr>
          <w:color w:val="414042"/>
          <w:spacing w:val="-4"/>
        </w:rPr>
        <w:t xml:space="preserve"> </w:t>
      </w:r>
      <w:r>
        <w:rPr>
          <w:color w:val="414042"/>
        </w:rPr>
        <w:t>this</w:t>
      </w:r>
      <w:r>
        <w:rPr>
          <w:color w:val="414042"/>
          <w:spacing w:val="-2"/>
        </w:rPr>
        <w:t xml:space="preserve"> </w:t>
      </w:r>
      <w:r>
        <w:rPr>
          <w:color w:val="414042"/>
        </w:rPr>
        <w:t>project,</w:t>
      </w:r>
      <w:r>
        <w:rPr>
          <w:color w:val="414042"/>
          <w:spacing w:val="-4"/>
        </w:rPr>
        <w:t xml:space="preserve"> </w:t>
      </w:r>
      <w:r>
        <w:rPr>
          <w:color w:val="414042"/>
        </w:rPr>
        <w:t>and</w:t>
      </w:r>
      <w:r>
        <w:rPr>
          <w:color w:val="414042"/>
          <w:spacing w:val="-4"/>
        </w:rPr>
        <w:t xml:space="preserve"> </w:t>
      </w:r>
      <w:r>
        <w:rPr>
          <w:color w:val="414042"/>
        </w:rPr>
        <w:t>the</w:t>
      </w:r>
    </w:p>
    <w:p w:rsidR="00580ABF" w:rsidRDefault="00E352FF">
      <w:pPr>
        <w:pStyle w:val="BodyText"/>
        <w:spacing w:line="211" w:lineRule="auto"/>
        <w:ind w:left="827"/>
      </w:pPr>
      <w:r>
        <w:rPr>
          <w:color w:val="414042"/>
        </w:rPr>
        <w:t>subject</w:t>
      </w:r>
      <w:r>
        <w:rPr>
          <w:color w:val="414042"/>
          <w:spacing w:val="-8"/>
        </w:rPr>
        <w:t xml:space="preserve"> </w:t>
      </w:r>
      <w:r>
        <w:rPr>
          <w:color w:val="414042"/>
        </w:rPr>
        <w:t>of</w:t>
      </w:r>
      <w:r>
        <w:rPr>
          <w:color w:val="414042"/>
          <w:spacing w:val="-8"/>
        </w:rPr>
        <w:t xml:space="preserve"> </w:t>
      </w:r>
      <w:r>
        <w:rPr>
          <w:color w:val="414042"/>
        </w:rPr>
        <w:t>much</w:t>
      </w:r>
      <w:r>
        <w:rPr>
          <w:color w:val="414042"/>
          <w:spacing w:val="-6"/>
        </w:rPr>
        <w:t xml:space="preserve"> </w:t>
      </w:r>
      <w:r>
        <w:rPr>
          <w:color w:val="414042"/>
        </w:rPr>
        <w:t>reflection</w:t>
      </w:r>
      <w:r>
        <w:rPr>
          <w:color w:val="414042"/>
          <w:spacing w:val="-8"/>
        </w:rPr>
        <w:t xml:space="preserve"> </w:t>
      </w:r>
      <w:r>
        <w:rPr>
          <w:color w:val="414042"/>
        </w:rPr>
        <w:t>and</w:t>
      </w:r>
      <w:r>
        <w:rPr>
          <w:color w:val="414042"/>
          <w:spacing w:val="-7"/>
        </w:rPr>
        <w:t xml:space="preserve"> </w:t>
      </w:r>
      <w:r>
        <w:rPr>
          <w:color w:val="414042"/>
        </w:rPr>
        <w:t>opinion</w:t>
      </w:r>
      <w:r>
        <w:rPr>
          <w:color w:val="414042"/>
          <w:spacing w:val="-8"/>
        </w:rPr>
        <w:t xml:space="preserve"> </w:t>
      </w:r>
      <w:r>
        <w:rPr>
          <w:color w:val="414042"/>
        </w:rPr>
        <w:t>from</w:t>
      </w:r>
      <w:r>
        <w:rPr>
          <w:color w:val="414042"/>
          <w:spacing w:val="-8"/>
        </w:rPr>
        <w:t xml:space="preserve"> </w:t>
      </w:r>
      <w:r>
        <w:rPr>
          <w:color w:val="414042"/>
        </w:rPr>
        <w:t>stakeholders, as well as being covered extensively in the</w:t>
      </w:r>
      <w:r>
        <w:rPr>
          <w:color w:val="414042"/>
          <w:spacing w:val="-21"/>
        </w:rPr>
        <w:t xml:space="preserve"> </w:t>
      </w:r>
      <w:r>
        <w:rPr>
          <w:color w:val="414042"/>
        </w:rPr>
        <w:t>literature.</w:t>
      </w:r>
    </w:p>
    <w:p w:rsidR="00580ABF" w:rsidRDefault="00E352FF">
      <w:pPr>
        <w:pStyle w:val="BodyText"/>
        <w:spacing w:line="211" w:lineRule="auto"/>
        <w:ind w:left="827" w:right="159"/>
      </w:pPr>
      <w:r>
        <w:rPr>
          <w:color w:val="414042"/>
        </w:rPr>
        <w:t>Indeed the “Gap” is what is measured by the targets and meeting the targets (or not) is the most scrutinized component of Closing the Gap.</w:t>
      </w:r>
    </w:p>
    <w:p w:rsidR="00580ABF" w:rsidRDefault="00580ABF">
      <w:pPr>
        <w:pStyle w:val="BodyText"/>
        <w:spacing w:before="2"/>
        <w:rPr>
          <w:sz w:val="12"/>
        </w:rPr>
      </w:pPr>
    </w:p>
    <w:p w:rsidR="00580ABF" w:rsidRDefault="00E352FF">
      <w:pPr>
        <w:pStyle w:val="Heading4"/>
        <w:spacing w:line="307" w:lineRule="exact"/>
      </w:pPr>
      <w:r>
        <w:rPr>
          <w:color w:val="03626A"/>
        </w:rPr>
        <w:t>THIS THEME RESPONDS TO QUESTIONS:</w:t>
      </w:r>
    </w:p>
    <w:p w:rsidR="00580ABF" w:rsidRDefault="00E352FF">
      <w:pPr>
        <w:spacing w:before="52" w:line="182" w:lineRule="auto"/>
        <w:ind w:left="827" w:right="281"/>
        <w:jc w:val="both"/>
        <w:rPr>
          <w:b/>
        </w:rPr>
      </w:pPr>
      <w:r>
        <w:rPr>
          <w:b/>
          <w:color w:val="052B33"/>
        </w:rPr>
        <w:t>How appropriate was the design of the policy framework to achieve the objective of</w:t>
      </w:r>
      <w:r>
        <w:rPr>
          <w:b/>
          <w:color w:val="052B33"/>
          <w:spacing w:val="-28"/>
        </w:rPr>
        <w:t xml:space="preserve"> </w:t>
      </w:r>
      <w:r>
        <w:rPr>
          <w:b/>
          <w:color w:val="052B33"/>
        </w:rPr>
        <w:t>Closing the</w:t>
      </w:r>
      <w:r>
        <w:rPr>
          <w:b/>
          <w:color w:val="052B33"/>
          <w:spacing w:val="-1"/>
        </w:rPr>
        <w:t xml:space="preserve"> </w:t>
      </w:r>
      <w:r>
        <w:rPr>
          <w:b/>
          <w:color w:val="052B33"/>
        </w:rPr>
        <w:t>Gap?</w:t>
      </w:r>
    </w:p>
    <w:p w:rsidR="00580ABF" w:rsidRDefault="00E352FF">
      <w:pPr>
        <w:spacing w:before="110" w:line="182" w:lineRule="auto"/>
        <w:ind w:left="827"/>
        <w:rPr>
          <w:b/>
        </w:rPr>
      </w:pPr>
      <w:r>
        <w:rPr>
          <w:b/>
          <w:color w:val="052B33"/>
        </w:rPr>
        <w:t>To what extent did the policy framework and components of the NIRA assist in meeting objectives?</w:t>
      </w:r>
    </w:p>
    <w:p w:rsidR="00580ABF" w:rsidRDefault="00E352FF" w:rsidP="003A0C0E">
      <w:pPr>
        <w:pStyle w:val="BodyText"/>
        <w:ind w:left="107" w:firstLine="720"/>
      </w:pPr>
      <w:r>
        <w:t>Background: Progress to date on Closing the Gap targets</w:t>
      </w:r>
    </w:p>
    <w:p w:rsidR="00580ABF" w:rsidRDefault="00E352FF">
      <w:pPr>
        <w:pStyle w:val="BodyText"/>
        <w:spacing w:before="41" w:line="211" w:lineRule="auto"/>
        <w:ind w:left="827"/>
      </w:pPr>
      <w:r>
        <w:rPr>
          <w:color w:val="414042"/>
        </w:rPr>
        <w:t>The annual Prime Minister’s Closing the Gap Report and the Productivity Commission’s Overcoming Indigenous Disadvantage reports are the key public sources of evidence of progress of the Closing the Gap initiative and specifically progress against the seven targets.</w:t>
      </w:r>
    </w:p>
    <w:p w:rsidR="00580ABF" w:rsidRDefault="00E352FF">
      <w:pPr>
        <w:pStyle w:val="BodyText"/>
        <w:spacing w:before="108" w:line="211" w:lineRule="auto"/>
        <w:ind w:left="827" w:right="-15"/>
      </w:pPr>
      <w:r>
        <w:rPr>
          <w:color w:val="414042"/>
        </w:rPr>
        <w:t>The Prime Minister’s report is produced annually and provides detailed analysis of progress against the seven targets as well as commentary on key policy initiatives implemented to address these targets and case studies of programs or initiatives that have contributed to progress against the targets.</w:t>
      </w:r>
    </w:p>
    <w:p w:rsidR="00580ABF" w:rsidRDefault="00E352FF">
      <w:pPr>
        <w:pStyle w:val="BodyText"/>
        <w:spacing w:before="108" w:line="211" w:lineRule="auto"/>
        <w:ind w:left="827" w:right="159"/>
      </w:pPr>
      <w:r>
        <w:rPr>
          <w:color w:val="414042"/>
        </w:rPr>
        <w:t>While the report presents evidence of improvements over time, for the most part progress towards each of the targets has not occurred and is discussed in greater context in the Prime Minister’s annual reports.</w:t>
      </w:r>
    </w:p>
    <w:p w:rsidR="00580ABF" w:rsidRDefault="00E352FF">
      <w:pPr>
        <w:pStyle w:val="BodyText"/>
        <w:spacing w:before="109" w:line="211" w:lineRule="auto"/>
        <w:ind w:left="827" w:right="159"/>
      </w:pPr>
      <w:r>
        <w:rPr>
          <w:color w:val="414042"/>
        </w:rPr>
        <w:t>The Productivity Commission’s Overcoming Indigenous Disadvantage (OID) reports have been published every 2-3 years since 2003. These reports commenced prior to the NIRA when in April 2002, COAG commissioned a Steering Committee to produce a regular report against key indicators of Indigenous disadvantage. (SCRGSP,</w:t>
      </w:r>
    </w:p>
    <w:p w:rsidR="00580ABF" w:rsidRDefault="00E352FF">
      <w:pPr>
        <w:pStyle w:val="BodyText"/>
        <w:spacing w:line="211" w:lineRule="auto"/>
        <w:ind w:left="827"/>
      </w:pPr>
      <w:r>
        <w:rPr>
          <w:color w:val="414042"/>
        </w:rPr>
        <w:t>2016). As discussed in the previous section the OID</w:t>
      </w:r>
      <w:r>
        <w:rPr>
          <w:color w:val="414042"/>
          <w:spacing w:val="-29"/>
        </w:rPr>
        <w:t xml:space="preserve"> </w:t>
      </w:r>
      <w:r>
        <w:rPr>
          <w:color w:val="414042"/>
        </w:rPr>
        <w:t>report was aligned to the COAG Closing the Gap targets in</w:t>
      </w:r>
      <w:r>
        <w:rPr>
          <w:color w:val="414042"/>
          <w:spacing w:val="-29"/>
        </w:rPr>
        <w:t xml:space="preserve"> </w:t>
      </w:r>
      <w:r>
        <w:rPr>
          <w:color w:val="414042"/>
        </w:rPr>
        <w:t>2009.</w:t>
      </w:r>
    </w:p>
    <w:p w:rsidR="00357CAD" w:rsidRDefault="00E352FF" w:rsidP="00676DCC">
      <w:pPr>
        <w:pStyle w:val="BodyText"/>
        <w:spacing w:before="7"/>
        <w:rPr>
          <w:color w:val="03626A"/>
        </w:rPr>
      </w:pPr>
      <w:r>
        <w:br w:type="column"/>
      </w:r>
    </w:p>
    <w:p w:rsidR="0091510D" w:rsidRPr="0091510D" w:rsidRDefault="003A0C0E" w:rsidP="003A0C0E">
      <w:pPr>
        <w:pStyle w:val="Heading3"/>
        <w:ind w:left="0" w:firstLine="433"/>
      </w:pPr>
      <w:r>
        <w:t>Wider Measures of Wellbeing</w:t>
      </w:r>
    </w:p>
    <w:p w:rsidR="0091510D" w:rsidRPr="0091510D" w:rsidRDefault="0091510D" w:rsidP="0091510D">
      <w:pPr>
        <w:spacing w:before="52" w:line="182" w:lineRule="auto"/>
        <w:ind w:left="433" w:right="281"/>
        <w:jc w:val="both"/>
        <w:rPr>
          <w:b/>
          <w:color w:val="052B33"/>
        </w:rPr>
      </w:pPr>
      <w:r w:rsidRPr="0091510D">
        <w:rPr>
          <w:b/>
          <w:color w:val="052B33"/>
        </w:rPr>
        <w:t xml:space="preserve">A </w:t>
      </w:r>
      <w:bookmarkStart w:id="12" w:name="_Hlk501621488"/>
      <w:bookmarkEnd w:id="12"/>
      <w:r w:rsidRPr="0091510D">
        <w:rPr>
          <w:b/>
          <w:color w:val="052B33"/>
        </w:rPr>
        <w:t>prevailing theme and key message from literature and our research is the concept of putting culture at the centre of Closing the Gap.</w:t>
      </w:r>
    </w:p>
    <w:p w:rsidR="0091510D" w:rsidRDefault="0091510D">
      <w:pPr>
        <w:pStyle w:val="BodyText"/>
        <w:spacing w:line="211" w:lineRule="auto"/>
        <w:ind w:left="433" w:right="1253"/>
        <w:rPr>
          <w:color w:val="414042"/>
        </w:rPr>
      </w:pPr>
    </w:p>
    <w:p w:rsidR="00580ABF" w:rsidRDefault="00E352FF">
      <w:pPr>
        <w:pStyle w:val="BodyText"/>
        <w:spacing w:line="211" w:lineRule="auto"/>
        <w:ind w:left="433" w:right="1253"/>
      </w:pPr>
      <w:r>
        <w:rPr>
          <w:color w:val="414042"/>
        </w:rPr>
        <w:t>It is presumed that this is what including a recognition of culture within the framework was trying to achieve.</w:t>
      </w:r>
    </w:p>
    <w:p w:rsidR="00580ABF" w:rsidRDefault="00E352FF">
      <w:pPr>
        <w:pStyle w:val="BodyText"/>
        <w:spacing w:line="211" w:lineRule="auto"/>
        <w:ind w:left="433" w:right="1469"/>
      </w:pPr>
      <w:r>
        <w:rPr>
          <w:color w:val="414042"/>
        </w:rPr>
        <w:t>This issue was discussed by a significant proportion of stakeholders consulted as well as discussed in the</w:t>
      </w:r>
    </w:p>
    <w:p w:rsidR="00580ABF" w:rsidRDefault="00E352FF">
      <w:pPr>
        <w:pStyle w:val="BodyText"/>
        <w:spacing w:line="211" w:lineRule="auto"/>
        <w:ind w:left="433" w:right="1073"/>
      </w:pPr>
      <w:r>
        <w:rPr>
          <w:color w:val="414042"/>
        </w:rPr>
        <w:t>literature</w:t>
      </w:r>
      <w:r>
        <w:rPr>
          <w:color w:val="414042"/>
          <w:spacing w:val="-6"/>
        </w:rPr>
        <w:t xml:space="preserve"> </w:t>
      </w:r>
      <w:r>
        <w:rPr>
          <w:color w:val="414042"/>
        </w:rPr>
        <w:t>in</w:t>
      </w:r>
      <w:r>
        <w:rPr>
          <w:color w:val="414042"/>
          <w:spacing w:val="-6"/>
        </w:rPr>
        <w:t xml:space="preserve"> </w:t>
      </w:r>
      <w:r>
        <w:rPr>
          <w:color w:val="414042"/>
        </w:rPr>
        <w:t>the</w:t>
      </w:r>
      <w:r>
        <w:rPr>
          <w:color w:val="414042"/>
          <w:spacing w:val="-5"/>
        </w:rPr>
        <w:t xml:space="preserve"> </w:t>
      </w:r>
      <w:r>
        <w:rPr>
          <w:color w:val="414042"/>
        </w:rPr>
        <w:t>context</w:t>
      </w:r>
      <w:r>
        <w:rPr>
          <w:color w:val="414042"/>
          <w:spacing w:val="-5"/>
        </w:rPr>
        <w:t xml:space="preserve"> </w:t>
      </w:r>
      <w:r>
        <w:rPr>
          <w:color w:val="414042"/>
        </w:rPr>
        <w:t>of</w:t>
      </w:r>
      <w:r>
        <w:rPr>
          <w:color w:val="414042"/>
          <w:spacing w:val="-6"/>
        </w:rPr>
        <w:t xml:space="preserve"> </w:t>
      </w:r>
      <w:r>
        <w:rPr>
          <w:color w:val="414042"/>
        </w:rPr>
        <w:t>cultural</w:t>
      </w:r>
      <w:r>
        <w:rPr>
          <w:color w:val="414042"/>
          <w:spacing w:val="-6"/>
        </w:rPr>
        <w:t xml:space="preserve"> </w:t>
      </w:r>
      <w:r>
        <w:rPr>
          <w:color w:val="414042"/>
        </w:rPr>
        <w:t>determinants</w:t>
      </w:r>
      <w:r>
        <w:rPr>
          <w:color w:val="414042"/>
          <w:spacing w:val="-5"/>
        </w:rPr>
        <w:t xml:space="preserve"> </w:t>
      </w:r>
      <w:r>
        <w:rPr>
          <w:color w:val="414042"/>
        </w:rPr>
        <w:t>of</w:t>
      </w:r>
      <w:r>
        <w:rPr>
          <w:color w:val="414042"/>
          <w:spacing w:val="-6"/>
        </w:rPr>
        <w:t xml:space="preserve"> </w:t>
      </w:r>
      <w:r>
        <w:rPr>
          <w:color w:val="414042"/>
        </w:rPr>
        <w:t>health and wellbeing. Leaders from Indigenous-led organisations spoke of the inclusion of cultural determinants in the Closing the Gap framework and argued that efforts being put forward to improve outcomes needed to include these determinants alongside of the social determinants. Much of this additional data also shows limited progress and, in some cases, worsening of outcomes over the past decade. For</w:t>
      </w:r>
      <w:r>
        <w:rPr>
          <w:color w:val="414042"/>
          <w:spacing w:val="-3"/>
        </w:rPr>
        <w:t xml:space="preserve"> </w:t>
      </w:r>
      <w:r>
        <w:rPr>
          <w:color w:val="414042"/>
        </w:rPr>
        <w:t>example:</w:t>
      </w:r>
    </w:p>
    <w:p w:rsidR="00580ABF" w:rsidRDefault="00E352FF" w:rsidP="002F5D51">
      <w:pPr>
        <w:pStyle w:val="BodyText"/>
        <w:numPr>
          <w:ilvl w:val="0"/>
          <w:numId w:val="21"/>
        </w:numPr>
        <w:spacing w:before="101" w:line="211" w:lineRule="auto"/>
        <w:ind w:right="1512"/>
      </w:pPr>
      <w:r>
        <w:t>Rates of family and community violence were unchanged between 2002 and 2014-15 (around 22 per cent) and high risk long-term alcohol use in 2014-15 was similar to 2002 (although lower than 2008)</w:t>
      </w:r>
    </w:p>
    <w:p w:rsidR="00580ABF" w:rsidRDefault="00E352FF" w:rsidP="002F5D51">
      <w:pPr>
        <w:pStyle w:val="BodyText"/>
        <w:numPr>
          <w:ilvl w:val="0"/>
          <w:numId w:val="21"/>
        </w:numPr>
        <w:spacing w:before="108" w:line="211" w:lineRule="auto"/>
        <w:ind w:right="1616"/>
        <w:jc w:val="both"/>
      </w:pPr>
      <w:r>
        <w:rPr>
          <w:spacing w:val="2"/>
        </w:rPr>
        <w:t xml:space="preserve">The </w:t>
      </w:r>
      <w:r>
        <w:t>proportions of people learning and speaking Indigenous languages remained unchanged</w:t>
      </w:r>
      <w:r>
        <w:rPr>
          <w:spacing w:val="-25"/>
        </w:rPr>
        <w:t xml:space="preserve"> </w:t>
      </w:r>
      <w:r>
        <w:t>from 2008 to</w:t>
      </w:r>
      <w:r>
        <w:rPr>
          <w:spacing w:val="-2"/>
        </w:rPr>
        <w:t xml:space="preserve"> </w:t>
      </w:r>
      <w:r>
        <w:t>2014-15</w:t>
      </w:r>
    </w:p>
    <w:p w:rsidR="00580ABF" w:rsidRDefault="00E352FF" w:rsidP="002F5D51">
      <w:pPr>
        <w:pStyle w:val="BodyText"/>
        <w:numPr>
          <w:ilvl w:val="0"/>
          <w:numId w:val="21"/>
        </w:numPr>
        <w:spacing w:before="110" w:line="211" w:lineRule="auto"/>
        <w:ind w:right="1758"/>
      </w:pPr>
      <w:r>
        <w:t>The proportion of adults reporting high-levels of psychological distress increased from 27 per cent in 2004-05 to 33 per cent in 2014-15, and</w:t>
      </w:r>
      <w:r w:rsidR="002F5D51">
        <w:t xml:space="preserve"> </w:t>
      </w:r>
      <w:r>
        <w:t>hospitalisations for self-harm increased by 56 per cent over this period (SCRGSP, 2016).</w:t>
      </w:r>
    </w:p>
    <w:p w:rsidR="00580ABF" w:rsidRDefault="00E352FF">
      <w:pPr>
        <w:pStyle w:val="BodyText"/>
        <w:spacing w:before="109" w:line="211" w:lineRule="auto"/>
        <w:ind w:left="433" w:right="1214"/>
      </w:pPr>
      <w:r>
        <w:rPr>
          <w:color w:val="414042"/>
        </w:rPr>
        <w:t xml:space="preserve">The data from the literature and viewpoints from the consultations highlighted the intergenerational impacts that the loss of culture has on the health and economic wellbeing of Indigenous Australians. As noted in the National Aboriginal and </w:t>
      </w:r>
      <w:r>
        <w:rPr>
          <w:color w:val="414042"/>
          <w:spacing w:val="-4"/>
        </w:rPr>
        <w:t xml:space="preserve">Torres </w:t>
      </w:r>
      <w:r>
        <w:rPr>
          <w:color w:val="414042"/>
        </w:rPr>
        <w:t>Strait Islander Health Plan</w:t>
      </w:r>
      <w:r>
        <w:rPr>
          <w:color w:val="414042"/>
          <w:spacing w:val="-6"/>
        </w:rPr>
        <w:t xml:space="preserve"> </w:t>
      </w:r>
      <w:r>
        <w:rPr>
          <w:color w:val="414042"/>
        </w:rPr>
        <w:t>2013-2023,</w:t>
      </w:r>
      <w:r>
        <w:rPr>
          <w:color w:val="414042"/>
          <w:spacing w:val="-5"/>
        </w:rPr>
        <w:t xml:space="preserve"> </w:t>
      </w:r>
      <w:r>
        <w:rPr>
          <w:color w:val="414042"/>
        </w:rPr>
        <w:t>culture</w:t>
      </w:r>
      <w:r>
        <w:rPr>
          <w:color w:val="414042"/>
          <w:spacing w:val="-5"/>
        </w:rPr>
        <w:t xml:space="preserve"> </w:t>
      </w:r>
      <w:r>
        <w:rPr>
          <w:color w:val="414042"/>
        </w:rPr>
        <w:t>must</w:t>
      </w:r>
      <w:r>
        <w:rPr>
          <w:color w:val="414042"/>
          <w:spacing w:val="-5"/>
        </w:rPr>
        <w:t xml:space="preserve"> </w:t>
      </w:r>
      <w:r>
        <w:rPr>
          <w:color w:val="414042"/>
        </w:rPr>
        <w:t>be</w:t>
      </w:r>
      <w:r>
        <w:rPr>
          <w:color w:val="414042"/>
          <w:spacing w:val="-6"/>
        </w:rPr>
        <w:t xml:space="preserve"> </w:t>
      </w:r>
      <w:r>
        <w:rPr>
          <w:color w:val="414042"/>
        </w:rPr>
        <w:t>differentiated</w:t>
      </w:r>
      <w:r>
        <w:rPr>
          <w:color w:val="414042"/>
          <w:spacing w:val="-5"/>
        </w:rPr>
        <w:t xml:space="preserve"> </w:t>
      </w:r>
      <w:r>
        <w:rPr>
          <w:color w:val="414042"/>
        </w:rPr>
        <w:t>from</w:t>
      </w:r>
      <w:r>
        <w:rPr>
          <w:color w:val="414042"/>
          <w:spacing w:val="-6"/>
        </w:rPr>
        <w:t xml:space="preserve"> </w:t>
      </w:r>
      <w:r>
        <w:rPr>
          <w:color w:val="414042"/>
        </w:rPr>
        <w:t xml:space="preserve">the excessive behaviours that contribute to ill-health and harm. </w:t>
      </w:r>
      <w:r>
        <w:rPr>
          <w:color w:val="414042"/>
          <w:spacing w:val="-3"/>
        </w:rPr>
        <w:t xml:space="preserve">Rather, </w:t>
      </w:r>
      <w:r>
        <w:rPr>
          <w:color w:val="414042"/>
        </w:rPr>
        <w:t>culture is about the life-giving values</w:t>
      </w:r>
      <w:r>
        <w:rPr>
          <w:color w:val="414042"/>
          <w:spacing w:val="-23"/>
        </w:rPr>
        <w:t xml:space="preserve"> </w:t>
      </w:r>
      <w:r>
        <w:rPr>
          <w:color w:val="414042"/>
        </w:rPr>
        <w:t>from which individuals, families and communities can</w:t>
      </w:r>
      <w:r>
        <w:rPr>
          <w:color w:val="414042"/>
          <w:spacing w:val="-24"/>
        </w:rPr>
        <w:t xml:space="preserve"> </w:t>
      </w:r>
      <w:r>
        <w:rPr>
          <w:color w:val="414042"/>
        </w:rPr>
        <w:t>draw</w:t>
      </w:r>
    </w:p>
    <w:p w:rsidR="00580ABF" w:rsidRDefault="00E352FF">
      <w:pPr>
        <w:pStyle w:val="BodyText"/>
        <w:spacing w:line="211" w:lineRule="auto"/>
        <w:ind w:left="433" w:right="1073"/>
      </w:pPr>
      <w:r>
        <w:rPr>
          <w:color w:val="414042"/>
        </w:rPr>
        <w:t>strength, resilience and empowerment, thus contributing to health and wellbeing.</w:t>
      </w:r>
    </w:p>
    <w:p w:rsidR="00580ABF" w:rsidRDefault="00580ABF">
      <w:pPr>
        <w:spacing w:line="211" w:lineRule="auto"/>
        <w:sectPr w:rsidR="00580ABF">
          <w:type w:val="continuous"/>
          <w:pgSz w:w="11910" w:h="16840"/>
          <w:pgMar w:top="1580" w:right="180" w:bottom="280" w:left="420" w:header="720" w:footer="720" w:gutter="0"/>
          <w:cols w:num="2" w:space="720" w:equalWidth="0">
            <w:col w:w="5286" w:space="40"/>
            <w:col w:w="5984"/>
          </w:cols>
        </w:sectPr>
      </w:pPr>
    </w:p>
    <w:p w:rsidR="00580ABF" w:rsidRDefault="00580ABF">
      <w:pPr>
        <w:pStyle w:val="BodyText"/>
        <w:spacing w:before="5" w:after="1"/>
        <w:rPr>
          <w:sz w:val="13"/>
        </w:rPr>
      </w:pPr>
    </w:p>
    <w:p w:rsidR="005D53C3" w:rsidRDefault="005D53C3">
      <w:pPr>
        <w:rPr>
          <w:noProof/>
          <w:sz w:val="20"/>
          <w:szCs w:val="19"/>
          <w:lang w:val="en-AU" w:eastAsia="en-AU" w:bidi="ar-SA"/>
        </w:rPr>
      </w:pPr>
      <w:r>
        <w:rPr>
          <w:noProof/>
          <w:sz w:val="20"/>
          <w:lang w:val="en-AU" w:eastAsia="en-AU" w:bidi="ar-SA"/>
        </w:rPr>
        <w:br w:type="page"/>
      </w:r>
    </w:p>
    <w:p w:rsidR="00580ABF" w:rsidRPr="005D53C3" w:rsidRDefault="005D53C3" w:rsidP="005D53C3">
      <w:pPr>
        <w:spacing w:before="52" w:line="182" w:lineRule="auto"/>
        <w:ind w:left="827" w:right="281"/>
        <w:jc w:val="both"/>
        <w:rPr>
          <w:b/>
          <w:color w:val="052B33"/>
        </w:rPr>
      </w:pPr>
      <w:r w:rsidRPr="005D53C3">
        <w:rPr>
          <w:b/>
          <w:color w:val="052B33"/>
        </w:rPr>
        <w:t>The evidence suggests that culture is a resource rather than a barrier across all portfolio areas…</w:t>
      </w:r>
    </w:p>
    <w:p w:rsidR="00580ABF" w:rsidRDefault="00580ABF">
      <w:pPr>
        <w:pStyle w:val="BodyText"/>
        <w:spacing w:before="1"/>
        <w:rPr>
          <w:sz w:val="22"/>
        </w:rPr>
      </w:pPr>
    </w:p>
    <w:p w:rsidR="00580ABF" w:rsidRDefault="005D53C3" w:rsidP="005D53C3">
      <w:pPr>
        <w:spacing w:before="52" w:line="182" w:lineRule="auto"/>
        <w:ind w:left="827" w:right="281"/>
        <w:jc w:val="both"/>
        <w:rPr>
          <w:b/>
          <w:color w:val="052B33"/>
        </w:rPr>
      </w:pPr>
      <w:r w:rsidRPr="005D53C3">
        <w:rPr>
          <w:b/>
          <w:color w:val="052B33"/>
        </w:rPr>
        <w:t>A key message emanating from the data and consultations is that the inclusion of cultural determinants alongside social determinants is necessary to addressing inequality between Indigenous and non-Indigenous Australians. The evidence suggests that culture is a resource rather than a barrier across all portfolio areas, and the fact that it is not positioned strategically and centrally in policies and initiatives aimed at Closing the Gap reflects the typically deficit model of inquiry applied to Indigenous Australians.</w:t>
      </w:r>
    </w:p>
    <w:p w:rsidR="003A0C0E" w:rsidRPr="005D53C3" w:rsidRDefault="003A0C0E" w:rsidP="005D53C3">
      <w:pPr>
        <w:spacing w:before="52" w:line="182" w:lineRule="auto"/>
        <w:ind w:left="827" w:right="281"/>
        <w:jc w:val="both"/>
        <w:rPr>
          <w:b/>
          <w:color w:val="052B33"/>
        </w:rPr>
      </w:pPr>
    </w:p>
    <w:p w:rsidR="00580ABF" w:rsidRDefault="00E352FF" w:rsidP="00B16E4A">
      <w:pPr>
        <w:pStyle w:val="Heading3"/>
      </w:pPr>
      <w:r>
        <w:t>Challenges in measurement and planning</w:t>
      </w:r>
    </w:p>
    <w:p w:rsidR="00580ABF" w:rsidRDefault="00E352FF">
      <w:pPr>
        <w:pStyle w:val="BodyText"/>
        <w:spacing w:before="14"/>
        <w:ind w:left="827"/>
      </w:pPr>
      <w:r>
        <w:rPr>
          <w:color w:val="414042"/>
        </w:rPr>
        <w:t>The literature has highlighted numerous challenges:</w:t>
      </w:r>
    </w:p>
    <w:p w:rsidR="00580ABF" w:rsidRDefault="00E352FF">
      <w:pPr>
        <w:pStyle w:val="BodyText"/>
        <w:spacing w:before="107" w:line="211" w:lineRule="auto"/>
        <w:ind w:left="827"/>
      </w:pPr>
      <w:r>
        <w:rPr>
          <w:color w:val="414042"/>
        </w:rPr>
        <w:t>Pholi (2009) argues that Closing the Gap is devoid of theory</w:t>
      </w:r>
      <w:r>
        <w:rPr>
          <w:color w:val="414042"/>
          <w:spacing w:val="-4"/>
        </w:rPr>
        <w:t xml:space="preserve"> </w:t>
      </w:r>
      <w:r>
        <w:rPr>
          <w:color w:val="414042"/>
        </w:rPr>
        <w:t>and</w:t>
      </w:r>
      <w:r>
        <w:rPr>
          <w:color w:val="414042"/>
          <w:spacing w:val="-5"/>
        </w:rPr>
        <w:t xml:space="preserve"> </w:t>
      </w:r>
      <w:r>
        <w:rPr>
          <w:color w:val="414042"/>
        </w:rPr>
        <w:t>lacks</w:t>
      </w:r>
      <w:r>
        <w:rPr>
          <w:color w:val="414042"/>
          <w:spacing w:val="-5"/>
        </w:rPr>
        <w:t xml:space="preserve"> </w:t>
      </w:r>
      <w:r>
        <w:rPr>
          <w:color w:val="414042"/>
        </w:rPr>
        <w:t>a</w:t>
      </w:r>
      <w:r>
        <w:rPr>
          <w:color w:val="414042"/>
          <w:spacing w:val="-4"/>
        </w:rPr>
        <w:t xml:space="preserve"> </w:t>
      </w:r>
      <w:r>
        <w:rPr>
          <w:color w:val="414042"/>
        </w:rPr>
        <w:t>historical</w:t>
      </w:r>
      <w:r>
        <w:rPr>
          <w:color w:val="414042"/>
          <w:spacing w:val="-5"/>
        </w:rPr>
        <w:t xml:space="preserve"> </w:t>
      </w:r>
      <w:r>
        <w:rPr>
          <w:color w:val="414042"/>
        </w:rPr>
        <w:t>and</w:t>
      </w:r>
      <w:r>
        <w:rPr>
          <w:color w:val="414042"/>
          <w:spacing w:val="-5"/>
        </w:rPr>
        <w:t xml:space="preserve"> </w:t>
      </w:r>
      <w:r>
        <w:rPr>
          <w:color w:val="414042"/>
        </w:rPr>
        <w:t>social</w:t>
      </w:r>
      <w:r>
        <w:rPr>
          <w:color w:val="414042"/>
          <w:spacing w:val="-4"/>
        </w:rPr>
        <w:t xml:space="preserve"> </w:t>
      </w:r>
      <w:r>
        <w:rPr>
          <w:color w:val="414042"/>
        </w:rPr>
        <w:t>context,</w:t>
      </w:r>
      <w:r>
        <w:rPr>
          <w:color w:val="414042"/>
          <w:spacing w:val="-4"/>
        </w:rPr>
        <w:t xml:space="preserve"> </w:t>
      </w:r>
      <w:r>
        <w:rPr>
          <w:color w:val="414042"/>
        </w:rPr>
        <w:t>relying</w:t>
      </w:r>
      <w:r>
        <w:rPr>
          <w:color w:val="414042"/>
          <w:spacing w:val="-4"/>
        </w:rPr>
        <w:t xml:space="preserve"> </w:t>
      </w:r>
      <w:r>
        <w:rPr>
          <w:color w:val="414042"/>
        </w:rPr>
        <w:t>on statistical</w:t>
      </w:r>
      <w:r>
        <w:rPr>
          <w:color w:val="414042"/>
          <w:spacing w:val="-7"/>
        </w:rPr>
        <w:t xml:space="preserve"> </w:t>
      </w:r>
      <w:r>
        <w:rPr>
          <w:color w:val="414042"/>
        </w:rPr>
        <w:t>gaps</w:t>
      </w:r>
      <w:r>
        <w:rPr>
          <w:color w:val="414042"/>
          <w:spacing w:val="-7"/>
        </w:rPr>
        <w:t xml:space="preserve"> </w:t>
      </w:r>
      <w:r>
        <w:rPr>
          <w:color w:val="414042"/>
        </w:rPr>
        <w:t>to</w:t>
      </w:r>
      <w:r>
        <w:rPr>
          <w:color w:val="414042"/>
          <w:spacing w:val="-7"/>
        </w:rPr>
        <w:t xml:space="preserve"> </w:t>
      </w:r>
      <w:r>
        <w:rPr>
          <w:color w:val="414042"/>
        </w:rPr>
        <w:t>define</w:t>
      </w:r>
      <w:r>
        <w:rPr>
          <w:color w:val="414042"/>
          <w:spacing w:val="-6"/>
        </w:rPr>
        <w:t xml:space="preserve"> </w:t>
      </w:r>
      <w:r>
        <w:rPr>
          <w:color w:val="414042"/>
        </w:rPr>
        <w:t>targets</w:t>
      </w:r>
      <w:r>
        <w:rPr>
          <w:color w:val="414042"/>
          <w:spacing w:val="-6"/>
        </w:rPr>
        <w:t xml:space="preserve"> </w:t>
      </w:r>
      <w:r>
        <w:rPr>
          <w:color w:val="414042"/>
        </w:rPr>
        <w:t>for</w:t>
      </w:r>
      <w:r>
        <w:rPr>
          <w:color w:val="414042"/>
          <w:spacing w:val="-7"/>
        </w:rPr>
        <w:t xml:space="preserve"> </w:t>
      </w:r>
      <w:r>
        <w:rPr>
          <w:color w:val="414042"/>
        </w:rPr>
        <w:t>policy</w:t>
      </w:r>
      <w:r>
        <w:rPr>
          <w:color w:val="414042"/>
          <w:spacing w:val="-7"/>
        </w:rPr>
        <w:t xml:space="preserve"> </w:t>
      </w:r>
      <w:r>
        <w:rPr>
          <w:color w:val="414042"/>
        </w:rPr>
        <w:t>action</w:t>
      </w:r>
      <w:r>
        <w:rPr>
          <w:color w:val="414042"/>
          <w:spacing w:val="-6"/>
        </w:rPr>
        <w:t xml:space="preserve"> </w:t>
      </w:r>
      <w:r>
        <w:rPr>
          <w:color w:val="414042"/>
        </w:rPr>
        <w:t>and</w:t>
      </w:r>
      <w:r>
        <w:rPr>
          <w:color w:val="414042"/>
          <w:spacing w:val="-7"/>
        </w:rPr>
        <w:t xml:space="preserve"> </w:t>
      </w:r>
      <w:r>
        <w:rPr>
          <w:color w:val="414042"/>
        </w:rPr>
        <w:t>then using changes in the size of gaps as evidence for what is or is not</w:t>
      </w:r>
      <w:r>
        <w:rPr>
          <w:color w:val="414042"/>
          <w:spacing w:val="-4"/>
        </w:rPr>
        <w:t xml:space="preserve"> </w:t>
      </w:r>
      <w:r>
        <w:rPr>
          <w:color w:val="414042"/>
        </w:rPr>
        <w:t>working.</w:t>
      </w:r>
    </w:p>
    <w:p w:rsidR="00580ABF" w:rsidRDefault="00E352FF">
      <w:pPr>
        <w:pStyle w:val="BodyText"/>
        <w:spacing w:before="108" w:line="211" w:lineRule="auto"/>
        <w:ind w:left="827"/>
      </w:pPr>
      <w:r>
        <w:rPr>
          <w:color w:val="414042"/>
        </w:rPr>
        <w:t>The Closing the Gap approach to monitoring has also been criticised because it focuses on the needs of government rather than the aspirations of Indigenous Australians, highlighting problems and deficits rather than strengths and opportunities (Altman, 2013; Biddle &amp; Markham, 2017b).</w:t>
      </w:r>
    </w:p>
    <w:p w:rsidR="00580ABF" w:rsidRDefault="00E352FF">
      <w:pPr>
        <w:pStyle w:val="BodyText"/>
        <w:spacing w:before="107" w:line="211" w:lineRule="auto"/>
        <w:ind w:left="827" w:right="145"/>
      </w:pPr>
      <w:r>
        <w:rPr>
          <w:color w:val="414042"/>
        </w:rPr>
        <w:t>The ability to measure, predict and plan has been challenged with reference to the variability in impacts of Closing the Gap on Indigenous life expectancy rates geographically and over time deriving from variable starting conditions and unequal shifts in age specific</w:t>
      </w:r>
    </w:p>
    <w:p w:rsidR="00580ABF" w:rsidRDefault="00E352FF">
      <w:pPr>
        <w:pStyle w:val="BodyText"/>
        <w:spacing w:before="20"/>
        <w:ind w:left="452"/>
      </w:pPr>
      <w:r>
        <w:br w:type="column"/>
      </w:r>
      <w:r>
        <w:rPr>
          <w:color w:val="414042"/>
        </w:rPr>
        <w:t>mortality rates (Taylor &amp; Barnes, 2013).</w:t>
      </w:r>
    </w:p>
    <w:p w:rsidR="00580ABF" w:rsidRDefault="00E352FF">
      <w:pPr>
        <w:pStyle w:val="BodyText"/>
        <w:spacing w:before="106" w:line="211" w:lineRule="auto"/>
        <w:ind w:left="452" w:right="1407"/>
      </w:pPr>
      <w:r>
        <w:rPr>
          <w:color w:val="414042"/>
        </w:rPr>
        <w:t>Regional</w:t>
      </w:r>
      <w:r>
        <w:rPr>
          <w:color w:val="414042"/>
          <w:spacing w:val="-7"/>
        </w:rPr>
        <w:t xml:space="preserve"> </w:t>
      </w:r>
      <w:r>
        <w:rPr>
          <w:color w:val="414042"/>
        </w:rPr>
        <w:t>variation</w:t>
      </w:r>
      <w:r>
        <w:rPr>
          <w:color w:val="414042"/>
          <w:spacing w:val="-7"/>
        </w:rPr>
        <w:t xml:space="preserve"> </w:t>
      </w:r>
      <w:r>
        <w:rPr>
          <w:color w:val="414042"/>
        </w:rPr>
        <w:t>is</w:t>
      </w:r>
      <w:r>
        <w:rPr>
          <w:color w:val="414042"/>
          <w:spacing w:val="-7"/>
        </w:rPr>
        <w:t xml:space="preserve"> </w:t>
      </w:r>
      <w:r>
        <w:rPr>
          <w:color w:val="414042"/>
        </w:rPr>
        <w:t>also</w:t>
      </w:r>
      <w:r>
        <w:rPr>
          <w:color w:val="414042"/>
          <w:spacing w:val="-8"/>
        </w:rPr>
        <w:t xml:space="preserve"> </w:t>
      </w:r>
      <w:r>
        <w:rPr>
          <w:color w:val="414042"/>
        </w:rPr>
        <w:t>important</w:t>
      </w:r>
      <w:r>
        <w:rPr>
          <w:color w:val="414042"/>
          <w:spacing w:val="-6"/>
        </w:rPr>
        <w:t xml:space="preserve"> </w:t>
      </w:r>
      <w:r>
        <w:rPr>
          <w:color w:val="414042"/>
        </w:rPr>
        <w:t>for</w:t>
      </w:r>
      <w:r>
        <w:rPr>
          <w:color w:val="414042"/>
          <w:spacing w:val="-7"/>
        </w:rPr>
        <w:t xml:space="preserve"> </w:t>
      </w:r>
      <w:r>
        <w:rPr>
          <w:color w:val="414042"/>
        </w:rPr>
        <w:t>understanding impacts where differences in remote, non-remote and</w:t>
      </w:r>
      <w:r>
        <w:rPr>
          <w:color w:val="414042"/>
          <w:spacing w:val="-7"/>
        </w:rPr>
        <w:t xml:space="preserve"> </w:t>
      </w:r>
      <w:r>
        <w:rPr>
          <w:color w:val="414042"/>
        </w:rPr>
        <w:t>regional</w:t>
      </w:r>
      <w:r>
        <w:rPr>
          <w:color w:val="414042"/>
          <w:spacing w:val="-7"/>
        </w:rPr>
        <w:t xml:space="preserve"> </w:t>
      </w:r>
      <w:r>
        <w:rPr>
          <w:color w:val="414042"/>
        </w:rPr>
        <w:t>Australia</w:t>
      </w:r>
      <w:r>
        <w:rPr>
          <w:color w:val="414042"/>
          <w:spacing w:val="-6"/>
        </w:rPr>
        <w:t xml:space="preserve"> </w:t>
      </w:r>
      <w:r>
        <w:rPr>
          <w:color w:val="414042"/>
        </w:rPr>
        <w:t>requires</w:t>
      </w:r>
      <w:r>
        <w:rPr>
          <w:color w:val="414042"/>
          <w:spacing w:val="-7"/>
        </w:rPr>
        <w:t xml:space="preserve"> </w:t>
      </w:r>
      <w:r>
        <w:rPr>
          <w:color w:val="414042"/>
        </w:rPr>
        <w:t>a</w:t>
      </w:r>
      <w:r>
        <w:rPr>
          <w:color w:val="414042"/>
          <w:spacing w:val="-7"/>
        </w:rPr>
        <w:t xml:space="preserve"> </w:t>
      </w:r>
      <w:r>
        <w:rPr>
          <w:color w:val="414042"/>
        </w:rPr>
        <w:t>differentiated</w:t>
      </w:r>
      <w:r>
        <w:rPr>
          <w:color w:val="414042"/>
          <w:spacing w:val="-6"/>
        </w:rPr>
        <w:t xml:space="preserve"> </w:t>
      </w:r>
      <w:r>
        <w:rPr>
          <w:color w:val="414042"/>
        </w:rPr>
        <w:t>policy</w:t>
      </w:r>
    </w:p>
    <w:p w:rsidR="00580ABF" w:rsidRDefault="00E352FF">
      <w:pPr>
        <w:pStyle w:val="BodyText"/>
        <w:spacing w:line="211" w:lineRule="auto"/>
        <w:ind w:left="452" w:right="1095"/>
      </w:pPr>
      <w:r>
        <w:rPr>
          <w:color w:val="414042"/>
        </w:rPr>
        <w:t>response and measurement (Altman, et al., 2008; Taylor &amp; Barnes, 2013). For example, while there has been</w:t>
      </w:r>
    </w:p>
    <w:p w:rsidR="00580ABF" w:rsidRDefault="00E352FF">
      <w:pPr>
        <w:pStyle w:val="BodyText"/>
        <w:spacing w:line="211" w:lineRule="auto"/>
        <w:ind w:left="452" w:right="1095"/>
      </w:pPr>
      <w:r>
        <w:rPr>
          <w:color w:val="414042"/>
        </w:rPr>
        <w:t>no improvement in the Closing the Gap target around halving the gap in employment outcomes, there is also considerable geographic variation with some remote areas seeing employment to population ratios falling by more than 15% while in NSW employment growth has been rapid (Biddle &amp; Markham, 2017a).</w:t>
      </w:r>
    </w:p>
    <w:p w:rsidR="00580ABF" w:rsidRDefault="00E352FF">
      <w:pPr>
        <w:pStyle w:val="BodyText"/>
        <w:spacing w:before="102" w:line="211" w:lineRule="auto"/>
        <w:ind w:left="452" w:right="1089"/>
      </w:pPr>
      <w:r>
        <w:rPr>
          <w:color w:val="414042"/>
        </w:rPr>
        <w:t>Despite these overall trends in disparity of progress relating to remoteness, the Productivity Commission’s OID report highlights that there are some important cultural indicators, such as connection to country and language</w:t>
      </w:r>
      <w:r>
        <w:rPr>
          <w:color w:val="414042"/>
          <w:spacing w:val="-8"/>
        </w:rPr>
        <w:t xml:space="preserve"> </w:t>
      </w:r>
      <w:r>
        <w:rPr>
          <w:color w:val="414042"/>
        </w:rPr>
        <w:t>maintenance</w:t>
      </w:r>
      <w:r>
        <w:rPr>
          <w:color w:val="414042"/>
          <w:spacing w:val="-7"/>
        </w:rPr>
        <w:t xml:space="preserve"> </w:t>
      </w:r>
      <w:r>
        <w:rPr>
          <w:color w:val="414042"/>
        </w:rPr>
        <w:t>and</w:t>
      </w:r>
      <w:r>
        <w:rPr>
          <w:color w:val="414042"/>
          <w:spacing w:val="-8"/>
        </w:rPr>
        <w:t xml:space="preserve"> </w:t>
      </w:r>
      <w:r>
        <w:rPr>
          <w:color w:val="414042"/>
        </w:rPr>
        <w:t>revitalisation</w:t>
      </w:r>
      <w:r>
        <w:rPr>
          <w:color w:val="414042"/>
          <w:spacing w:val="-8"/>
        </w:rPr>
        <w:t xml:space="preserve"> </w:t>
      </w:r>
      <w:r>
        <w:rPr>
          <w:color w:val="414042"/>
        </w:rPr>
        <w:t>where</w:t>
      </w:r>
      <w:r>
        <w:rPr>
          <w:color w:val="414042"/>
          <w:spacing w:val="-7"/>
        </w:rPr>
        <w:t xml:space="preserve"> </w:t>
      </w:r>
      <w:r>
        <w:rPr>
          <w:color w:val="414042"/>
        </w:rPr>
        <w:t xml:space="preserve">outcomes are better in remote areas </w:t>
      </w:r>
      <w:r>
        <w:rPr>
          <w:color w:val="414042"/>
          <w:spacing w:val="-4"/>
        </w:rPr>
        <w:t>(SCRGSP,</w:t>
      </w:r>
      <w:r>
        <w:rPr>
          <w:color w:val="414042"/>
          <w:spacing w:val="-5"/>
        </w:rPr>
        <w:t xml:space="preserve"> </w:t>
      </w:r>
      <w:r>
        <w:rPr>
          <w:color w:val="414042"/>
        </w:rPr>
        <w:t>2016).</w:t>
      </w:r>
    </w:p>
    <w:p w:rsidR="00580ABF" w:rsidRDefault="00E352FF">
      <w:pPr>
        <w:pStyle w:val="BodyText"/>
        <w:spacing w:before="108" w:line="211" w:lineRule="auto"/>
        <w:ind w:left="452" w:right="1095"/>
      </w:pPr>
      <w:r>
        <w:rPr>
          <w:color w:val="414042"/>
        </w:rPr>
        <w:t>Nonetheless the perception is that the framework provides for opportunities to work in partnership with Indigenous people and communities and put culture at the centre of initiatives. These components of the NIRA had the potential to result in realistic and achievable goals. However, again the issue of implementation has resulted in lack of progress towards Closing the Gap on Indigenous disadvantage.</w:t>
      </w:r>
    </w:p>
    <w:p w:rsidR="00580ABF" w:rsidRDefault="00580ABF">
      <w:pPr>
        <w:spacing w:line="211" w:lineRule="auto"/>
        <w:sectPr w:rsidR="00580ABF">
          <w:type w:val="continuous"/>
          <w:pgSz w:w="11910" w:h="16840"/>
          <w:pgMar w:top="1580" w:right="180" w:bottom="280" w:left="420" w:header="720" w:footer="720" w:gutter="0"/>
          <w:cols w:num="2" w:space="720" w:equalWidth="0">
            <w:col w:w="5267" w:space="40"/>
            <w:col w:w="6003"/>
          </w:cols>
        </w:sectPr>
      </w:pPr>
    </w:p>
    <w:p w:rsidR="00580ABF" w:rsidRDefault="00580ABF">
      <w:pPr>
        <w:pStyle w:val="BodyText"/>
        <w:spacing w:before="1"/>
        <w:rPr>
          <w:sz w:val="8"/>
        </w:rPr>
      </w:pPr>
    </w:p>
    <w:p w:rsidR="00580ABF" w:rsidRDefault="00E352FF" w:rsidP="00B16E4A">
      <w:pPr>
        <w:pStyle w:val="Heading3"/>
      </w:pPr>
      <w:r>
        <w:t>Working in partnership with Indigenous communities</w:t>
      </w:r>
    </w:p>
    <w:p w:rsidR="00580ABF" w:rsidRDefault="00E352FF" w:rsidP="009D21EF">
      <w:pPr>
        <w:pStyle w:val="BodyText"/>
        <w:spacing w:before="41" w:line="211" w:lineRule="auto"/>
        <w:ind w:left="827" w:right="2616"/>
        <w:rPr>
          <w:color w:val="414042"/>
        </w:rPr>
      </w:pPr>
      <w:r>
        <w:rPr>
          <w:color w:val="414042"/>
        </w:rPr>
        <w:t>Long-standing Close the Gap Campaign leader and CEO of The Lowitja Institute, Mr Romlie Mokak, said at the 2016 Medicine &amp; Society Oration that:</w:t>
      </w:r>
    </w:p>
    <w:p w:rsidR="005D53C3" w:rsidRDefault="005D53C3">
      <w:pPr>
        <w:pStyle w:val="BodyText"/>
        <w:spacing w:before="41" w:line="211" w:lineRule="auto"/>
        <w:ind w:left="2471" w:right="2616"/>
        <w:rPr>
          <w:color w:val="414042"/>
        </w:rPr>
      </w:pPr>
    </w:p>
    <w:p w:rsidR="005D53C3" w:rsidRPr="005D53C3" w:rsidRDefault="005D53C3" w:rsidP="009D21EF">
      <w:pPr>
        <w:pStyle w:val="BodyText"/>
        <w:spacing w:before="41" w:line="211" w:lineRule="auto"/>
        <w:ind w:left="107" w:right="2616" w:firstLine="720"/>
        <w:rPr>
          <w:i/>
          <w:color w:val="414042"/>
        </w:rPr>
      </w:pPr>
      <w:r w:rsidRPr="005D53C3">
        <w:rPr>
          <w:i/>
          <w:color w:val="414042"/>
        </w:rPr>
        <w:t>Power in the policy world</w:t>
      </w:r>
    </w:p>
    <w:p w:rsidR="005D53C3" w:rsidRPr="005D53C3" w:rsidRDefault="005D53C3" w:rsidP="009D21EF">
      <w:pPr>
        <w:pStyle w:val="BodyText"/>
        <w:spacing w:before="41" w:line="211" w:lineRule="auto"/>
        <w:ind w:left="827" w:right="2616"/>
        <w:rPr>
          <w:i/>
          <w:color w:val="414042"/>
        </w:rPr>
      </w:pPr>
      <w:r w:rsidRPr="005D53C3">
        <w:rPr>
          <w:i/>
          <w:color w:val="414042"/>
        </w:rPr>
        <w:t>sits with others, not with Aboriginal and Torres Strait Islander peoples. It resides outside of the domain of Aboriginal and Torres Strait Islander people. We must redress the power imbalance…</w:t>
      </w:r>
    </w:p>
    <w:p w:rsidR="005D53C3" w:rsidRPr="005D53C3" w:rsidRDefault="005D53C3" w:rsidP="009D21EF">
      <w:pPr>
        <w:pStyle w:val="BodyText"/>
        <w:spacing w:before="41" w:line="211" w:lineRule="auto"/>
        <w:ind w:left="107" w:right="2616" w:firstLine="720"/>
        <w:rPr>
          <w:i/>
          <w:color w:val="414042"/>
        </w:rPr>
      </w:pPr>
      <w:r w:rsidRPr="005D53C3">
        <w:rPr>
          <w:i/>
          <w:color w:val="414042"/>
        </w:rPr>
        <w:t>…we are outsiders to the intimate internal discussions about</w:t>
      </w:r>
      <w:r w:rsidR="009D21EF">
        <w:rPr>
          <w:i/>
          <w:color w:val="414042"/>
        </w:rPr>
        <w:t xml:space="preserve"> </w:t>
      </w:r>
      <w:r w:rsidRPr="005D53C3">
        <w:rPr>
          <w:i/>
          <w:color w:val="414042"/>
        </w:rPr>
        <w:t>our very o</w:t>
      </w:r>
      <w:bookmarkStart w:id="13" w:name="fnB4"/>
      <w:bookmarkEnd w:id="13"/>
      <w:r w:rsidRPr="005D53C3">
        <w:rPr>
          <w:i/>
          <w:color w:val="414042"/>
        </w:rPr>
        <w:t>wn health and wellbeing.</w:t>
      </w:r>
    </w:p>
    <w:p w:rsidR="005D53C3" w:rsidRDefault="005D53C3">
      <w:pPr>
        <w:pStyle w:val="BodyText"/>
        <w:spacing w:before="41" w:line="211" w:lineRule="auto"/>
        <w:ind w:left="2471" w:right="2616"/>
      </w:pPr>
    </w:p>
    <w:p w:rsidR="00580ABF" w:rsidRDefault="00580ABF">
      <w:pPr>
        <w:pStyle w:val="BodyText"/>
        <w:spacing w:before="3"/>
        <w:rPr>
          <w:sz w:val="7"/>
        </w:rPr>
      </w:pPr>
    </w:p>
    <w:p w:rsidR="00580ABF" w:rsidRDefault="00E352FF" w:rsidP="009D21EF">
      <w:pPr>
        <w:pStyle w:val="BodyText"/>
        <w:spacing w:before="47" w:line="211" w:lineRule="auto"/>
        <w:ind w:left="827" w:right="2787"/>
        <w:rPr>
          <w:color w:val="414042"/>
        </w:rPr>
      </w:pPr>
      <w:r>
        <w:rPr>
          <w:color w:val="414042"/>
        </w:rPr>
        <w:t>In line with analysis of key messages coming from the consultations and the literature, as researchers, we would assert that this is as true of targets as any other piece of policy making.</w:t>
      </w:r>
    </w:p>
    <w:p w:rsidR="005D53C3" w:rsidRDefault="005D53C3">
      <w:pPr>
        <w:pStyle w:val="BodyText"/>
        <w:spacing w:before="47" w:line="211" w:lineRule="auto"/>
        <w:ind w:left="2471" w:right="2787"/>
        <w:rPr>
          <w:color w:val="414042"/>
        </w:rPr>
      </w:pPr>
    </w:p>
    <w:p w:rsidR="005D53C3" w:rsidRPr="005D53C3" w:rsidRDefault="005D53C3" w:rsidP="009D21EF">
      <w:pPr>
        <w:pStyle w:val="BodyText"/>
        <w:spacing w:before="47" w:line="211" w:lineRule="auto"/>
        <w:ind w:left="827" w:right="2787"/>
        <w:rPr>
          <w:b/>
          <w:color w:val="414042"/>
        </w:rPr>
      </w:pPr>
      <w:r w:rsidRPr="005D53C3">
        <w:rPr>
          <w:b/>
          <w:color w:val="414042"/>
        </w:rPr>
        <w:t>In analysing data for this project, it is evident that for Closing the Gap targets to be met they need to be the right</w:t>
      </w:r>
      <w:r>
        <w:rPr>
          <w:b/>
          <w:color w:val="414042"/>
        </w:rPr>
        <w:t xml:space="preserve"> </w:t>
      </w:r>
      <w:r w:rsidRPr="005D53C3">
        <w:rPr>
          <w:b/>
          <w:color w:val="414042"/>
        </w:rPr>
        <w:t>measurements of the right targets, set by Indigenous leaders and community. Targets need to be Indigenous led in design to ensure applicability and appropriateness. The Indigenous communities need to have confidence that the targets will make a difference in their lives and therefore need to be specific to the community.</w:t>
      </w:r>
    </w:p>
    <w:p w:rsidR="005D53C3" w:rsidRPr="005D53C3" w:rsidRDefault="005D53C3">
      <w:pPr>
        <w:pStyle w:val="BodyText"/>
        <w:spacing w:before="47" w:line="211" w:lineRule="auto"/>
        <w:ind w:left="2471" w:right="2787"/>
        <w:rPr>
          <w:color w:val="414042"/>
        </w:rPr>
      </w:pPr>
    </w:p>
    <w:p w:rsidR="00580ABF" w:rsidRDefault="00E352FF" w:rsidP="000A4CB1">
      <w:pPr>
        <w:pStyle w:val="BodyText"/>
        <w:spacing w:before="47" w:line="211" w:lineRule="auto"/>
        <w:ind w:left="720" w:right="2787"/>
      </w:pPr>
      <w:r>
        <w:rPr>
          <w:color w:val="414042"/>
        </w:rPr>
        <w:t>Our analysis of the literature is that there is significant criticism of the Closing the Gap initiative and its targets as having too strong a focus on individual responsibility and agency and that more attention needs to be paid to the context within which Aboriginal and Torres Strait Islander communities live.</w:t>
      </w:r>
    </w:p>
    <w:p w:rsidR="00580ABF" w:rsidRDefault="00E352FF" w:rsidP="000A4CB1">
      <w:pPr>
        <w:pStyle w:val="BodyText"/>
        <w:spacing w:before="109" w:line="211" w:lineRule="auto"/>
        <w:ind w:left="720" w:right="3400"/>
        <w:jc w:val="both"/>
      </w:pPr>
      <w:r>
        <w:rPr>
          <w:color w:val="414042"/>
        </w:rPr>
        <w:t xml:space="preserve">More emphasis needs to be placed on genuine engagement with, and empowerment </w:t>
      </w:r>
      <w:r>
        <w:rPr>
          <w:color w:val="414042"/>
          <w:spacing w:val="-5"/>
        </w:rPr>
        <w:t xml:space="preserve">of, </w:t>
      </w:r>
      <w:r>
        <w:rPr>
          <w:color w:val="414042"/>
        </w:rPr>
        <w:t xml:space="preserve">Aboriginal and </w:t>
      </w:r>
      <w:r>
        <w:rPr>
          <w:color w:val="414042"/>
          <w:spacing w:val="-4"/>
        </w:rPr>
        <w:t xml:space="preserve">Torres </w:t>
      </w:r>
      <w:r>
        <w:rPr>
          <w:color w:val="414042"/>
        </w:rPr>
        <w:t>Strait Islander communities to implement this and other initiatives in the future.</w:t>
      </w:r>
    </w:p>
    <w:p w:rsidR="00580ABF" w:rsidRDefault="00580ABF">
      <w:pPr>
        <w:spacing w:line="211" w:lineRule="auto"/>
        <w:jc w:val="both"/>
        <w:sectPr w:rsidR="00580ABF">
          <w:pgSz w:w="11910" w:h="16840"/>
          <w:pgMar w:top="1580" w:right="180" w:bottom="380" w:left="420" w:header="0" w:footer="183" w:gutter="0"/>
          <w:cols w:space="720"/>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pPr>
        <w:pStyle w:val="BodyText"/>
        <w:spacing w:before="46" w:line="211" w:lineRule="auto"/>
        <w:ind w:left="827" w:right="8"/>
      </w:pPr>
      <w:r>
        <w:rPr>
          <w:color w:val="414042"/>
        </w:rPr>
        <w:t>This viewpoint is supported with clear messages coming from the consultations about the need to genuinely partner with Indigenous communities to find solutions. Instead of always having a top-down approach, to facilitate a new approach that centres on collaboration and allows for the very people who were being adversely impacted by government policy to help identify and prioritise issues and to devise solutions.</w:t>
      </w:r>
    </w:p>
    <w:p w:rsidR="00580ABF" w:rsidRDefault="00E352FF">
      <w:pPr>
        <w:pStyle w:val="BodyText"/>
        <w:spacing w:before="106" w:line="211" w:lineRule="auto"/>
        <w:ind w:left="827" w:right="193"/>
      </w:pPr>
      <w:r>
        <w:rPr>
          <w:color w:val="414042"/>
        </w:rPr>
        <w:t>There</w:t>
      </w:r>
      <w:r>
        <w:rPr>
          <w:color w:val="414042"/>
          <w:spacing w:val="-6"/>
        </w:rPr>
        <w:t xml:space="preserve"> </w:t>
      </w:r>
      <w:r>
        <w:rPr>
          <w:color w:val="414042"/>
        </w:rPr>
        <w:t>are</w:t>
      </w:r>
      <w:r>
        <w:rPr>
          <w:color w:val="414042"/>
          <w:spacing w:val="-6"/>
        </w:rPr>
        <w:t xml:space="preserve"> </w:t>
      </w:r>
      <w:r>
        <w:rPr>
          <w:color w:val="414042"/>
        </w:rPr>
        <w:t>numerous</w:t>
      </w:r>
      <w:r>
        <w:rPr>
          <w:color w:val="414042"/>
          <w:spacing w:val="-6"/>
        </w:rPr>
        <w:t xml:space="preserve"> </w:t>
      </w:r>
      <w:r>
        <w:rPr>
          <w:color w:val="414042"/>
        </w:rPr>
        <w:t>examples</w:t>
      </w:r>
      <w:r>
        <w:rPr>
          <w:color w:val="414042"/>
          <w:spacing w:val="-6"/>
        </w:rPr>
        <w:t xml:space="preserve"> </w:t>
      </w:r>
      <w:r>
        <w:rPr>
          <w:color w:val="414042"/>
        </w:rPr>
        <w:t>of</w:t>
      </w:r>
      <w:r>
        <w:rPr>
          <w:color w:val="414042"/>
          <w:spacing w:val="-7"/>
        </w:rPr>
        <w:t xml:space="preserve"> </w:t>
      </w:r>
      <w:r>
        <w:rPr>
          <w:color w:val="414042"/>
        </w:rPr>
        <w:t>partnership</w:t>
      </w:r>
      <w:r>
        <w:rPr>
          <w:color w:val="414042"/>
          <w:spacing w:val="-6"/>
        </w:rPr>
        <w:t xml:space="preserve"> </w:t>
      </w:r>
      <w:r>
        <w:rPr>
          <w:color w:val="414042"/>
        </w:rPr>
        <w:t>models</w:t>
      </w:r>
      <w:r>
        <w:rPr>
          <w:color w:val="414042"/>
          <w:spacing w:val="-6"/>
        </w:rPr>
        <w:t xml:space="preserve"> </w:t>
      </w:r>
      <w:r>
        <w:rPr>
          <w:color w:val="414042"/>
        </w:rPr>
        <w:t>in the literature. In 2013 the Aboriginal Child, Family and Community</w:t>
      </w:r>
      <w:r>
        <w:rPr>
          <w:color w:val="414042"/>
          <w:spacing w:val="-7"/>
        </w:rPr>
        <w:t xml:space="preserve"> </w:t>
      </w:r>
      <w:r>
        <w:rPr>
          <w:color w:val="414042"/>
        </w:rPr>
        <w:t>Care</w:t>
      </w:r>
      <w:r>
        <w:rPr>
          <w:color w:val="414042"/>
          <w:spacing w:val="-5"/>
        </w:rPr>
        <w:t xml:space="preserve"> </w:t>
      </w:r>
      <w:r>
        <w:rPr>
          <w:color w:val="414042"/>
        </w:rPr>
        <w:t>State</w:t>
      </w:r>
      <w:r>
        <w:rPr>
          <w:color w:val="414042"/>
          <w:spacing w:val="-6"/>
        </w:rPr>
        <w:t xml:space="preserve"> </w:t>
      </w:r>
      <w:r>
        <w:rPr>
          <w:color w:val="414042"/>
        </w:rPr>
        <w:t>Secretariat</w:t>
      </w:r>
      <w:r>
        <w:rPr>
          <w:color w:val="414042"/>
          <w:spacing w:val="-5"/>
        </w:rPr>
        <w:t xml:space="preserve"> </w:t>
      </w:r>
      <w:r>
        <w:rPr>
          <w:color w:val="414042"/>
        </w:rPr>
        <w:t>(absec</w:t>
      </w:r>
      <w:r>
        <w:rPr>
          <w:color w:val="414042"/>
          <w:spacing w:val="-6"/>
        </w:rPr>
        <w:t xml:space="preserve"> </w:t>
      </w:r>
      <w:r>
        <w:rPr>
          <w:color w:val="414042"/>
        </w:rPr>
        <w:t>NSW)</w:t>
      </w:r>
      <w:r>
        <w:rPr>
          <w:color w:val="414042"/>
          <w:spacing w:val="-6"/>
        </w:rPr>
        <w:t xml:space="preserve"> </w:t>
      </w:r>
      <w:r>
        <w:rPr>
          <w:color w:val="414042"/>
        </w:rPr>
        <w:t>and</w:t>
      </w:r>
      <w:r>
        <w:rPr>
          <w:color w:val="414042"/>
          <w:spacing w:val="-6"/>
        </w:rPr>
        <w:t xml:space="preserve"> </w:t>
      </w:r>
      <w:r>
        <w:rPr>
          <w:color w:val="414042"/>
        </w:rPr>
        <w:t>the NSW Department of Family and Community Services jointly developed a new approach which aimed to build the capacity of new and existing NSW</w:t>
      </w:r>
      <w:r>
        <w:rPr>
          <w:color w:val="414042"/>
          <w:spacing w:val="-22"/>
        </w:rPr>
        <w:t xml:space="preserve"> </w:t>
      </w:r>
      <w:r>
        <w:rPr>
          <w:color w:val="414042"/>
        </w:rPr>
        <w:t>Aboriginal</w:t>
      </w:r>
    </w:p>
    <w:p w:rsidR="00580ABF" w:rsidRDefault="00E352FF">
      <w:pPr>
        <w:pStyle w:val="BodyText"/>
        <w:spacing w:line="211" w:lineRule="auto"/>
        <w:ind w:left="827" w:right="8"/>
      </w:pPr>
      <w:r>
        <w:rPr>
          <w:color w:val="414042"/>
        </w:rPr>
        <w:t>Community Controlled Organisations (ACCOs) to deliver out-of-home care services. The ultimate objective being that all Aboriginal children in out-of-home care will be supported by an Aboriginal agency with a culturally tailored service. The model involves a partnership between an unaccredited ACCO and an accredited service with the aim of supporting the accreditation of the unaccredited ACCO and the transfer of all of the clients to the ACCO once it is accredited. The model involves</w:t>
      </w:r>
      <w:r>
        <w:rPr>
          <w:color w:val="414042"/>
          <w:spacing w:val="-7"/>
        </w:rPr>
        <w:t xml:space="preserve"> </w:t>
      </w:r>
      <w:r>
        <w:rPr>
          <w:color w:val="414042"/>
        </w:rPr>
        <w:t>a</w:t>
      </w:r>
      <w:r>
        <w:rPr>
          <w:color w:val="414042"/>
          <w:spacing w:val="-8"/>
        </w:rPr>
        <w:t xml:space="preserve"> </w:t>
      </w:r>
      <w:r>
        <w:rPr>
          <w:color w:val="414042"/>
        </w:rPr>
        <w:t>4-stage</w:t>
      </w:r>
      <w:r>
        <w:rPr>
          <w:color w:val="414042"/>
          <w:spacing w:val="-7"/>
        </w:rPr>
        <w:t xml:space="preserve"> </w:t>
      </w:r>
      <w:r>
        <w:rPr>
          <w:color w:val="414042"/>
        </w:rPr>
        <w:t>process</w:t>
      </w:r>
      <w:r>
        <w:rPr>
          <w:color w:val="414042"/>
          <w:spacing w:val="-7"/>
        </w:rPr>
        <w:t xml:space="preserve"> </w:t>
      </w:r>
      <w:r>
        <w:rPr>
          <w:color w:val="414042"/>
        </w:rPr>
        <w:t>of</w:t>
      </w:r>
      <w:r>
        <w:rPr>
          <w:color w:val="414042"/>
          <w:spacing w:val="-8"/>
        </w:rPr>
        <w:t xml:space="preserve"> </w:t>
      </w:r>
      <w:r>
        <w:rPr>
          <w:color w:val="414042"/>
        </w:rPr>
        <w:t>transitioning</w:t>
      </w:r>
      <w:r>
        <w:rPr>
          <w:color w:val="414042"/>
          <w:spacing w:val="-7"/>
        </w:rPr>
        <w:t xml:space="preserve"> </w:t>
      </w:r>
      <w:r>
        <w:rPr>
          <w:color w:val="414042"/>
        </w:rPr>
        <w:t>(establishment, governance, service development and agency</w:t>
      </w:r>
      <w:r>
        <w:rPr>
          <w:color w:val="414042"/>
          <w:spacing w:val="-12"/>
        </w:rPr>
        <w:t xml:space="preserve"> </w:t>
      </w:r>
      <w:r>
        <w:rPr>
          <w:color w:val="414042"/>
        </w:rPr>
        <w:t>support)</w:t>
      </w:r>
    </w:p>
    <w:p w:rsidR="00580ABF" w:rsidRDefault="00E352FF">
      <w:pPr>
        <w:pStyle w:val="BodyText"/>
        <w:spacing w:line="211" w:lineRule="auto"/>
        <w:ind w:left="827"/>
      </w:pPr>
      <w:r>
        <w:rPr>
          <w:color w:val="414042"/>
        </w:rPr>
        <w:t>and</w:t>
      </w:r>
      <w:r>
        <w:rPr>
          <w:color w:val="414042"/>
          <w:spacing w:val="-6"/>
        </w:rPr>
        <w:t xml:space="preserve"> </w:t>
      </w:r>
      <w:r>
        <w:rPr>
          <w:color w:val="414042"/>
        </w:rPr>
        <w:t>was</w:t>
      </w:r>
      <w:r>
        <w:rPr>
          <w:color w:val="414042"/>
          <w:spacing w:val="-5"/>
        </w:rPr>
        <w:t xml:space="preserve"> </w:t>
      </w:r>
      <w:r>
        <w:rPr>
          <w:color w:val="414042"/>
        </w:rPr>
        <w:t>supported</w:t>
      </w:r>
      <w:r>
        <w:rPr>
          <w:color w:val="414042"/>
          <w:spacing w:val="-4"/>
        </w:rPr>
        <w:t xml:space="preserve"> </w:t>
      </w:r>
      <w:r>
        <w:rPr>
          <w:color w:val="414042"/>
        </w:rPr>
        <w:t>by</w:t>
      </w:r>
      <w:r>
        <w:rPr>
          <w:color w:val="414042"/>
          <w:spacing w:val="-4"/>
        </w:rPr>
        <w:t xml:space="preserve"> </w:t>
      </w:r>
      <w:r>
        <w:rPr>
          <w:color w:val="414042"/>
        </w:rPr>
        <w:t>an</w:t>
      </w:r>
      <w:r>
        <w:rPr>
          <w:color w:val="414042"/>
          <w:spacing w:val="-5"/>
        </w:rPr>
        <w:t xml:space="preserve"> </w:t>
      </w:r>
      <w:r>
        <w:rPr>
          <w:color w:val="414042"/>
        </w:rPr>
        <w:t>external</w:t>
      </w:r>
      <w:r>
        <w:rPr>
          <w:color w:val="414042"/>
          <w:spacing w:val="-4"/>
        </w:rPr>
        <w:t xml:space="preserve"> </w:t>
      </w:r>
      <w:r>
        <w:rPr>
          <w:color w:val="414042"/>
        </w:rPr>
        <w:t>Aboriginal</w:t>
      </w:r>
      <w:r>
        <w:rPr>
          <w:color w:val="414042"/>
          <w:spacing w:val="-4"/>
        </w:rPr>
        <w:t xml:space="preserve"> </w:t>
      </w:r>
      <w:r>
        <w:rPr>
          <w:color w:val="414042"/>
        </w:rPr>
        <w:t xml:space="preserve">partnerships </w:t>
      </w:r>
      <w:r>
        <w:rPr>
          <w:color w:val="414042"/>
          <w:spacing w:val="-3"/>
        </w:rPr>
        <w:t xml:space="preserve">facilitator. </w:t>
      </w:r>
      <w:r>
        <w:rPr>
          <w:color w:val="414042"/>
        </w:rPr>
        <w:t>This approach has been strongly</w:t>
      </w:r>
      <w:r>
        <w:rPr>
          <w:color w:val="414042"/>
          <w:spacing w:val="-15"/>
        </w:rPr>
        <w:t xml:space="preserve"> </w:t>
      </w:r>
      <w:r>
        <w:rPr>
          <w:color w:val="414042"/>
        </w:rPr>
        <w:t>supported</w:t>
      </w:r>
    </w:p>
    <w:p w:rsidR="00580ABF" w:rsidRDefault="00E352FF">
      <w:pPr>
        <w:pStyle w:val="BodyText"/>
        <w:spacing w:line="211" w:lineRule="auto"/>
        <w:ind w:left="827" w:right="8"/>
      </w:pPr>
      <w:r>
        <w:rPr>
          <w:color w:val="414042"/>
        </w:rPr>
        <w:t>in the literature and viewpoints coming from the consultations.</w:t>
      </w:r>
    </w:p>
    <w:p w:rsidR="00580ABF" w:rsidRDefault="00580ABF">
      <w:pPr>
        <w:pStyle w:val="BodyText"/>
        <w:spacing w:before="5"/>
        <w:rPr>
          <w:sz w:val="15"/>
        </w:rPr>
      </w:pPr>
    </w:p>
    <w:p w:rsidR="00580ABF" w:rsidRDefault="00E352FF" w:rsidP="00B16E4A">
      <w:pPr>
        <w:pStyle w:val="Heading3"/>
      </w:pPr>
      <w:r>
        <w:t>Strength-based approach to target setting and measurement</w:t>
      </w:r>
    </w:p>
    <w:p w:rsidR="00580ABF" w:rsidRDefault="00E352FF">
      <w:pPr>
        <w:pStyle w:val="BodyText"/>
        <w:spacing w:before="41" w:line="211" w:lineRule="auto"/>
        <w:ind w:left="827" w:right="349"/>
      </w:pPr>
      <w:r>
        <w:rPr>
          <w:color w:val="414042"/>
        </w:rPr>
        <w:t>Because the objectives of NIRA are stretch goals, they generally have not been achieved for a range of reasons which have been discussed elsewhere in this</w:t>
      </w:r>
    </w:p>
    <w:p w:rsidR="00580ABF" w:rsidRDefault="00E352FF">
      <w:pPr>
        <w:pStyle w:val="BodyText"/>
        <w:spacing w:line="211" w:lineRule="auto"/>
        <w:ind w:left="827" w:right="8"/>
      </w:pPr>
      <w:r>
        <w:rPr>
          <w:color w:val="414042"/>
        </w:rPr>
        <w:t>report. Failure to achieve goals has the effect of drawing attention to the deficit, and this occurs very publicly every year. Taking a strength based approach to target setting and measurements that are co-designed between government and communities will assist Indigenous Australians to have greater capacity in supporting actions aimed at addressing the failings.</w:t>
      </w:r>
    </w:p>
    <w:p w:rsidR="005D53C3" w:rsidRPr="005D53C3" w:rsidRDefault="005D53C3" w:rsidP="005D53C3">
      <w:pPr>
        <w:pStyle w:val="BodyText"/>
        <w:spacing w:line="211" w:lineRule="auto"/>
        <w:ind w:left="827" w:right="8"/>
        <w:rPr>
          <w:color w:val="414042"/>
        </w:rPr>
      </w:pPr>
    </w:p>
    <w:p w:rsidR="00580ABF" w:rsidRDefault="005D53C3" w:rsidP="005D53C3">
      <w:pPr>
        <w:pStyle w:val="BodyText"/>
        <w:spacing w:line="211" w:lineRule="auto"/>
        <w:ind w:left="827" w:right="8"/>
      </w:pPr>
      <w:r w:rsidRPr="005D53C3">
        <w:rPr>
          <w:b/>
          <w:color w:val="414042"/>
        </w:rPr>
        <w:t>The key message from approximately 80% of those consulted is that the achievement or non-achievement of targets is viewed as coming from a deficit-based approach and needs to move to a strength-based approach.</w:t>
      </w:r>
      <w:r w:rsidR="00E352FF" w:rsidRPr="005D53C3">
        <w:rPr>
          <w:color w:val="414042"/>
        </w:rPr>
        <w:br w:type="column"/>
      </w:r>
      <w:r w:rsidR="00E352FF">
        <w:rPr>
          <w:color w:val="414042"/>
        </w:rPr>
        <w:t>Stakeholders asserted that a move to a strength-based approach will lead to a focus on the many positive achievements and outcomes that some initiatives of Closing the Gap produce. Having a strength-based approach will mean advocating for a positive sense of cultural identity that acknowledges and builds upon individual, family and communal strengths and strong leadership.</w:t>
      </w:r>
    </w:p>
    <w:p w:rsidR="00580ABF" w:rsidRDefault="00E352FF" w:rsidP="000A4CB1">
      <w:pPr>
        <w:pStyle w:val="BodyText"/>
        <w:spacing w:before="106" w:line="211" w:lineRule="auto"/>
        <w:ind w:left="827" w:right="1143"/>
      </w:pPr>
      <w:r>
        <w:rPr>
          <w:color w:val="414042"/>
        </w:rPr>
        <w:t>The literature also discusses the fact that the evidence for success of Closing the Gap is based on individual statistical indicators which do not account for the dynamics within a society: structural imbalances;</w:t>
      </w:r>
    </w:p>
    <w:p w:rsidR="00580ABF" w:rsidRDefault="00E352FF" w:rsidP="000A4CB1">
      <w:pPr>
        <w:pStyle w:val="BodyText"/>
        <w:spacing w:line="211" w:lineRule="auto"/>
        <w:ind w:left="827" w:right="1028"/>
      </w:pPr>
      <w:r>
        <w:rPr>
          <w:color w:val="414042"/>
        </w:rPr>
        <w:t>economics; racism; and discrimination (Pholi, et al., 2009). Pholi et al. (2009) argues that Closing the Gap positions Indigenous Australians as deficits to be “measured, monitored and rectified” and that this view reflects the gap in power between Indigenous and non-Indigenous Australia and the lack of control Indigenous Australians have over the Indigenous affairs agenda.</w:t>
      </w:r>
    </w:p>
    <w:p w:rsidR="00580ABF" w:rsidRDefault="00E352FF" w:rsidP="000A4CB1">
      <w:pPr>
        <w:pStyle w:val="BodyText"/>
        <w:spacing w:before="102" w:line="211" w:lineRule="auto"/>
        <w:ind w:left="827" w:right="1076"/>
        <w:rPr>
          <w:color w:val="414042"/>
        </w:rPr>
      </w:pPr>
      <w:r>
        <w:rPr>
          <w:color w:val="414042"/>
        </w:rPr>
        <w:t>Success is defined by how much Indigenous Australians change by conforming to pre-determined measures where sickness=Indigenous and whiteness=health and which ignore what may be positive about being an Aboriginal or Torres Strait Islander as this is not relevant to the evidence base (Biddle &amp; Markham, 2017b; Pholi, et al., 2009).</w:t>
      </w:r>
    </w:p>
    <w:p w:rsidR="005D53C3" w:rsidRDefault="005D53C3">
      <w:pPr>
        <w:pStyle w:val="BodyText"/>
        <w:spacing w:before="102" w:line="211" w:lineRule="auto"/>
        <w:ind w:left="439" w:right="1076"/>
        <w:rPr>
          <w:color w:val="414042"/>
        </w:rPr>
      </w:pPr>
    </w:p>
    <w:p w:rsidR="005D53C3" w:rsidRPr="005D3114" w:rsidRDefault="005D53C3" w:rsidP="000A4CB1">
      <w:pPr>
        <w:pStyle w:val="BodyText"/>
        <w:ind w:left="827"/>
        <w:rPr>
          <w:i/>
        </w:rPr>
      </w:pPr>
      <w:r w:rsidRPr="005D3114">
        <w:rPr>
          <w:i/>
        </w:rPr>
        <w:t xml:space="preserve">…. I get excited when we help a client who graduates from our program. … </w:t>
      </w:r>
      <w:r w:rsidRPr="005D3114">
        <w:rPr>
          <w:i/>
          <w:spacing w:val="-3"/>
        </w:rPr>
        <w:t xml:space="preserve">anyway, </w:t>
      </w:r>
      <w:r w:rsidRPr="005D3114">
        <w:rPr>
          <w:i/>
        </w:rPr>
        <w:t xml:space="preserve">bottom line is </w:t>
      </w:r>
      <w:r w:rsidRPr="005D3114">
        <w:rPr>
          <w:i/>
          <w:spacing w:val="-4"/>
        </w:rPr>
        <w:t xml:space="preserve">he’s </w:t>
      </w:r>
      <w:r w:rsidRPr="005D3114">
        <w:rPr>
          <w:i/>
        </w:rPr>
        <w:t>got permanent</w:t>
      </w:r>
      <w:r w:rsidRPr="005D3114">
        <w:rPr>
          <w:i/>
          <w:spacing w:val="-34"/>
        </w:rPr>
        <w:t xml:space="preserve"> </w:t>
      </w:r>
      <w:r w:rsidRPr="005D3114">
        <w:rPr>
          <w:i/>
        </w:rPr>
        <w:t xml:space="preserve">employment </w:t>
      </w:r>
      <w:r w:rsidRPr="005D3114">
        <w:rPr>
          <w:i/>
          <w:spacing w:val="-4"/>
        </w:rPr>
        <w:t xml:space="preserve">now, he’s </w:t>
      </w:r>
      <w:r w:rsidRPr="005D3114">
        <w:rPr>
          <w:i/>
        </w:rPr>
        <w:t xml:space="preserve">working for a scaffolding business, provided him a </w:t>
      </w:r>
      <w:r w:rsidRPr="005D3114">
        <w:rPr>
          <w:i/>
          <w:spacing w:val="-5"/>
        </w:rPr>
        <w:t xml:space="preserve">car, </w:t>
      </w:r>
      <w:r w:rsidRPr="005D3114">
        <w:rPr>
          <w:i/>
          <w:spacing w:val="-4"/>
        </w:rPr>
        <w:t xml:space="preserve">he’s </w:t>
      </w:r>
      <w:r w:rsidRPr="005D3114">
        <w:rPr>
          <w:i/>
        </w:rPr>
        <w:t xml:space="preserve">got a stable relationship… things are just going great … </w:t>
      </w:r>
      <w:r w:rsidRPr="005D3114">
        <w:rPr>
          <w:i/>
          <w:spacing w:val="-4"/>
        </w:rPr>
        <w:t xml:space="preserve">he’s </w:t>
      </w:r>
      <w:r w:rsidRPr="005D3114">
        <w:rPr>
          <w:i/>
        </w:rPr>
        <w:t xml:space="preserve">never worked before in his life, and </w:t>
      </w:r>
      <w:r w:rsidRPr="005D3114">
        <w:rPr>
          <w:i/>
          <w:spacing w:val="-4"/>
        </w:rPr>
        <w:t xml:space="preserve">he’s </w:t>
      </w:r>
      <w:r w:rsidRPr="005D3114">
        <w:rPr>
          <w:i/>
        </w:rPr>
        <w:t xml:space="preserve">now got a job and he now has self-pride… you see the pride in him. </w:t>
      </w:r>
      <w:r w:rsidRPr="005D3114">
        <w:rPr>
          <w:i/>
          <w:spacing w:val="-6"/>
        </w:rPr>
        <w:t xml:space="preserve">You </w:t>
      </w:r>
      <w:r w:rsidRPr="005D3114">
        <w:rPr>
          <w:i/>
        </w:rPr>
        <w:t xml:space="preserve">look in his eyes and </w:t>
      </w:r>
      <w:r w:rsidRPr="005D3114">
        <w:rPr>
          <w:i/>
          <w:spacing w:val="-4"/>
        </w:rPr>
        <w:t xml:space="preserve">he’s </w:t>
      </w:r>
      <w:r w:rsidRPr="005D3114">
        <w:rPr>
          <w:i/>
        </w:rPr>
        <w:t xml:space="preserve">just proud of what </w:t>
      </w:r>
      <w:r w:rsidRPr="005D3114">
        <w:rPr>
          <w:i/>
          <w:spacing w:val="-4"/>
        </w:rPr>
        <w:t xml:space="preserve">he’s </w:t>
      </w:r>
      <w:r w:rsidRPr="005D3114">
        <w:rPr>
          <w:i/>
        </w:rPr>
        <w:t>achieving. And he should</w:t>
      </w:r>
      <w:r w:rsidRPr="005D3114">
        <w:rPr>
          <w:i/>
          <w:spacing w:val="-2"/>
        </w:rPr>
        <w:t xml:space="preserve"> </w:t>
      </w:r>
      <w:r w:rsidRPr="005D3114">
        <w:rPr>
          <w:i/>
        </w:rPr>
        <w:t>be.</w:t>
      </w:r>
    </w:p>
    <w:p w:rsidR="005D53C3" w:rsidRPr="005D3114" w:rsidRDefault="005D53C3" w:rsidP="005D3114">
      <w:pPr>
        <w:pStyle w:val="BodyText"/>
        <w:rPr>
          <w:i/>
          <w:sz w:val="15"/>
        </w:rPr>
      </w:pPr>
    </w:p>
    <w:p w:rsidR="005D53C3" w:rsidRPr="005D3114" w:rsidRDefault="005D53C3" w:rsidP="000A4CB1">
      <w:pPr>
        <w:pStyle w:val="BodyText"/>
        <w:ind w:left="107" w:firstLine="720"/>
        <w:rPr>
          <w:i/>
        </w:rPr>
      </w:pPr>
      <w:r w:rsidRPr="005D3114">
        <w:rPr>
          <w:b/>
          <w:i/>
        </w:rPr>
        <w:t>NSW Stakeholder</w:t>
      </w:r>
    </w:p>
    <w:p w:rsidR="00580ABF" w:rsidRDefault="00580ABF">
      <w:pPr>
        <w:rPr>
          <w:sz w:val="21"/>
        </w:rPr>
        <w:sectPr w:rsidR="00580ABF">
          <w:type w:val="continuous"/>
          <w:pgSz w:w="11910" w:h="16840"/>
          <w:pgMar w:top="1580" w:right="180" w:bottom="280" w:left="420" w:header="720" w:footer="720" w:gutter="0"/>
          <w:cols w:num="2" w:space="720" w:equalWidth="0">
            <w:col w:w="5281" w:space="40"/>
            <w:col w:w="5989"/>
          </w:cols>
        </w:sectPr>
      </w:pPr>
    </w:p>
    <w:p w:rsidR="00580ABF" w:rsidRDefault="00580ABF">
      <w:pPr>
        <w:spacing w:line="211" w:lineRule="auto"/>
        <w:sectPr w:rsidR="00580ABF">
          <w:type w:val="continuous"/>
          <w:pgSz w:w="11910" w:h="16840"/>
          <w:pgMar w:top="1580" w:right="180" w:bottom="280" w:left="420" w:header="720" w:footer="720" w:gutter="0"/>
          <w:cols w:space="720"/>
        </w:sectPr>
      </w:pPr>
    </w:p>
    <w:p w:rsidR="00580ABF" w:rsidRDefault="00580ABF">
      <w:pPr>
        <w:rPr>
          <w:sz w:val="8"/>
        </w:rPr>
        <w:sectPr w:rsidR="00580ABF">
          <w:pgSz w:w="11910" w:h="16840"/>
          <w:pgMar w:top="1580" w:right="180" w:bottom="380" w:left="420" w:header="0" w:footer="183" w:gutter="0"/>
          <w:cols w:space="720"/>
        </w:sectPr>
      </w:pPr>
    </w:p>
    <w:p w:rsidR="00580ABF" w:rsidRDefault="00E352FF" w:rsidP="00B95B4C">
      <w:pPr>
        <w:pStyle w:val="Heading3"/>
        <w:ind w:left="0" w:firstLine="720"/>
      </w:pPr>
      <w:r>
        <w:t>Other key themes with respect to targets:</w:t>
      </w:r>
    </w:p>
    <w:p w:rsidR="00580ABF" w:rsidRPr="00B16E4A" w:rsidRDefault="00E352FF" w:rsidP="00E213D2">
      <w:pPr>
        <w:pStyle w:val="Heading4"/>
        <w:ind w:left="0" w:firstLine="720"/>
      </w:pPr>
      <w:r w:rsidRPr="00B16E4A">
        <w:t>IMPACT TARGETS</w:t>
      </w:r>
    </w:p>
    <w:p w:rsidR="00580ABF" w:rsidRPr="00350A09" w:rsidRDefault="00E352FF" w:rsidP="00350A09">
      <w:pPr>
        <w:pStyle w:val="BodyText"/>
        <w:spacing w:before="6" w:line="211" w:lineRule="auto"/>
        <w:ind w:left="720" w:right="1068"/>
        <w:rPr>
          <w:color w:val="414042"/>
        </w:rPr>
      </w:pPr>
      <w:r w:rsidRPr="00350A09">
        <w:rPr>
          <w:color w:val="414042"/>
        </w:rPr>
        <w:t>Targets lose sight of outcomes by counting output. A human rights approach can mean significant progress is made on an individual or community level without ticking the output box. There was a call throughout the consultations to measure outcomes and celebrate those successes.</w:t>
      </w:r>
    </w:p>
    <w:p w:rsidR="00580ABF" w:rsidRDefault="00580ABF">
      <w:pPr>
        <w:pStyle w:val="BodyText"/>
        <w:spacing w:before="3"/>
        <w:rPr>
          <w:sz w:val="20"/>
        </w:rPr>
      </w:pPr>
    </w:p>
    <w:p w:rsidR="00580ABF" w:rsidRDefault="00E352FF" w:rsidP="00E213D2">
      <w:pPr>
        <w:pStyle w:val="Heading4"/>
        <w:ind w:left="0" w:firstLine="720"/>
      </w:pPr>
      <w:r>
        <w:t>REALISTIC TARGETS</w:t>
      </w:r>
    </w:p>
    <w:p w:rsidR="00580ABF" w:rsidRDefault="00E352FF" w:rsidP="00E213D2">
      <w:pPr>
        <w:pStyle w:val="BodyText"/>
        <w:spacing w:before="6" w:line="211" w:lineRule="auto"/>
        <w:ind w:left="720" w:right="37"/>
        <w:rPr>
          <w:color w:val="414042"/>
        </w:rPr>
      </w:pPr>
      <w:r>
        <w:rPr>
          <w:color w:val="414042"/>
        </w:rPr>
        <w:t>Stakeholders wanted achievable targets, and some suggested having several ‘touch-points’ in the targets which could be measured at interim points, allowing for the target to be reassessed.</w:t>
      </w:r>
    </w:p>
    <w:p w:rsidR="00F96D66" w:rsidRDefault="00F96D66">
      <w:pPr>
        <w:pStyle w:val="BodyText"/>
        <w:spacing w:before="6" w:line="211" w:lineRule="auto"/>
        <w:ind w:left="827" w:right="37"/>
        <w:rPr>
          <w:color w:val="414042"/>
        </w:rPr>
      </w:pPr>
    </w:p>
    <w:p w:rsidR="00F96D66" w:rsidRPr="00350A09" w:rsidRDefault="00F96D66" w:rsidP="00501AA2">
      <w:pPr>
        <w:pStyle w:val="BodyText"/>
        <w:spacing w:before="6" w:line="211" w:lineRule="auto"/>
        <w:ind w:left="720" w:right="1068"/>
        <w:rPr>
          <w:i/>
          <w:color w:val="414042"/>
        </w:rPr>
      </w:pPr>
      <w:r w:rsidRPr="00350A09">
        <w:rPr>
          <w:i/>
          <w:color w:val="414042"/>
        </w:rPr>
        <w:t>I think it's important to have targets and goals and they need to be based on really solid data, not too out of reach that you set people up to fail and feel like failures this is too ambitious. However, can't be so low that you're not putting natural stress and pressure to try and push for better outcomes.</w:t>
      </w:r>
    </w:p>
    <w:p w:rsidR="00F96D66" w:rsidRPr="00350A09" w:rsidRDefault="00F96D66" w:rsidP="00350A09">
      <w:pPr>
        <w:pStyle w:val="BodyText"/>
        <w:spacing w:before="6" w:line="211" w:lineRule="auto"/>
        <w:ind w:left="827" w:right="1068"/>
        <w:rPr>
          <w:i/>
          <w:color w:val="414042"/>
        </w:rPr>
      </w:pPr>
    </w:p>
    <w:p w:rsidR="00F96D66" w:rsidRPr="00350A09" w:rsidRDefault="00F96D66" w:rsidP="00501AA2">
      <w:pPr>
        <w:pStyle w:val="BodyText"/>
        <w:spacing w:before="6" w:line="211" w:lineRule="auto"/>
        <w:ind w:right="1068" w:firstLine="720"/>
        <w:rPr>
          <w:i/>
          <w:color w:val="414042"/>
        </w:rPr>
      </w:pPr>
      <w:r w:rsidRPr="00350A09">
        <w:rPr>
          <w:i/>
          <w:color w:val="414042"/>
        </w:rPr>
        <w:t>Andrea Mason</w:t>
      </w:r>
    </w:p>
    <w:p w:rsidR="00F96D66" w:rsidRPr="00350A09" w:rsidRDefault="00F96D66" w:rsidP="00501AA2">
      <w:pPr>
        <w:pStyle w:val="BodyText"/>
        <w:spacing w:before="6" w:line="211" w:lineRule="auto"/>
        <w:ind w:left="720" w:right="1068"/>
        <w:rPr>
          <w:i/>
          <w:color w:val="414042"/>
        </w:rPr>
      </w:pPr>
      <w:r w:rsidRPr="00350A09">
        <w:rPr>
          <w:i/>
          <w:color w:val="414042"/>
        </w:rPr>
        <w:t>Co-chair IAC and CEO APY Lands Women’s Council</w:t>
      </w:r>
    </w:p>
    <w:p w:rsidR="00580ABF" w:rsidRDefault="00580ABF">
      <w:pPr>
        <w:pStyle w:val="BodyText"/>
        <w:spacing w:before="10"/>
        <w:rPr>
          <w:sz w:val="7"/>
        </w:rPr>
      </w:pPr>
    </w:p>
    <w:p w:rsidR="00580ABF" w:rsidRDefault="00E352FF" w:rsidP="00501AA2">
      <w:pPr>
        <w:pStyle w:val="BodyText"/>
        <w:spacing w:before="104" w:line="211" w:lineRule="auto"/>
        <w:ind w:left="720" w:right="99"/>
      </w:pPr>
      <w:r>
        <w:rPr>
          <w:color w:val="414042"/>
        </w:rPr>
        <w:t>The suggestion is for having realistic targets that have the potential for cumulative impacts and complement a generational approach to targets.</w:t>
      </w:r>
    </w:p>
    <w:p w:rsidR="00580ABF" w:rsidRDefault="00580ABF">
      <w:pPr>
        <w:pStyle w:val="BodyText"/>
        <w:spacing w:before="9"/>
        <w:rPr>
          <w:sz w:val="12"/>
        </w:rPr>
      </w:pPr>
    </w:p>
    <w:p w:rsidR="00580ABF" w:rsidRPr="00B16E4A" w:rsidRDefault="00E352FF" w:rsidP="00501AA2">
      <w:pPr>
        <w:pStyle w:val="Heading4"/>
        <w:ind w:left="0" w:firstLine="720"/>
      </w:pPr>
      <w:r w:rsidRPr="00B16E4A">
        <w:t>ACTION LEARNING</w:t>
      </w:r>
    </w:p>
    <w:p w:rsidR="00580ABF" w:rsidRDefault="00E352FF" w:rsidP="00501AA2">
      <w:pPr>
        <w:pStyle w:val="BodyText"/>
        <w:spacing w:before="6" w:line="211" w:lineRule="auto"/>
        <w:ind w:left="720" w:right="99"/>
        <w:rPr>
          <w:color w:val="414042"/>
          <w:spacing w:val="-4"/>
        </w:rPr>
      </w:pPr>
      <w:r>
        <w:rPr>
          <w:color w:val="414042"/>
          <w:spacing w:val="-3"/>
        </w:rPr>
        <w:t xml:space="preserve">Action learning, reflective practice </w:t>
      </w:r>
      <w:r>
        <w:rPr>
          <w:color w:val="414042"/>
        </w:rPr>
        <w:t xml:space="preserve">and </w:t>
      </w:r>
      <w:r>
        <w:rPr>
          <w:color w:val="414042"/>
          <w:spacing w:val="-4"/>
        </w:rPr>
        <w:t xml:space="preserve">continuous improvement were </w:t>
      </w:r>
      <w:r>
        <w:rPr>
          <w:color w:val="414042"/>
        </w:rPr>
        <w:t xml:space="preserve">all </w:t>
      </w:r>
      <w:r>
        <w:rPr>
          <w:color w:val="414042"/>
          <w:spacing w:val="-4"/>
        </w:rPr>
        <w:t xml:space="preserve">issues spoken </w:t>
      </w:r>
      <w:r>
        <w:rPr>
          <w:color w:val="414042"/>
        </w:rPr>
        <w:t xml:space="preserve">of </w:t>
      </w:r>
      <w:r>
        <w:rPr>
          <w:color w:val="414042"/>
          <w:spacing w:val="-3"/>
        </w:rPr>
        <w:t xml:space="preserve">during the </w:t>
      </w:r>
      <w:r>
        <w:rPr>
          <w:color w:val="414042"/>
          <w:spacing w:val="-4"/>
        </w:rPr>
        <w:t xml:space="preserve">consultations </w:t>
      </w:r>
      <w:r>
        <w:rPr>
          <w:color w:val="414042"/>
        </w:rPr>
        <w:t xml:space="preserve">in </w:t>
      </w:r>
      <w:r>
        <w:rPr>
          <w:color w:val="414042"/>
          <w:spacing w:val="-3"/>
        </w:rPr>
        <w:t xml:space="preserve">relation to </w:t>
      </w:r>
      <w:r>
        <w:rPr>
          <w:color w:val="414042"/>
          <w:spacing w:val="-4"/>
        </w:rPr>
        <w:t xml:space="preserve">learning </w:t>
      </w:r>
      <w:r>
        <w:rPr>
          <w:color w:val="414042"/>
          <w:spacing w:val="-3"/>
        </w:rPr>
        <w:t xml:space="preserve">from </w:t>
      </w:r>
      <w:r>
        <w:rPr>
          <w:color w:val="414042"/>
          <w:spacing w:val="-4"/>
        </w:rPr>
        <w:t xml:space="preserve">previous efforts </w:t>
      </w:r>
      <w:r>
        <w:rPr>
          <w:color w:val="414042"/>
          <w:spacing w:val="-3"/>
        </w:rPr>
        <w:t xml:space="preserve">to close </w:t>
      </w:r>
      <w:r>
        <w:rPr>
          <w:color w:val="414042"/>
        </w:rPr>
        <w:t xml:space="preserve">the </w:t>
      </w:r>
      <w:r>
        <w:rPr>
          <w:color w:val="414042"/>
          <w:spacing w:val="-4"/>
        </w:rPr>
        <w:t xml:space="preserve">gap. Stakeholders spoke </w:t>
      </w:r>
      <w:r>
        <w:rPr>
          <w:color w:val="414042"/>
        </w:rPr>
        <w:t xml:space="preserve">of the </w:t>
      </w:r>
      <w:r>
        <w:rPr>
          <w:color w:val="414042"/>
          <w:spacing w:val="-3"/>
        </w:rPr>
        <w:t xml:space="preserve">need to look to </w:t>
      </w:r>
      <w:r>
        <w:rPr>
          <w:color w:val="414042"/>
        </w:rPr>
        <w:t xml:space="preserve">the </w:t>
      </w:r>
      <w:r>
        <w:rPr>
          <w:color w:val="414042"/>
          <w:spacing w:val="-3"/>
        </w:rPr>
        <w:t xml:space="preserve">evidence </w:t>
      </w:r>
      <w:r>
        <w:rPr>
          <w:color w:val="414042"/>
        </w:rPr>
        <w:t xml:space="preserve">of </w:t>
      </w:r>
      <w:r>
        <w:rPr>
          <w:color w:val="414042"/>
          <w:spacing w:val="-4"/>
        </w:rPr>
        <w:t xml:space="preserve">what’s worked </w:t>
      </w:r>
      <w:r>
        <w:rPr>
          <w:color w:val="414042"/>
        </w:rPr>
        <w:t xml:space="preserve">and </w:t>
      </w:r>
      <w:r>
        <w:rPr>
          <w:color w:val="414042"/>
          <w:spacing w:val="-7"/>
        </w:rPr>
        <w:t xml:space="preserve">why, </w:t>
      </w:r>
      <w:r>
        <w:rPr>
          <w:color w:val="414042"/>
        </w:rPr>
        <w:t xml:space="preserve">as </w:t>
      </w:r>
      <w:r>
        <w:rPr>
          <w:color w:val="414042"/>
          <w:spacing w:val="-3"/>
        </w:rPr>
        <w:t xml:space="preserve">well </w:t>
      </w:r>
      <w:r>
        <w:rPr>
          <w:color w:val="414042"/>
        </w:rPr>
        <w:t xml:space="preserve">as </w:t>
      </w:r>
      <w:r>
        <w:rPr>
          <w:color w:val="414042"/>
          <w:spacing w:val="-4"/>
        </w:rPr>
        <w:t xml:space="preserve">gaining </w:t>
      </w:r>
      <w:r>
        <w:rPr>
          <w:color w:val="414042"/>
          <w:spacing w:val="-3"/>
        </w:rPr>
        <w:t xml:space="preserve">insights </w:t>
      </w:r>
      <w:r>
        <w:rPr>
          <w:color w:val="414042"/>
          <w:spacing w:val="-4"/>
        </w:rPr>
        <w:t xml:space="preserve">from </w:t>
      </w:r>
      <w:r>
        <w:rPr>
          <w:color w:val="414042"/>
          <w:spacing w:val="-3"/>
        </w:rPr>
        <w:t xml:space="preserve">initiatives that </w:t>
      </w:r>
      <w:r>
        <w:rPr>
          <w:color w:val="414042"/>
          <w:spacing w:val="-4"/>
        </w:rPr>
        <w:t xml:space="preserve">have </w:t>
      </w:r>
      <w:r>
        <w:rPr>
          <w:color w:val="414042"/>
        </w:rPr>
        <w:t xml:space="preserve">not </w:t>
      </w:r>
      <w:r>
        <w:rPr>
          <w:color w:val="414042"/>
          <w:spacing w:val="-3"/>
        </w:rPr>
        <w:t xml:space="preserve">been </w:t>
      </w:r>
      <w:r>
        <w:rPr>
          <w:color w:val="414042"/>
          <w:spacing w:val="-4"/>
        </w:rPr>
        <w:t>successful.</w:t>
      </w:r>
    </w:p>
    <w:p w:rsidR="00F96D66" w:rsidRDefault="00F96D66">
      <w:pPr>
        <w:pStyle w:val="BodyText"/>
        <w:spacing w:before="6" w:line="211" w:lineRule="auto"/>
        <w:ind w:left="827" w:right="99"/>
        <w:rPr>
          <w:color w:val="414042"/>
          <w:spacing w:val="-4"/>
        </w:rPr>
      </w:pPr>
    </w:p>
    <w:p w:rsidR="00F96D66" w:rsidRPr="00350A09" w:rsidRDefault="00F96D66" w:rsidP="00501AA2">
      <w:pPr>
        <w:pStyle w:val="BodyText"/>
        <w:spacing w:before="6" w:line="211" w:lineRule="auto"/>
        <w:ind w:left="720" w:right="1068"/>
        <w:rPr>
          <w:color w:val="414042"/>
        </w:rPr>
      </w:pPr>
      <w:r w:rsidRPr="00350A09">
        <w:rPr>
          <w:color w:val="414042"/>
        </w:rPr>
        <w:t>Ensuring a greater emphasis of interrogation of the success or failure to achieve targets through applying an action learning approach was suggested as a way of better understanding the outcome and incorporating learnings. This approach aligns with the concept of place-based responses to tackling problems.</w:t>
      </w:r>
    </w:p>
    <w:p w:rsidR="00580ABF" w:rsidRPr="00B16E4A" w:rsidRDefault="00E352FF" w:rsidP="00B95B4C">
      <w:pPr>
        <w:pStyle w:val="Heading4"/>
        <w:ind w:left="0" w:firstLine="413"/>
      </w:pPr>
      <w:r>
        <w:rPr>
          <w:b w:val="0"/>
        </w:rPr>
        <w:br w:type="column"/>
      </w:r>
      <w:r w:rsidRPr="00B16E4A">
        <w:t>CONTEXTUALISING TARGETS</w:t>
      </w:r>
    </w:p>
    <w:p w:rsidR="00580ABF" w:rsidRDefault="00E352FF">
      <w:pPr>
        <w:pStyle w:val="BodyText"/>
        <w:spacing w:before="6" w:line="211" w:lineRule="auto"/>
        <w:ind w:left="413" w:right="1123"/>
        <w:rPr>
          <w:color w:val="414042"/>
          <w:spacing w:val="-6"/>
        </w:rPr>
      </w:pPr>
      <w:r>
        <w:rPr>
          <w:color w:val="414042"/>
          <w:spacing w:val="-4"/>
        </w:rPr>
        <w:t xml:space="preserve">Numerous </w:t>
      </w:r>
      <w:r>
        <w:rPr>
          <w:color w:val="414042"/>
          <w:spacing w:val="-5"/>
        </w:rPr>
        <w:t xml:space="preserve">stakeholders spoke </w:t>
      </w:r>
      <w:r>
        <w:rPr>
          <w:color w:val="414042"/>
        </w:rPr>
        <w:t xml:space="preserve">of </w:t>
      </w:r>
      <w:r>
        <w:rPr>
          <w:color w:val="414042"/>
          <w:spacing w:val="-5"/>
        </w:rPr>
        <w:t xml:space="preserve">contextualising targets </w:t>
      </w:r>
      <w:r>
        <w:rPr>
          <w:color w:val="414042"/>
        </w:rPr>
        <w:t xml:space="preserve">– </w:t>
      </w:r>
      <w:r>
        <w:rPr>
          <w:color w:val="414042"/>
          <w:spacing w:val="-4"/>
        </w:rPr>
        <w:t xml:space="preserve">that they thought </w:t>
      </w:r>
      <w:r>
        <w:rPr>
          <w:color w:val="414042"/>
          <w:spacing w:val="-3"/>
        </w:rPr>
        <w:t xml:space="preserve">the </w:t>
      </w:r>
      <w:r>
        <w:rPr>
          <w:color w:val="414042"/>
          <w:spacing w:val="-5"/>
        </w:rPr>
        <w:t xml:space="preserve">programs </w:t>
      </w:r>
      <w:r>
        <w:rPr>
          <w:color w:val="414042"/>
          <w:spacing w:val="-4"/>
        </w:rPr>
        <w:t xml:space="preserve">they </w:t>
      </w:r>
      <w:r>
        <w:rPr>
          <w:color w:val="414042"/>
          <w:spacing w:val="-5"/>
        </w:rPr>
        <w:t xml:space="preserve">were involved </w:t>
      </w:r>
      <w:r>
        <w:rPr>
          <w:color w:val="414042"/>
        </w:rPr>
        <w:t xml:space="preserve">in </w:t>
      </w:r>
      <w:r>
        <w:rPr>
          <w:color w:val="414042"/>
          <w:spacing w:val="-4"/>
        </w:rPr>
        <w:t xml:space="preserve">did </w:t>
      </w:r>
      <w:r>
        <w:rPr>
          <w:color w:val="414042"/>
          <w:spacing w:val="-3"/>
        </w:rPr>
        <w:t xml:space="preserve">not </w:t>
      </w:r>
      <w:r>
        <w:rPr>
          <w:color w:val="414042"/>
          <w:spacing w:val="-5"/>
        </w:rPr>
        <w:t xml:space="preserve">have </w:t>
      </w:r>
      <w:r>
        <w:rPr>
          <w:color w:val="414042"/>
          <w:spacing w:val="-4"/>
        </w:rPr>
        <w:t xml:space="preserve">realistic </w:t>
      </w:r>
      <w:r>
        <w:rPr>
          <w:color w:val="414042"/>
          <w:spacing w:val="-5"/>
        </w:rPr>
        <w:t xml:space="preserve">targets </w:t>
      </w:r>
      <w:r>
        <w:rPr>
          <w:color w:val="414042"/>
          <w:spacing w:val="-4"/>
        </w:rPr>
        <w:t xml:space="preserve">for </w:t>
      </w:r>
      <w:r>
        <w:rPr>
          <w:color w:val="414042"/>
          <w:spacing w:val="-3"/>
        </w:rPr>
        <w:t xml:space="preserve">the </w:t>
      </w:r>
      <w:r>
        <w:rPr>
          <w:color w:val="414042"/>
          <w:spacing w:val="-4"/>
        </w:rPr>
        <w:t xml:space="preserve">communities </w:t>
      </w:r>
      <w:r>
        <w:rPr>
          <w:color w:val="414042"/>
        </w:rPr>
        <w:t xml:space="preserve">in </w:t>
      </w:r>
      <w:r>
        <w:rPr>
          <w:color w:val="414042"/>
          <w:spacing w:val="-4"/>
        </w:rPr>
        <w:t xml:space="preserve">which they </w:t>
      </w:r>
      <w:r>
        <w:rPr>
          <w:color w:val="414042"/>
          <w:spacing w:val="-5"/>
        </w:rPr>
        <w:t xml:space="preserve">were </w:t>
      </w:r>
      <w:r>
        <w:rPr>
          <w:color w:val="414042"/>
          <w:spacing w:val="-4"/>
        </w:rPr>
        <w:t xml:space="preserve">being </w:t>
      </w:r>
      <w:r>
        <w:rPr>
          <w:color w:val="414042"/>
          <w:spacing w:val="-5"/>
        </w:rPr>
        <w:t xml:space="preserve">delivered. </w:t>
      </w:r>
      <w:r>
        <w:rPr>
          <w:color w:val="414042"/>
          <w:spacing w:val="-3"/>
        </w:rPr>
        <w:t xml:space="preserve">Some </w:t>
      </w:r>
      <w:r>
        <w:rPr>
          <w:color w:val="414042"/>
          <w:spacing w:val="-4"/>
        </w:rPr>
        <w:t xml:space="preserve">went </w:t>
      </w:r>
      <w:r>
        <w:rPr>
          <w:color w:val="414042"/>
        </w:rPr>
        <w:t xml:space="preserve">on </w:t>
      </w:r>
      <w:r>
        <w:rPr>
          <w:color w:val="414042"/>
          <w:spacing w:val="-3"/>
        </w:rPr>
        <w:t xml:space="preserve">to </w:t>
      </w:r>
      <w:r>
        <w:rPr>
          <w:color w:val="414042"/>
          <w:spacing w:val="-4"/>
        </w:rPr>
        <w:t xml:space="preserve">suggest that </w:t>
      </w:r>
      <w:r>
        <w:rPr>
          <w:color w:val="414042"/>
          <w:spacing w:val="-6"/>
        </w:rPr>
        <w:t xml:space="preserve">targets </w:t>
      </w:r>
      <w:r>
        <w:rPr>
          <w:color w:val="414042"/>
          <w:spacing w:val="-4"/>
        </w:rPr>
        <w:t xml:space="preserve">should </w:t>
      </w:r>
      <w:r>
        <w:rPr>
          <w:color w:val="414042"/>
        </w:rPr>
        <w:t xml:space="preserve">be </w:t>
      </w:r>
      <w:r>
        <w:rPr>
          <w:color w:val="414042"/>
          <w:spacing w:val="-3"/>
        </w:rPr>
        <w:t xml:space="preserve">set by </w:t>
      </w:r>
      <w:r>
        <w:rPr>
          <w:color w:val="414042"/>
          <w:spacing w:val="-4"/>
        </w:rPr>
        <w:t xml:space="preserve">local communities, </w:t>
      </w:r>
      <w:r>
        <w:rPr>
          <w:color w:val="414042"/>
          <w:spacing w:val="-3"/>
        </w:rPr>
        <w:t xml:space="preserve">who </w:t>
      </w:r>
      <w:r>
        <w:rPr>
          <w:color w:val="414042"/>
          <w:spacing w:val="-4"/>
        </w:rPr>
        <w:t xml:space="preserve">know </w:t>
      </w:r>
      <w:r>
        <w:rPr>
          <w:color w:val="414042"/>
          <w:spacing w:val="-3"/>
        </w:rPr>
        <w:t xml:space="preserve">the </w:t>
      </w:r>
      <w:r>
        <w:rPr>
          <w:color w:val="414042"/>
          <w:spacing w:val="-4"/>
        </w:rPr>
        <w:t xml:space="preserve">social, cultural </w:t>
      </w:r>
      <w:r>
        <w:rPr>
          <w:color w:val="414042"/>
          <w:spacing w:val="-3"/>
        </w:rPr>
        <w:t xml:space="preserve">and </w:t>
      </w:r>
      <w:r>
        <w:rPr>
          <w:color w:val="414042"/>
          <w:spacing w:val="-4"/>
        </w:rPr>
        <w:t xml:space="preserve">economic </w:t>
      </w:r>
      <w:r>
        <w:rPr>
          <w:color w:val="414042"/>
          <w:spacing w:val="-5"/>
        </w:rPr>
        <w:t xml:space="preserve">context </w:t>
      </w:r>
      <w:r>
        <w:rPr>
          <w:color w:val="414042"/>
          <w:spacing w:val="-3"/>
        </w:rPr>
        <w:t xml:space="preserve">and </w:t>
      </w:r>
      <w:r>
        <w:rPr>
          <w:color w:val="414042"/>
          <w:spacing w:val="-4"/>
        </w:rPr>
        <w:t xml:space="preserve">can </w:t>
      </w:r>
      <w:r>
        <w:rPr>
          <w:color w:val="414042"/>
          <w:spacing w:val="-3"/>
        </w:rPr>
        <w:t xml:space="preserve">set </w:t>
      </w:r>
      <w:r>
        <w:rPr>
          <w:color w:val="414042"/>
          <w:spacing w:val="-4"/>
        </w:rPr>
        <w:t xml:space="preserve">realistic </w:t>
      </w:r>
      <w:r>
        <w:rPr>
          <w:color w:val="414042"/>
          <w:spacing w:val="-6"/>
        </w:rPr>
        <w:t>targets.</w:t>
      </w:r>
    </w:p>
    <w:p w:rsidR="00F96D66" w:rsidRPr="00F96D66" w:rsidRDefault="00F96D66" w:rsidP="00F96D66">
      <w:pPr>
        <w:pStyle w:val="BodyText"/>
        <w:spacing w:line="211" w:lineRule="auto"/>
        <w:ind w:left="827" w:right="8"/>
        <w:rPr>
          <w:b/>
          <w:color w:val="414042"/>
        </w:rPr>
      </w:pPr>
    </w:p>
    <w:p w:rsidR="00F96D66" w:rsidRPr="00F96D66" w:rsidRDefault="00F96D66" w:rsidP="00F96D66">
      <w:pPr>
        <w:pStyle w:val="BodyText"/>
        <w:spacing w:line="211" w:lineRule="auto"/>
        <w:ind w:left="413" w:right="8" w:firstLine="4"/>
        <w:rPr>
          <w:b/>
          <w:color w:val="414042"/>
        </w:rPr>
      </w:pPr>
      <w:r w:rsidRPr="00F96D66">
        <w:rPr>
          <w:b/>
          <w:color w:val="414042"/>
        </w:rPr>
        <w:t>It was a core theme of the literature and the consultations that projects be Indigenous led. This means allowing communities to analyse the issues and set their own targets.</w:t>
      </w:r>
    </w:p>
    <w:p w:rsidR="00580ABF" w:rsidRDefault="00580ABF">
      <w:pPr>
        <w:pStyle w:val="BodyText"/>
        <w:spacing w:before="6"/>
        <w:rPr>
          <w:sz w:val="8"/>
        </w:rPr>
      </w:pPr>
    </w:p>
    <w:p w:rsidR="00580ABF" w:rsidRDefault="00580ABF">
      <w:pPr>
        <w:pStyle w:val="BodyText"/>
        <w:spacing w:before="14"/>
        <w:rPr>
          <w:sz w:val="15"/>
        </w:rPr>
      </w:pPr>
    </w:p>
    <w:p w:rsidR="00580ABF" w:rsidRPr="00B16E4A" w:rsidRDefault="00E352FF" w:rsidP="00B95B4C">
      <w:pPr>
        <w:pStyle w:val="Heading4"/>
        <w:ind w:left="0" w:firstLine="413"/>
      </w:pPr>
      <w:r w:rsidRPr="00B16E4A">
        <w:t>OMISSIONS</w:t>
      </w:r>
    </w:p>
    <w:p w:rsidR="00580ABF" w:rsidRDefault="00E352FF">
      <w:pPr>
        <w:pStyle w:val="BodyText"/>
        <w:spacing w:before="6" w:line="211" w:lineRule="auto"/>
        <w:ind w:left="413" w:right="1068"/>
        <w:rPr>
          <w:color w:val="414042"/>
        </w:rPr>
      </w:pPr>
      <w:r>
        <w:rPr>
          <w:color w:val="414042"/>
        </w:rPr>
        <w:t>As with the general discussion about the framework, while there was general agreement that the concept of targets was sound, there was also discussion on what was omitted from the framework that needed to be included to assist in Closing the Gap. There was significant discussion about the absence of a focus on justice as a part of the framework, given the interconnectedness of issues facing Indigenous Australia is well documented.</w:t>
      </w:r>
    </w:p>
    <w:p w:rsidR="00F96D66" w:rsidRDefault="00F96D66">
      <w:pPr>
        <w:pStyle w:val="BodyText"/>
        <w:spacing w:before="6" w:line="211" w:lineRule="auto"/>
        <w:ind w:left="413" w:right="1068"/>
        <w:rPr>
          <w:color w:val="414042"/>
        </w:rPr>
      </w:pPr>
    </w:p>
    <w:p w:rsidR="00F96D66" w:rsidRPr="00350A09" w:rsidRDefault="00F96D66" w:rsidP="00350A09">
      <w:pPr>
        <w:pStyle w:val="BodyText"/>
        <w:spacing w:before="6" w:line="211" w:lineRule="auto"/>
        <w:ind w:left="413" w:right="1068"/>
        <w:rPr>
          <w:i/>
          <w:color w:val="414042"/>
        </w:rPr>
      </w:pPr>
      <w:r w:rsidRPr="00350A09">
        <w:rPr>
          <w:i/>
          <w:color w:val="414042"/>
        </w:rPr>
        <w:t>There is an enormous amount of evidence to support the call for justice targets.</w:t>
      </w:r>
      <w:r w:rsidR="00CF2220">
        <w:rPr>
          <w:i/>
          <w:color w:val="414042"/>
        </w:rPr>
        <w:t xml:space="preserve"> </w:t>
      </w:r>
      <w:r w:rsidRPr="00350A09">
        <w:rPr>
          <w:i/>
          <w:color w:val="414042"/>
        </w:rPr>
        <w:t>Reconciliation Australia has urged all Australian governments – both federal and state – to renew and lift their action on the Closing the Gap targets and framework. This must include strategic targets that speak directly to reducing rates of incarceration in Aboriginal and Torres Strait Islander communities, community-led strategies and funding that can effectively achieve the Closing the Gap targets.</w:t>
      </w:r>
    </w:p>
    <w:p w:rsidR="00F96D66" w:rsidRPr="00350A09" w:rsidRDefault="00F96D66" w:rsidP="00350A09">
      <w:pPr>
        <w:pStyle w:val="BodyText"/>
        <w:spacing w:before="6" w:line="211" w:lineRule="auto"/>
        <w:ind w:left="827" w:right="1068"/>
        <w:rPr>
          <w:i/>
          <w:color w:val="414042"/>
        </w:rPr>
      </w:pPr>
    </w:p>
    <w:p w:rsidR="00F96D66" w:rsidRPr="00350A09" w:rsidRDefault="00F96D66" w:rsidP="00350A09">
      <w:pPr>
        <w:pStyle w:val="BodyText"/>
        <w:spacing w:before="6" w:line="211" w:lineRule="auto"/>
        <w:ind w:right="1068" w:firstLine="413"/>
        <w:rPr>
          <w:i/>
          <w:color w:val="414042"/>
        </w:rPr>
      </w:pPr>
      <w:r w:rsidRPr="00350A09">
        <w:rPr>
          <w:i/>
          <w:color w:val="414042"/>
        </w:rPr>
        <w:t>Reconciliation Australia, 2016</w:t>
      </w:r>
    </w:p>
    <w:p w:rsidR="00580ABF" w:rsidRDefault="00580ABF">
      <w:pPr>
        <w:pStyle w:val="BodyText"/>
        <w:spacing w:before="6"/>
        <w:rPr>
          <w:sz w:val="7"/>
        </w:rPr>
      </w:pPr>
    </w:p>
    <w:p w:rsidR="00580ABF" w:rsidRDefault="00580ABF">
      <w:pPr>
        <w:rPr>
          <w:sz w:val="21"/>
        </w:rPr>
        <w:sectPr w:rsidR="00580ABF">
          <w:type w:val="continuous"/>
          <w:pgSz w:w="11910" w:h="16840"/>
          <w:pgMar w:top="1580" w:right="180" w:bottom="280" w:left="420" w:header="720" w:footer="720" w:gutter="0"/>
          <w:cols w:num="2" w:space="720" w:equalWidth="0">
            <w:col w:w="5306" w:space="40"/>
            <w:col w:w="5964"/>
          </w:cols>
        </w:sectPr>
      </w:pPr>
    </w:p>
    <w:p w:rsidR="00580ABF" w:rsidRDefault="00580ABF">
      <w:pPr>
        <w:pStyle w:val="BodyText"/>
        <w:spacing w:before="6" w:after="1"/>
        <w:rPr>
          <w:sz w:val="8"/>
        </w:rPr>
      </w:pPr>
    </w:p>
    <w:p w:rsidR="00580ABF" w:rsidRDefault="00580ABF">
      <w:pPr>
        <w:spacing w:line="211" w:lineRule="auto"/>
        <w:sectPr w:rsidR="00580ABF">
          <w:type w:val="continuous"/>
          <w:pgSz w:w="11910" w:h="16840"/>
          <w:pgMar w:top="1580" w:right="180" w:bottom="280" w:left="420" w:header="720" w:footer="720" w:gutter="0"/>
          <w:cols w:space="720"/>
        </w:sectPr>
      </w:pPr>
    </w:p>
    <w:p w:rsidR="00580ABF" w:rsidRDefault="00580ABF">
      <w:pPr>
        <w:pStyle w:val="BodyText"/>
        <w:spacing w:before="9"/>
        <w:rPr>
          <w:sz w:val="17"/>
        </w:rPr>
      </w:pPr>
    </w:p>
    <w:p w:rsidR="00580ABF" w:rsidRPr="00357CAD" w:rsidRDefault="00357CAD" w:rsidP="00A244CC">
      <w:pPr>
        <w:pStyle w:val="Heading2"/>
        <w:sectPr w:rsidR="00580ABF" w:rsidRPr="00357CAD">
          <w:pgSz w:w="11910" w:h="16840"/>
          <w:pgMar w:top="840" w:right="180" w:bottom="380" w:left="420" w:header="0" w:footer="183" w:gutter="0"/>
          <w:cols w:space="720"/>
        </w:sectPr>
      </w:pPr>
      <w:r w:rsidRPr="00357CAD">
        <w:t>THEME 3: IMPLEMENTATION</w:t>
      </w:r>
    </w:p>
    <w:p w:rsidR="00580ABF" w:rsidRDefault="00E352FF" w:rsidP="00B16E4A">
      <w:pPr>
        <w:pStyle w:val="Heading3"/>
      </w:pPr>
      <w:r>
        <w:t>Introduction</w:t>
      </w:r>
    </w:p>
    <w:p w:rsidR="00580ABF" w:rsidRPr="00350A09" w:rsidRDefault="00E352FF" w:rsidP="00CF2220">
      <w:pPr>
        <w:pStyle w:val="BodyText"/>
        <w:spacing w:before="216" w:line="211" w:lineRule="auto"/>
        <w:ind w:left="827" w:right="188"/>
        <w:rPr>
          <w:color w:val="414042"/>
        </w:rPr>
      </w:pPr>
      <w:r w:rsidRPr="00350A09">
        <w:rPr>
          <w:color w:val="414042"/>
        </w:rPr>
        <w:t>Despite considerable policy intervention and substantial financial investment in trying</w:t>
      </w:r>
      <w:r w:rsidR="00CF2220">
        <w:rPr>
          <w:color w:val="414042"/>
        </w:rPr>
        <w:t xml:space="preserve"> </w:t>
      </w:r>
      <w:r w:rsidRPr="00350A09">
        <w:rPr>
          <w:color w:val="414042"/>
        </w:rPr>
        <w:t>to close the gap between Indigenous and non-Indigenous Australians, problems in successfully implementing Indigenous policy have been persistent over time.</w:t>
      </w:r>
    </w:p>
    <w:p w:rsidR="00580ABF" w:rsidRDefault="00E352FF">
      <w:pPr>
        <w:pStyle w:val="BodyText"/>
        <w:spacing w:before="216" w:line="211" w:lineRule="auto"/>
        <w:ind w:left="827" w:right="188"/>
      </w:pPr>
      <w:r>
        <w:rPr>
          <w:color w:val="414042"/>
        </w:rPr>
        <w:t>This literature review has identified that, apart from the 2012 review by the Closing the Gap Clearinghouse, there</w:t>
      </w:r>
      <w:r>
        <w:rPr>
          <w:color w:val="414042"/>
          <w:spacing w:val="-6"/>
        </w:rPr>
        <w:t xml:space="preserve"> </w:t>
      </w:r>
      <w:r>
        <w:rPr>
          <w:color w:val="414042"/>
        </w:rPr>
        <w:t>have</w:t>
      </w:r>
      <w:r>
        <w:rPr>
          <w:color w:val="414042"/>
          <w:spacing w:val="-5"/>
        </w:rPr>
        <w:t xml:space="preserve"> </w:t>
      </w:r>
      <w:r>
        <w:rPr>
          <w:color w:val="414042"/>
        </w:rPr>
        <w:t>been</w:t>
      </w:r>
      <w:r>
        <w:rPr>
          <w:color w:val="414042"/>
          <w:spacing w:val="-6"/>
        </w:rPr>
        <w:t xml:space="preserve"> </w:t>
      </w:r>
      <w:r>
        <w:rPr>
          <w:color w:val="414042"/>
        </w:rPr>
        <w:t>limited</w:t>
      </w:r>
      <w:r>
        <w:rPr>
          <w:color w:val="414042"/>
          <w:spacing w:val="-5"/>
        </w:rPr>
        <w:t xml:space="preserve"> </w:t>
      </w:r>
      <w:r>
        <w:rPr>
          <w:color w:val="414042"/>
        </w:rPr>
        <w:t>attempts</w:t>
      </w:r>
      <w:r>
        <w:rPr>
          <w:color w:val="414042"/>
          <w:spacing w:val="-5"/>
        </w:rPr>
        <w:t xml:space="preserve"> </w:t>
      </w:r>
      <w:r>
        <w:rPr>
          <w:color w:val="414042"/>
        </w:rPr>
        <w:t>to</w:t>
      </w:r>
      <w:r>
        <w:rPr>
          <w:color w:val="414042"/>
          <w:spacing w:val="-6"/>
        </w:rPr>
        <w:t xml:space="preserve"> </w:t>
      </w:r>
      <w:r>
        <w:rPr>
          <w:color w:val="414042"/>
        </w:rPr>
        <w:t>bring</w:t>
      </w:r>
      <w:r>
        <w:rPr>
          <w:color w:val="414042"/>
          <w:spacing w:val="-6"/>
        </w:rPr>
        <w:t xml:space="preserve"> </w:t>
      </w:r>
      <w:r>
        <w:rPr>
          <w:color w:val="414042"/>
        </w:rPr>
        <w:t>together</w:t>
      </w:r>
      <w:r>
        <w:rPr>
          <w:color w:val="414042"/>
          <w:spacing w:val="-5"/>
        </w:rPr>
        <w:t xml:space="preserve"> </w:t>
      </w:r>
      <w:r>
        <w:rPr>
          <w:color w:val="414042"/>
        </w:rPr>
        <w:t>and synthesise</w:t>
      </w:r>
      <w:r>
        <w:rPr>
          <w:color w:val="414042"/>
          <w:spacing w:val="-7"/>
        </w:rPr>
        <w:t xml:space="preserve"> </w:t>
      </w:r>
      <w:r>
        <w:rPr>
          <w:color w:val="414042"/>
        </w:rPr>
        <w:t>findings</w:t>
      </w:r>
      <w:r>
        <w:rPr>
          <w:color w:val="414042"/>
          <w:spacing w:val="-7"/>
        </w:rPr>
        <w:t xml:space="preserve"> </w:t>
      </w:r>
      <w:r>
        <w:rPr>
          <w:color w:val="414042"/>
        </w:rPr>
        <w:t>from</w:t>
      </w:r>
      <w:r>
        <w:rPr>
          <w:color w:val="414042"/>
          <w:spacing w:val="-7"/>
        </w:rPr>
        <w:t xml:space="preserve"> </w:t>
      </w:r>
      <w:r>
        <w:rPr>
          <w:color w:val="414042"/>
        </w:rPr>
        <w:t>research</w:t>
      </w:r>
      <w:r>
        <w:rPr>
          <w:color w:val="414042"/>
          <w:spacing w:val="-7"/>
        </w:rPr>
        <w:t xml:space="preserve"> </w:t>
      </w:r>
      <w:r>
        <w:rPr>
          <w:color w:val="414042"/>
        </w:rPr>
        <w:t>and</w:t>
      </w:r>
      <w:r>
        <w:rPr>
          <w:color w:val="414042"/>
          <w:spacing w:val="-7"/>
        </w:rPr>
        <w:t xml:space="preserve"> </w:t>
      </w:r>
      <w:r>
        <w:rPr>
          <w:color w:val="414042"/>
        </w:rPr>
        <w:t>evaluation</w:t>
      </w:r>
      <w:r>
        <w:rPr>
          <w:color w:val="414042"/>
          <w:spacing w:val="-7"/>
        </w:rPr>
        <w:t xml:space="preserve"> </w:t>
      </w:r>
      <w:r>
        <w:rPr>
          <w:color w:val="414042"/>
        </w:rPr>
        <w:t>across the various Closing the Gap initiatives to identify</w:t>
      </w:r>
      <w:r>
        <w:rPr>
          <w:color w:val="414042"/>
          <w:spacing w:val="-27"/>
        </w:rPr>
        <w:t xml:space="preserve"> </w:t>
      </w:r>
      <w:r>
        <w:rPr>
          <w:color w:val="414042"/>
        </w:rPr>
        <w:t>what</w:t>
      </w:r>
    </w:p>
    <w:p w:rsidR="00580ABF" w:rsidRDefault="00E352FF">
      <w:pPr>
        <w:pStyle w:val="BodyText"/>
        <w:spacing w:line="211" w:lineRule="auto"/>
        <w:ind w:left="827" w:right="29"/>
        <w:jc w:val="both"/>
      </w:pPr>
      <w:r>
        <w:rPr>
          <w:color w:val="414042"/>
        </w:rPr>
        <w:t>has</w:t>
      </w:r>
      <w:r>
        <w:rPr>
          <w:color w:val="414042"/>
          <w:spacing w:val="-6"/>
        </w:rPr>
        <w:t xml:space="preserve"> </w:t>
      </w:r>
      <w:r>
        <w:rPr>
          <w:color w:val="414042"/>
        </w:rPr>
        <w:t>worked</w:t>
      </w:r>
      <w:r>
        <w:rPr>
          <w:color w:val="414042"/>
          <w:spacing w:val="-4"/>
        </w:rPr>
        <w:t xml:space="preserve"> </w:t>
      </w:r>
      <w:r>
        <w:rPr>
          <w:color w:val="414042"/>
        </w:rPr>
        <w:t>and</w:t>
      </w:r>
      <w:r>
        <w:rPr>
          <w:color w:val="414042"/>
          <w:spacing w:val="-5"/>
        </w:rPr>
        <w:t xml:space="preserve"> </w:t>
      </w:r>
      <w:r>
        <w:rPr>
          <w:color w:val="414042"/>
        </w:rPr>
        <w:t>what</w:t>
      </w:r>
      <w:r>
        <w:rPr>
          <w:color w:val="414042"/>
          <w:spacing w:val="-5"/>
        </w:rPr>
        <w:t xml:space="preserve"> </w:t>
      </w:r>
      <w:r>
        <w:rPr>
          <w:color w:val="414042"/>
        </w:rPr>
        <w:t>lessons</w:t>
      </w:r>
      <w:r>
        <w:rPr>
          <w:color w:val="414042"/>
          <w:spacing w:val="-5"/>
        </w:rPr>
        <w:t xml:space="preserve"> </w:t>
      </w:r>
      <w:r>
        <w:rPr>
          <w:color w:val="414042"/>
        </w:rPr>
        <w:t>have</w:t>
      </w:r>
      <w:r>
        <w:rPr>
          <w:color w:val="414042"/>
          <w:spacing w:val="-5"/>
        </w:rPr>
        <w:t xml:space="preserve"> </w:t>
      </w:r>
      <w:r>
        <w:rPr>
          <w:color w:val="414042"/>
        </w:rPr>
        <w:t>been</w:t>
      </w:r>
      <w:r>
        <w:rPr>
          <w:color w:val="414042"/>
          <w:spacing w:val="-5"/>
        </w:rPr>
        <w:t xml:space="preserve"> </w:t>
      </w:r>
      <w:r>
        <w:rPr>
          <w:color w:val="414042"/>
        </w:rPr>
        <w:t>learned</w:t>
      </w:r>
      <w:r>
        <w:rPr>
          <w:color w:val="414042"/>
          <w:spacing w:val="-5"/>
        </w:rPr>
        <w:t xml:space="preserve"> </w:t>
      </w:r>
      <w:r>
        <w:rPr>
          <w:color w:val="414042"/>
        </w:rPr>
        <w:t>from</w:t>
      </w:r>
      <w:r>
        <w:rPr>
          <w:color w:val="414042"/>
          <w:spacing w:val="-5"/>
        </w:rPr>
        <w:t xml:space="preserve"> </w:t>
      </w:r>
      <w:r>
        <w:rPr>
          <w:color w:val="414042"/>
        </w:rPr>
        <w:t>the implementation</w:t>
      </w:r>
      <w:r>
        <w:rPr>
          <w:color w:val="414042"/>
          <w:spacing w:val="-7"/>
        </w:rPr>
        <w:t xml:space="preserve"> </w:t>
      </w:r>
      <w:r>
        <w:rPr>
          <w:color w:val="414042"/>
        </w:rPr>
        <w:t>of</w:t>
      </w:r>
      <w:r>
        <w:rPr>
          <w:color w:val="414042"/>
          <w:spacing w:val="-6"/>
        </w:rPr>
        <w:t xml:space="preserve"> </w:t>
      </w:r>
      <w:r>
        <w:rPr>
          <w:color w:val="414042"/>
        </w:rPr>
        <w:t>the</w:t>
      </w:r>
      <w:r>
        <w:rPr>
          <w:color w:val="414042"/>
          <w:spacing w:val="-5"/>
        </w:rPr>
        <w:t xml:space="preserve"> </w:t>
      </w:r>
      <w:r>
        <w:rPr>
          <w:color w:val="414042"/>
        </w:rPr>
        <w:t>overarching</w:t>
      </w:r>
      <w:r>
        <w:rPr>
          <w:color w:val="414042"/>
          <w:spacing w:val="-6"/>
        </w:rPr>
        <w:t xml:space="preserve"> </w:t>
      </w:r>
      <w:r>
        <w:rPr>
          <w:color w:val="414042"/>
        </w:rPr>
        <w:t>Closing</w:t>
      </w:r>
      <w:r>
        <w:rPr>
          <w:color w:val="414042"/>
          <w:spacing w:val="-6"/>
        </w:rPr>
        <w:t xml:space="preserve"> </w:t>
      </w:r>
      <w:r>
        <w:rPr>
          <w:color w:val="414042"/>
        </w:rPr>
        <w:t>the</w:t>
      </w:r>
      <w:r>
        <w:rPr>
          <w:color w:val="414042"/>
          <w:spacing w:val="-5"/>
        </w:rPr>
        <w:t xml:space="preserve"> </w:t>
      </w:r>
      <w:r>
        <w:rPr>
          <w:color w:val="414042"/>
        </w:rPr>
        <w:t>Gap</w:t>
      </w:r>
      <w:r>
        <w:rPr>
          <w:color w:val="414042"/>
          <w:spacing w:val="-5"/>
        </w:rPr>
        <w:t xml:space="preserve"> </w:t>
      </w:r>
      <w:r>
        <w:rPr>
          <w:color w:val="414042"/>
        </w:rPr>
        <w:t>policy framework.</w:t>
      </w:r>
    </w:p>
    <w:p w:rsidR="00580ABF" w:rsidRDefault="00E352FF">
      <w:pPr>
        <w:pStyle w:val="BodyText"/>
        <w:spacing w:before="105" w:line="211" w:lineRule="auto"/>
        <w:ind w:left="827" w:right="11"/>
        <w:rPr>
          <w:color w:val="414042"/>
        </w:rPr>
      </w:pPr>
      <w:r>
        <w:rPr>
          <w:color w:val="414042"/>
        </w:rPr>
        <w:t>The previous two themes focus on the structure and components of the Closing the Gap framework. As discussed, despite all of the issues raised in the preceding sections, there has still been overall support for the framework and to a lesser extent the targets. And yet, a regular question being asked during the consultations is ‘Why, with such general support overall for the initiative, has there been limited success?’</w:t>
      </w:r>
    </w:p>
    <w:p w:rsidR="00CF2220" w:rsidRDefault="00CF2220">
      <w:pPr>
        <w:pStyle w:val="BodyText"/>
        <w:spacing w:before="105" w:line="211" w:lineRule="auto"/>
        <w:ind w:left="827" w:right="11"/>
      </w:pPr>
    </w:p>
    <w:p w:rsidR="00580ABF" w:rsidRDefault="00E352FF" w:rsidP="00913E09">
      <w:pPr>
        <w:pStyle w:val="Heading3"/>
      </w:pPr>
      <w:r>
        <w:t>Literature</w:t>
      </w:r>
    </w:p>
    <w:p w:rsidR="00580ABF" w:rsidRDefault="00E352FF">
      <w:pPr>
        <w:pStyle w:val="BodyText"/>
        <w:spacing w:before="23" w:line="211" w:lineRule="auto"/>
        <w:ind w:left="827" w:right="-1"/>
      </w:pPr>
      <w:r>
        <w:rPr>
          <w:color w:val="414042"/>
        </w:rPr>
        <w:t>Literature argues that government failures in program delivery related to red tape, poor coordination, inadequate resources, lack of continuity of programs, and a failure to work in genuine partnership with Indigenous Australians have created a challenging context for Closing the Gap (Calma, 2007; Hunt, 2008).</w:t>
      </w:r>
    </w:p>
    <w:p w:rsidR="00580ABF" w:rsidRDefault="00E352FF">
      <w:pPr>
        <w:pStyle w:val="BodyText"/>
        <w:spacing w:before="108" w:line="211" w:lineRule="auto"/>
        <w:ind w:left="827" w:right="309"/>
      </w:pPr>
      <w:r>
        <w:rPr>
          <w:color w:val="414042"/>
        </w:rPr>
        <w:t>Closing the Gap has been criticised in the literature for focussing on the results and failing to consider the</w:t>
      </w:r>
    </w:p>
    <w:p w:rsidR="00580ABF" w:rsidRDefault="00E352FF">
      <w:pPr>
        <w:pStyle w:val="BodyText"/>
        <w:spacing w:line="211" w:lineRule="auto"/>
        <w:ind w:left="827" w:right="-13"/>
      </w:pPr>
      <w:r>
        <w:rPr>
          <w:color w:val="414042"/>
        </w:rPr>
        <w:t>imbalanced distribution of power and the limited degree of control that Aboriginal and Torres Strait Islander Australians have over their own circumstances (Behrendt, 2008; Davies, 2012; Pholi, et al., 2009).</w:t>
      </w:r>
    </w:p>
    <w:p w:rsidR="00580ABF" w:rsidRDefault="00E352FF">
      <w:pPr>
        <w:pStyle w:val="BodyText"/>
        <w:spacing w:before="107" w:line="211" w:lineRule="auto"/>
        <w:ind w:left="827"/>
      </w:pPr>
      <w:r>
        <w:rPr>
          <w:color w:val="414042"/>
        </w:rPr>
        <w:t>Cowlishaw (2003) notes that the ‘help’ offered to Indigenous Australians is often an imposition of authoritarian solutions, where benefactors become frustrated and impatient when recipients stubbornly ‘refuse to improve’. For example, Prime Minister Abbott was noted as calling on Aboriginal people “to have</w:t>
      </w:r>
    </w:p>
    <w:p w:rsidR="00580ABF" w:rsidRDefault="00E352FF">
      <w:pPr>
        <w:pStyle w:val="BodyText"/>
        <w:spacing w:before="46" w:line="211" w:lineRule="auto"/>
        <w:ind w:left="421" w:right="1074"/>
      </w:pPr>
      <w:r>
        <w:br w:type="column"/>
      </w:r>
      <w:r>
        <w:rPr>
          <w:color w:val="414042"/>
        </w:rPr>
        <w:t>high expectations for themselves and especially their children in the effort to make greater progress” (Grattan, 2017) and was widely criticised by Aboriginal leaders for comments about Aboriginal and Torres Strait Islander people living in remote communities as a “lifestyle choice”.</w:t>
      </w:r>
    </w:p>
    <w:p w:rsidR="00580ABF" w:rsidRDefault="00580ABF">
      <w:pPr>
        <w:pStyle w:val="BodyText"/>
        <w:spacing w:before="6"/>
        <w:rPr>
          <w:sz w:val="12"/>
        </w:rPr>
      </w:pPr>
    </w:p>
    <w:p w:rsidR="00580ABF" w:rsidRPr="00913E09" w:rsidRDefault="00E352FF" w:rsidP="00913E09">
      <w:pPr>
        <w:pStyle w:val="BodyText"/>
        <w:spacing w:before="46" w:line="211" w:lineRule="auto"/>
        <w:ind w:left="421" w:right="1074"/>
        <w:rPr>
          <w:color w:val="414042"/>
        </w:rPr>
      </w:pPr>
      <w:r w:rsidRPr="00913E09">
        <w:rPr>
          <w:color w:val="414042"/>
        </w:rPr>
        <w:t>THIS THEME RESPONDS TO THE QUESTIONS:</w:t>
      </w:r>
    </w:p>
    <w:p w:rsidR="00580ABF" w:rsidRPr="00CF2220" w:rsidRDefault="00E352FF" w:rsidP="00913E09">
      <w:pPr>
        <w:pStyle w:val="BodyText"/>
        <w:spacing w:before="46" w:line="211" w:lineRule="auto"/>
        <w:ind w:left="421" w:right="1074"/>
        <w:rPr>
          <w:b/>
          <w:color w:val="414042"/>
        </w:rPr>
      </w:pPr>
      <w:r w:rsidRPr="00CF2220">
        <w:rPr>
          <w:b/>
          <w:color w:val="414042"/>
        </w:rPr>
        <w:t>What were the major factors influencing the achievement or non-achievement of the objectives?</w:t>
      </w:r>
    </w:p>
    <w:p w:rsidR="00580ABF" w:rsidRPr="00CF2220" w:rsidRDefault="00E352FF" w:rsidP="00913E09">
      <w:pPr>
        <w:pStyle w:val="BodyText"/>
        <w:spacing w:before="46" w:line="211" w:lineRule="auto"/>
        <w:ind w:left="421" w:right="1074"/>
        <w:rPr>
          <w:b/>
          <w:color w:val="414042"/>
        </w:rPr>
      </w:pPr>
      <w:r w:rsidRPr="00CF2220">
        <w:rPr>
          <w:b/>
          <w:color w:val="414042"/>
        </w:rPr>
        <w:t>To what extent has Closing the Gap built on strengths, demonstrated cultural respect, and involved collaboration in such a way as to make a positive contribution to the lives of current and future generations of Indigenous Australians?</w:t>
      </w:r>
    </w:p>
    <w:p w:rsidR="00580ABF" w:rsidRDefault="00E352FF">
      <w:pPr>
        <w:pStyle w:val="BodyText"/>
        <w:spacing w:before="52" w:line="211" w:lineRule="auto"/>
        <w:ind w:left="421" w:right="1074"/>
      </w:pPr>
      <w:r>
        <w:rPr>
          <w:color w:val="414042"/>
        </w:rPr>
        <w:t>In effect these are questions of implementation and the effect of the surrounding context.</w:t>
      </w:r>
    </w:p>
    <w:p w:rsidR="00580ABF" w:rsidRDefault="00E352FF">
      <w:pPr>
        <w:pStyle w:val="BodyText"/>
        <w:spacing w:before="111" w:line="211" w:lineRule="auto"/>
        <w:ind w:left="421" w:right="1074"/>
      </w:pPr>
      <w:r>
        <w:rPr>
          <w:color w:val="414042"/>
        </w:rPr>
        <w:t>When considering these questions, we have specifically noted the following factors as set out in the scope:</w:t>
      </w:r>
    </w:p>
    <w:p w:rsidR="00580ABF" w:rsidRDefault="00E352FF" w:rsidP="006E6019">
      <w:pPr>
        <w:pStyle w:val="BodyText"/>
        <w:numPr>
          <w:ilvl w:val="0"/>
          <w:numId w:val="22"/>
        </w:numPr>
        <w:spacing w:before="112" w:line="211" w:lineRule="auto"/>
        <w:ind w:right="1074"/>
      </w:pPr>
      <w:r>
        <w:t>the degree and appropriateness of Indigenous engagement throughout the process</w:t>
      </w:r>
    </w:p>
    <w:p w:rsidR="00580ABF" w:rsidRDefault="00E352FF" w:rsidP="006E6019">
      <w:pPr>
        <w:pStyle w:val="BodyText"/>
        <w:numPr>
          <w:ilvl w:val="0"/>
          <w:numId w:val="22"/>
        </w:numPr>
        <w:spacing w:before="111" w:line="211" w:lineRule="auto"/>
        <w:ind w:right="1074"/>
      </w:pPr>
      <w:r>
        <w:t>relationships between governments, Indigenous Australians and other stakeholders</w:t>
      </w:r>
    </w:p>
    <w:p w:rsidR="00580ABF" w:rsidRDefault="00E352FF" w:rsidP="006E6019">
      <w:pPr>
        <w:pStyle w:val="BodyText"/>
        <w:numPr>
          <w:ilvl w:val="0"/>
          <w:numId w:val="22"/>
        </w:numPr>
        <w:spacing w:before="112" w:line="211" w:lineRule="auto"/>
        <w:ind w:right="1074"/>
      </w:pPr>
      <w:r>
        <w:t>the changing roles and responsibilities of the Commonwealth and the States, and level of co- ordination between programs or strategies</w:t>
      </w:r>
    </w:p>
    <w:p w:rsidR="00580ABF" w:rsidRDefault="00E352FF" w:rsidP="006E6019">
      <w:pPr>
        <w:pStyle w:val="BodyText"/>
        <w:numPr>
          <w:ilvl w:val="0"/>
          <w:numId w:val="22"/>
        </w:numPr>
        <w:spacing w:before="110" w:line="211" w:lineRule="auto"/>
        <w:ind w:right="1074"/>
      </w:pPr>
      <w:r>
        <w:t>the changing social attitudes of people and public awareness of issues</w:t>
      </w:r>
    </w:p>
    <w:p w:rsidR="00580ABF" w:rsidRDefault="00E352FF" w:rsidP="006E6019">
      <w:pPr>
        <w:pStyle w:val="BodyText"/>
        <w:numPr>
          <w:ilvl w:val="0"/>
          <w:numId w:val="22"/>
        </w:numPr>
        <w:spacing w:before="85"/>
      </w:pPr>
      <w:r>
        <w:t>the impact of the initiative on policy development</w:t>
      </w:r>
    </w:p>
    <w:p w:rsidR="00580ABF" w:rsidRDefault="00E352FF" w:rsidP="006E6019">
      <w:pPr>
        <w:pStyle w:val="BodyText"/>
        <w:numPr>
          <w:ilvl w:val="0"/>
          <w:numId w:val="22"/>
        </w:numPr>
        <w:spacing w:before="79"/>
      </w:pPr>
      <w:r>
        <w:t>any gaps in accountability mechanisms</w:t>
      </w:r>
    </w:p>
    <w:p w:rsidR="00580ABF" w:rsidRDefault="00E352FF" w:rsidP="006E6019">
      <w:pPr>
        <w:pStyle w:val="BodyText"/>
        <w:numPr>
          <w:ilvl w:val="0"/>
          <w:numId w:val="22"/>
        </w:numPr>
        <w:spacing w:before="106" w:line="211" w:lineRule="auto"/>
        <w:ind w:right="1689"/>
        <w:jc w:val="both"/>
      </w:pPr>
      <w:r>
        <w:t>the take up and effectiveness of former, existing and new models including Regional Partnership Agreements and Empowered Communities</w:t>
      </w:r>
    </w:p>
    <w:p w:rsidR="00580ABF" w:rsidRDefault="00E352FF" w:rsidP="006E6019">
      <w:pPr>
        <w:pStyle w:val="BodyText"/>
        <w:numPr>
          <w:ilvl w:val="0"/>
          <w:numId w:val="22"/>
        </w:numPr>
        <w:spacing w:before="111" w:line="211" w:lineRule="auto"/>
        <w:ind w:right="1522"/>
      </w:pPr>
      <w:r>
        <w:t>the effectiveness of national partnership agreements and lessons learned; and</w:t>
      </w:r>
    </w:p>
    <w:p w:rsidR="00580ABF" w:rsidRDefault="00E352FF" w:rsidP="006E6019">
      <w:pPr>
        <w:pStyle w:val="BodyText"/>
        <w:numPr>
          <w:ilvl w:val="0"/>
          <w:numId w:val="22"/>
        </w:numPr>
        <w:spacing w:before="111" w:line="211" w:lineRule="auto"/>
        <w:ind w:right="1522"/>
      </w:pPr>
      <w:r>
        <w:t>identify and investigate examples of success and failures at local, state and national levels.</w:t>
      </w:r>
    </w:p>
    <w:p w:rsidR="00580ABF" w:rsidRDefault="00E352FF" w:rsidP="006E6019">
      <w:pPr>
        <w:pStyle w:val="BodyText"/>
        <w:spacing w:before="85"/>
        <w:ind w:left="360"/>
      </w:pPr>
      <w:r>
        <w:rPr>
          <w:color w:val="414042"/>
        </w:rPr>
        <w:t>In addition, we have added to the list:</w:t>
      </w:r>
    </w:p>
    <w:p w:rsidR="00580ABF" w:rsidRDefault="00E352FF" w:rsidP="00E126D0">
      <w:pPr>
        <w:pStyle w:val="BodyText"/>
        <w:numPr>
          <w:ilvl w:val="0"/>
          <w:numId w:val="23"/>
        </w:numPr>
        <w:spacing w:before="79"/>
        <w:ind w:left="720"/>
      </w:pPr>
      <w:r>
        <w:t>the inclusion of culture at the centre of programs.</w:t>
      </w:r>
    </w:p>
    <w:p w:rsidR="00580ABF" w:rsidRDefault="00580ABF">
      <w:pPr>
        <w:sectPr w:rsidR="00580ABF">
          <w:type w:val="continuous"/>
          <w:pgSz w:w="11910" w:h="16840"/>
          <w:pgMar w:top="1580" w:right="180" w:bottom="280" w:left="420" w:header="720" w:footer="720" w:gutter="0"/>
          <w:cols w:num="2" w:space="720" w:equalWidth="0">
            <w:col w:w="5298" w:space="40"/>
            <w:col w:w="5972"/>
          </w:cols>
        </w:sectPr>
      </w:pPr>
    </w:p>
    <w:p w:rsidR="00580ABF" w:rsidRDefault="00580ABF">
      <w:pPr>
        <w:pStyle w:val="BodyText"/>
        <w:spacing w:before="6"/>
        <w:rPr>
          <w:sz w:val="9"/>
        </w:rPr>
      </w:pPr>
    </w:p>
    <w:p w:rsidR="00580ABF" w:rsidRDefault="00580ABF">
      <w:pPr>
        <w:rPr>
          <w:sz w:val="9"/>
        </w:rPr>
        <w:sectPr w:rsidR="00580ABF">
          <w:pgSz w:w="11910" w:h="16840"/>
          <w:pgMar w:top="1580" w:right="180" w:bottom="380" w:left="420" w:header="0" w:footer="183" w:gutter="0"/>
          <w:cols w:space="720"/>
        </w:sectPr>
      </w:pPr>
    </w:p>
    <w:p w:rsidR="00580ABF" w:rsidRPr="00ED101A" w:rsidRDefault="003A0C0E" w:rsidP="00ED101A">
      <w:pPr>
        <w:pStyle w:val="Heading3"/>
      </w:pPr>
      <w:r>
        <w:t>The Degree and Appropriateness of Indigenous Engagement throughout the Process</w:t>
      </w:r>
    </w:p>
    <w:p w:rsidR="00580ABF" w:rsidRDefault="00E352FF">
      <w:pPr>
        <w:pStyle w:val="BodyText"/>
        <w:spacing w:before="156" w:line="211" w:lineRule="auto"/>
        <w:ind w:left="827" w:right="37"/>
        <w:rPr>
          <w:color w:val="414042"/>
        </w:rPr>
      </w:pPr>
      <w:r>
        <w:rPr>
          <w:color w:val="414042"/>
        </w:rPr>
        <w:t>Despite the explicit requirement to work in partnership with Indigenous Australians within the framework, Indigenous engagement has not been extensive or appropriate.</w:t>
      </w:r>
    </w:p>
    <w:p w:rsidR="001037D4" w:rsidRPr="001037D4" w:rsidRDefault="001037D4" w:rsidP="001037D4">
      <w:pPr>
        <w:pStyle w:val="TableParagraph"/>
        <w:spacing w:before="172" w:line="206" w:lineRule="auto"/>
        <w:ind w:right="230"/>
        <w:rPr>
          <w:i/>
          <w:color w:val="95473C"/>
          <w:sz w:val="21"/>
        </w:rPr>
      </w:pPr>
    </w:p>
    <w:p w:rsidR="001037D4" w:rsidRPr="001037D4" w:rsidRDefault="001037D4" w:rsidP="001037D4">
      <w:pPr>
        <w:pStyle w:val="BodyText"/>
        <w:spacing w:line="211" w:lineRule="auto"/>
        <w:ind w:left="827" w:right="8"/>
        <w:rPr>
          <w:b/>
          <w:color w:val="414042"/>
        </w:rPr>
      </w:pPr>
      <w:r w:rsidRPr="001037D4">
        <w:rPr>
          <w:b/>
          <w:color w:val="414042"/>
        </w:rPr>
        <w:t>Both the literature and the personal experiences of those in the system support the contention that outcomes are better where there are Indigenous, and community designed and led programs. There is also ample evidence about what constitutes engagement.</w:t>
      </w:r>
    </w:p>
    <w:p w:rsidR="00580ABF" w:rsidRDefault="00580ABF">
      <w:pPr>
        <w:pStyle w:val="BodyText"/>
        <w:spacing w:before="9"/>
        <w:rPr>
          <w:sz w:val="8"/>
        </w:rPr>
      </w:pPr>
    </w:p>
    <w:p w:rsidR="00580ABF" w:rsidRDefault="00580ABF">
      <w:pPr>
        <w:pStyle w:val="BodyText"/>
        <w:spacing w:before="12"/>
        <w:rPr>
          <w:sz w:val="15"/>
        </w:rPr>
      </w:pPr>
    </w:p>
    <w:p w:rsidR="00580ABF" w:rsidRDefault="00E352FF">
      <w:pPr>
        <w:pStyle w:val="BodyText"/>
        <w:spacing w:line="211" w:lineRule="auto"/>
        <w:ind w:left="827" w:right="37"/>
      </w:pPr>
      <w:r>
        <w:rPr>
          <w:color w:val="414042"/>
        </w:rPr>
        <w:t>The importance of engagement with Aboriginal and Torres Strait Islander peoples is noted throughout the literature, particularly in relation to empowering services and communities through active decision making, Indigenous ownership throughout all stages of projects and programs, the development of Indigenous-led policies and the evaluation of outcomes (Empowered Communities, 2015; Hunt, 2013) (National Congress</w:t>
      </w:r>
    </w:p>
    <w:p w:rsidR="00580ABF" w:rsidRDefault="00E352FF">
      <w:pPr>
        <w:pStyle w:val="BodyText"/>
        <w:spacing w:line="211" w:lineRule="auto"/>
        <w:ind w:left="827" w:right="204"/>
      </w:pPr>
      <w:r>
        <w:rPr>
          <w:color w:val="414042"/>
        </w:rPr>
        <w:t>of Australia's First Peoples, 2016; Thorpe, et al., 2016; Wright &amp; Lewis, 2017).</w:t>
      </w:r>
    </w:p>
    <w:p w:rsidR="00580ABF" w:rsidRDefault="00580ABF">
      <w:pPr>
        <w:pStyle w:val="BodyText"/>
        <w:spacing w:before="11"/>
        <w:rPr>
          <w:sz w:val="13"/>
        </w:rPr>
      </w:pPr>
    </w:p>
    <w:p w:rsidR="00580ABF" w:rsidRDefault="00E352FF" w:rsidP="00181DE0">
      <w:pPr>
        <w:pStyle w:val="Heading4"/>
      </w:pPr>
      <w:r>
        <w:t>Critical elements of engagement</w:t>
      </w:r>
    </w:p>
    <w:p w:rsidR="00580ABF" w:rsidRDefault="00E352FF">
      <w:pPr>
        <w:pStyle w:val="BodyText"/>
        <w:spacing w:before="23" w:line="211" w:lineRule="auto"/>
        <w:ind w:left="827" w:right="499"/>
      </w:pPr>
      <w:r>
        <w:rPr>
          <w:color w:val="414042"/>
        </w:rPr>
        <w:t>The importance of engagement with Aboriginal</w:t>
      </w:r>
      <w:r>
        <w:rPr>
          <w:color w:val="414042"/>
          <w:spacing w:val="-21"/>
        </w:rPr>
        <w:t xml:space="preserve"> </w:t>
      </w:r>
      <w:r>
        <w:rPr>
          <w:color w:val="414042"/>
        </w:rPr>
        <w:t xml:space="preserve">and </w:t>
      </w:r>
      <w:r>
        <w:rPr>
          <w:color w:val="414042"/>
          <w:spacing w:val="-4"/>
        </w:rPr>
        <w:t xml:space="preserve">Torres </w:t>
      </w:r>
      <w:r>
        <w:rPr>
          <w:color w:val="414042"/>
        </w:rPr>
        <w:t>Strait Islander peoples is noted throughout the literature, particularly in relation to services and communities through active decision</w:t>
      </w:r>
      <w:r>
        <w:rPr>
          <w:color w:val="414042"/>
          <w:spacing w:val="-19"/>
        </w:rPr>
        <w:t xml:space="preserve"> </w:t>
      </w:r>
      <w:r>
        <w:rPr>
          <w:color w:val="414042"/>
        </w:rPr>
        <w:t>making,</w:t>
      </w:r>
    </w:p>
    <w:p w:rsidR="00580ABF" w:rsidRDefault="00E352FF">
      <w:pPr>
        <w:pStyle w:val="BodyText"/>
        <w:spacing w:line="211" w:lineRule="auto"/>
        <w:ind w:left="827" w:right="37"/>
      </w:pPr>
      <w:r>
        <w:rPr>
          <w:color w:val="414042"/>
        </w:rPr>
        <w:t>Indigenous ownership throughout all stages of projects and programs, the development of Indigenous-led policies and the evaluation of outcomes (Empowered Communities, 2015; Hunt, 2013; National Congress</w:t>
      </w:r>
    </w:p>
    <w:p w:rsidR="00580ABF" w:rsidRDefault="00E352FF">
      <w:pPr>
        <w:pStyle w:val="BodyText"/>
        <w:spacing w:line="211" w:lineRule="auto"/>
        <w:ind w:left="827" w:right="204"/>
      </w:pPr>
      <w:r>
        <w:rPr>
          <w:color w:val="414042"/>
        </w:rPr>
        <w:t>of Australia's First Peoples, 2016; Thorpe, et al., 2016; Wright &amp; Lewis, 2017).</w:t>
      </w:r>
    </w:p>
    <w:p w:rsidR="00580ABF" w:rsidRDefault="00E352FF">
      <w:pPr>
        <w:pStyle w:val="BodyText"/>
        <w:spacing w:before="103" w:line="211" w:lineRule="auto"/>
        <w:ind w:left="827" w:right="37"/>
      </w:pPr>
      <w:r>
        <w:rPr>
          <w:color w:val="414042"/>
        </w:rPr>
        <w:t>Throughout both the literature and supported by our discussions, in which it was a regular reflection: without genuine engagement of Indigenous Australians it will be difficult to meet the Closing the Gap targets.</w:t>
      </w:r>
    </w:p>
    <w:p w:rsidR="00E126D0" w:rsidRPr="00E126D0" w:rsidRDefault="00E352FF" w:rsidP="00E126D0">
      <w:pPr>
        <w:pStyle w:val="BodyText"/>
        <w:spacing w:before="83" w:line="309" w:lineRule="auto"/>
        <w:ind w:right="460" w:firstLine="720"/>
      </w:pPr>
      <w:r>
        <w:rPr>
          <w:color w:val="414042"/>
        </w:rPr>
        <w:t>Factors noted as critical to engagem</w:t>
      </w:r>
      <w:r w:rsidR="00E126D0">
        <w:rPr>
          <w:color w:val="414042"/>
        </w:rPr>
        <w:t>ent include:</w:t>
      </w:r>
    </w:p>
    <w:p w:rsidR="00E126D0" w:rsidRDefault="00E352FF" w:rsidP="00E126D0">
      <w:pPr>
        <w:pStyle w:val="BodyText"/>
        <w:numPr>
          <w:ilvl w:val="0"/>
          <w:numId w:val="23"/>
        </w:numPr>
        <w:spacing w:before="83" w:line="309" w:lineRule="auto"/>
        <w:ind w:right="460"/>
      </w:pPr>
      <w:r>
        <w:t>Pursui</w:t>
      </w:r>
      <w:r w:rsidR="00E126D0">
        <w:t>ng relationships built on trust</w:t>
      </w:r>
    </w:p>
    <w:p w:rsidR="00E126D0" w:rsidRDefault="00E352FF" w:rsidP="00E126D0">
      <w:pPr>
        <w:pStyle w:val="BodyText"/>
        <w:numPr>
          <w:ilvl w:val="0"/>
          <w:numId w:val="23"/>
        </w:numPr>
        <w:spacing w:before="83" w:line="309" w:lineRule="auto"/>
        <w:ind w:right="460"/>
      </w:pPr>
      <w:r>
        <w:t>Maintenance of professional and cultural integrity Common goals,</w:t>
      </w:r>
      <w:r w:rsidRPr="00E126D0">
        <w:rPr>
          <w:spacing w:val="-1"/>
        </w:rPr>
        <w:t xml:space="preserve"> </w:t>
      </w:r>
      <w:r>
        <w:t>and</w:t>
      </w:r>
    </w:p>
    <w:p w:rsidR="00580ABF" w:rsidRDefault="00E352FF" w:rsidP="00E126D0">
      <w:pPr>
        <w:pStyle w:val="BodyText"/>
        <w:numPr>
          <w:ilvl w:val="0"/>
          <w:numId w:val="23"/>
        </w:numPr>
        <w:spacing w:before="83" w:line="309" w:lineRule="auto"/>
        <w:ind w:right="460"/>
      </w:pPr>
      <w:r>
        <w:t>Ensuring high levels of participation by Aboriginal and Torres Strait Islander peoples.</w:t>
      </w:r>
    </w:p>
    <w:p w:rsidR="00580ABF" w:rsidRDefault="00E352FF" w:rsidP="00B95B4C">
      <w:pPr>
        <w:pStyle w:val="Heading4"/>
        <w:ind w:left="0" w:firstLine="413"/>
      </w:pPr>
      <w:r>
        <w:br w:type="column"/>
        <w:t>Degree and appropriateness of Indigenous engagement</w:t>
      </w:r>
    </w:p>
    <w:p w:rsidR="00580ABF" w:rsidRDefault="00E352FF">
      <w:pPr>
        <w:pStyle w:val="BodyText"/>
        <w:spacing w:before="41" w:line="211" w:lineRule="auto"/>
        <w:ind w:left="413" w:right="1247"/>
        <w:rPr>
          <w:color w:val="414042"/>
        </w:rPr>
      </w:pPr>
      <w:r>
        <w:rPr>
          <w:color w:val="414042"/>
        </w:rPr>
        <w:t>The</w:t>
      </w:r>
      <w:r>
        <w:rPr>
          <w:color w:val="414042"/>
          <w:spacing w:val="-8"/>
        </w:rPr>
        <w:t xml:space="preserve"> </w:t>
      </w:r>
      <w:r>
        <w:rPr>
          <w:color w:val="414042"/>
        </w:rPr>
        <w:t>literature</w:t>
      </w:r>
      <w:r>
        <w:rPr>
          <w:color w:val="414042"/>
          <w:spacing w:val="-7"/>
        </w:rPr>
        <w:t xml:space="preserve"> </w:t>
      </w:r>
      <w:r>
        <w:rPr>
          <w:color w:val="414042"/>
        </w:rPr>
        <w:t>and</w:t>
      </w:r>
      <w:r>
        <w:rPr>
          <w:color w:val="414042"/>
          <w:spacing w:val="-8"/>
        </w:rPr>
        <w:t xml:space="preserve"> </w:t>
      </w:r>
      <w:r>
        <w:rPr>
          <w:color w:val="414042"/>
        </w:rPr>
        <w:t>consultations</w:t>
      </w:r>
      <w:r>
        <w:rPr>
          <w:color w:val="414042"/>
          <w:spacing w:val="-7"/>
        </w:rPr>
        <w:t xml:space="preserve"> </w:t>
      </w:r>
      <w:r>
        <w:rPr>
          <w:color w:val="414042"/>
        </w:rPr>
        <w:t>affirm</w:t>
      </w:r>
      <w:r>
        <w:rPr>
          <w:color w:val="414042"/>
          <w:spacing w:val="-7"/>
        </w:rPr>
        <w:t xml:space="preserve"> </w:t>
      </w:r>
      <w:r>
        <w:rPr>
          <w:color w:val="414042"/>
        </w:rPr>
        <w:t>that</w:t>
      </w:r>
      <w:r>
        <w:rPr>
          <w:color w:val="414042"/>
          <w:spacing w:val="-7"/>
        </w:rPr>
        <w:t xml:space="preserve"> </w:t>
      </w:r>
      <w:r>
        <w:rPr>
          <w:color w:val="414042"/>
        </w:rPr>
        <w:t>co-design</w:t>
      </w:r>
      <w:r>
        <w:rPr>
          <w:color w:val="414042"/>
          <w:spacing w:val="-7"/>
        </w:rPr>
        <w:t xml:space="preserve"> </w:t>
      </w:r>
      <w:r>
        <w:rPr>
          <w:color w:val="414042"/>
        </w:rPr>
        <w:t xml:space="preserve">of Closing the Gap and initiatives is rarely happening as a true partnership. The evidence is there to suggest that it is one of the </w:t>
      </w:r>
      <w:r>
        <w:rPr>
          <w:color w:val="414042"/>
          <w:spacing w:val="-3"/>
        </w:rPr>
        <w:t xml:space="preserve">key </w:t>
      </w:r>
      <w:r>
        <w:rPr>
          <w:color w:val="414042"/>
        </w:rPr>
        <w:t xml:space="preserve">factors that will lead to engagement by Indigenous Australians, whether it be as a </w:t>
      </w:r>
      <w:r>
        <w:rPr>
          <w:color w:val="414042"/>
          <w:spacing w:val="-3"/>
        </w:rPr>
        <w:t xml:space="preserve">consumer, </w:t>
      </w:r>
      <w:r>
        <w:rPr>
          <w:color w:val="414042"/>
        </w:rPr>
        <w:t xml:space="preserve">service provider or policy </w:t>
      </w:r>
      <w:r>
        <w:rPr>
          <w:color w:val="414042"/>
          <w:spacing w:val="-5"/>
        </w:rPr>
        <w:t xml:space="preserve">maker. </w:t>
      </w:r>
      <w:r>
        <w:rPr>
          <w:color w:val="414042"/>
        </w:rPr>
        <w:t xml:space="preserve">Outcomes would be improved if Aboriginal and </w:t>
      </w:r>
      <w:r>
        <w:rPr>
          <w:color w:val="414042"/>
          <w:spacing w:val="-4"/>
        </w:rPr>
        <w:t xml:space="preserve">Torres </w:t>
      </w:r>
      <w:r>
        <w:rPr>
          <w:color w:val="414042"/>
        </w:rPr>
        <w:t>Strait Islander people were</w:t>
      </w:r>
      <w:r>
        <w:rPr>
          <w:color w:val="414042"/>
          <w:spacing w:val="-7"/>
        </w:rPr>
        <w:t xml:space="preserve"> </w:t>
      </w:r>
      <w:r>
        <w:rPr>
          <w:color w:val="414042"/>
        </w:rPr>
        <w:t>front</w:t>
      </w:r>
      <w:r>
        <w:rPr>
          <w:color w:val="414042"/>
          <w:spacing w:val="-6"/>
        </w:rPr>
        <w:t xml:space="preserve"> </w:t>
      </w:r>
      <w:r>
        <w:rPr>
          <w:color w:val="414042"/>
        </w:rPr>
        <w:t>and</w:t>
      </w:r>
      <w:r>
        <w:rPr>
          <w:color w:val="414042"/>
          <w:spacing w:val="-7"/>
        </w:rPr>
        <w:t xml:space="preserve"> </w:t>
      </w:r>
      <w:r>
        <w:rPr>
          <w:color w:val="414042"/>
        </w:rPr>
        <w:t>centre</w:t>
      </w:r>
      <w:r>
        <w:rPr>
          <w:color w:val="414042"/>
          <w:spacing w:val="-6"/>
        </w:rPr>
        <w:t xml:space="preserve"> </w:t>
      </w:r>
      <w:r>
        <w:rPr>
          <w:color w:val="414042"/>
        </w:rPr>
        <w:t>in</w:t>
      </w:r>
      <w:r>
        <w:rPr>
          <w:color w:val="414042"/>
          <w:spacing w:val="-7"/>
        </w:rPr>
        <w:t xml:space="preserve"> </w:t>
      </w:r>
      <w:r>
        <w:rPr>
          <w:color w:val="414042"/>
        </w:rPr>
        <w:t>policy</w:t>
      </w:r>
      <w:r>
        <w:rPr>
          <w:color w:val="414042"/>
          <w:spacing w:val="-7"/>
        </w:rPr>
        <w:t xml:space="preserve"> </w:t>
      </w:r>
      <w:r>
        <w:rPr>
          <w:color w:val="414042"/>
        </w:rPr>
        <w:t>design,</w:t>
      </w:r>
      <w:r>
        <w:rPr>
          <w:color w:val="414042"/>
          <w:spacing w:val="-7"/>
        </w:rPr>
        <w:t xml:space="preserve"> </w:t>
      </w:r>
      <w:r>
        <w:rPr>
          <w:color w:val="414042"/>
        </w:rPr>
        <w:t>implementation, review and</w:t>
      </w:r>
      <w:r>
        <w:rPr>
          <w:color w:val="414042"/>
          <w:spacing w:val="-2"/>
        </w:rPr>
        <w:t xml:space="preserve"> </w:t>
      </w:r>
      <w:r>
        <w:rPr>
          <w:color w:val="414042"/>
        </w:rPr>
        <w:t>evaluation.</w:t>
      </w:r>
    </w:p>
    <w:p w:rsidR="001037D4" w:rsidRDefault="001037D4">
      <w:pPr>
        <w:pStyle w:val="BodyText"/>
        <w:spacing w:before="41" w:line="211" w:lineRule="auto"/>
        <w:ind w:left="413" w:right="1247"/>
        <w:rPr>
          <w:color w:val="414042"/>
        </w:rPr>
      </w:pPr>
    </w:p>
    <w:p w:rsidR="001037D4" w:rsidRPr="00350A09" w:rsidRDefault="001037D4" w:rsidP="00350A09">
      <w:pPr>
        <w:pStyle w:val="BodyText"/>
        <w:spacing w:before="216" w:line="211" w:lineRule="auto"/>
        <w:ind w:left="413" w:right="188"/>
        <w:rPr>
          <w:i/>
          <w:color w:val="414042"/>
        </w:rPr>
      </w:pPr>
      <w:r w:rsidRPr="00350A09">
        <w:rPr>
          <w:i/>
          <w:color w:val="414042"/>
        </w:rPr>
        <w:t>Aboriginal community-controlled agencies have the intrinsic cultural knowledge to deliver holistic, targeted services. This is precisely what we mean as Aboriginal people when we talk about self-determination – access to decision making, access to being effective agents of change for our Aboriginal Communities.</w:t>
      </w:r>
    </w:p>
    <w:p w:rsidR="001037D4" w:rsidRPr="00350A09" w:rsidRDefault="001037D4" w:rsidP="00350A09">
      <w:pPr>
        <w:pStyle w:val="BodyText"/>
        <w:spacing w:before="216" w:line="211" w:lineRule="auto"/>
        <w:ind w:right="188" w:firstLine="413"/>
        <w:rPr>
          <w:i/>
          <w:color w:val="414042"/>
        </w:rPr>
      </w:pPr>
      <w:r w:rsidRPr="00350A09">
        <w:rPr>
          <w:i/>
          <w:color w:val="414042"/>
        </w:rPr>
        <w:t>Muriel Bamblett, CEO VACCA</w:t>
      </w:r>
    </w:p>
    <w:p w:rsidR="00580ABF" w:rsidRDefault="00580ABF">
      <w:pPr>
        <w:pStyle w:val="BodyText"/>
        <w:spacing w:before="5"/>
        <w:rPr>
          <w:sz w:val="7"/>
        </w:rPr>
      </w:pPr>
    </w:p>
    <w:p w:rsidR="00580ABF" w:rsidRDefault="00E352FF">
      <w:pPr>
        <w:pStyle w:val="BodyText"/>
        <w:spacing w:before="104" w:line="211" w:lineRule="auto"/>
        <w:ind w:left="413" w:right="1042"/>
      </w:pPr>
      <w:r>
        <w:rPr>
          <w:color w:val="414042"/>
        </w:rPr>
        <w:t>It is also noted that consultation has often taken the place of genuine engagement limiting the input of Aboriginal and Torres Strait Island peoples and putting collaboration and successful health outcomes at risk (Hunt, 2013; Thorpe, et al., 2016).</w:t>
      </w:r>
    </w:p>
    <w:p w:rsidR="00580ABF" w:rsidRDefault="00E352FF">
      <w:pPr>
        <w:pStyle w:val="BodyText"/>
        <w:spacing w:before="109" w:line="211" w:lineRule="auto"/>
        <w:ind w:left="413" w:right="1140"/>
        <w:jc w:val="both"/>
      </w:pPr>
      <w:r>
        <w:rPr>
          <w:color w:val="414042"/>
        </w:rPr>
        <w:t>It is important for the likelihood of success of the refresh that</w:t>
      </w:r>
      <w:r>
        <w:rPr>
          <w:color w:val="414042"/>
          <w:spacing w:val="-4"/>
        </w:rPr>
        <w:t xml:space="preserve"> </w:t>
      </w:r>
      <w:r>
        <w:rPr>
          <w:color w:val="414042"/>
        </w:rPr>
        <w:t>Indigenous</w:t>
      </w:r>
      <w:r>
        <w:rPr>
          <w:color w:val="414042"/>
          <w:spacing w:val="-4"/>
        </w:rPr>
        <w:t xml:space="preserve"> </w:t>
      </w:r>
      <w:r>
        <w:rPr>
          <w:color w:val="414042"/>
        </w:rPr>
        <w:t>leaders</w:t>
      </w:r>
      <w:r>
        <w:rPr>
          <w:color w:val="414042"/>
          <w:spacing w:val="-5"/>
        </w:rPr>
        <w:t xml:space="preserve"> </w:t>
      </w:r>
      <w:r>
        <w:rPr>
          <w:color w:val="414042"/>
        </w:rPr>
        <w:t>are</w:t>
      </w:r>
      <w:r>
        <w:rPr>
          <w:color w:val="414042"/>
          <w:spacing w:val="-3"/>
        </w:rPr>
        <w:t xml:space="preserve"> </w:t>
      </w:r>
      <w:r>
        <w:rPr>
          <w:color w:val="414042"/>
        </w:rPr>
        <w:t>not</w:t>
      </w:r>
      <w:r>
        <w:rPr>
          <w:color w:val="414042"/>
          <w:spacing w:val="-5"/>
        </w:rPr>
        <w:t xml:space="preserve"> </w:t>
      </w:r>
      <w:r>
        <w:rPr>
          <w:color w:val="414042"/>
        </w:rPr>
        <w:t>only</w:t>
      </w:r>
      <w:r>
        <w:rPr>
          <w:color w:val="414042"/>
          <w:spacing w:val="-4"/>
        </w:rPr>
        <w:t xml:space="preserve"> </w:t>
      </w:r>
      <w:r>
        <w:rPr>
          <w:color w:val="414042"/>
        </w:rPr>
        <w:t>consulted,</w:t>
      </w:r>
      <w:r>
        <w:rPr>
          <w:color w:val="414042"/>
          <w:spacing w:val="-4"/>
        </w:rPr>
        <w:t xml:space="preserve"> </w:t>
      </w:r>
      <w:r>
        <w:rPr>
          <w:color w:val="414042"/>
        </w:rPr>
        <w:t>but</w:t>
      </w:r>
      <w:r>
        <w:rPr>
          <w:color w:val="414042"/>
          <w:spacing w:val="-5"/>
        </w:rPr>
        <w:t xml:space="preserve"> </w:t>
      </w:r>
      <w:r>
        <w:rPr>
          <w:color w:val="414042"/>
        </w:rPr>
        <w:t>equal partners in every level of review and decision</w:t>
      </w:r>
      <w:r>
        <w:rPr>
          <w:color w:val="414042"/>
          <w:spacing w:val="-22"/>
        </w:rPr>
        <w:t xml:space="preserve"> </w:t>
      </w:r>
      <w:r>
        <w:rPr>
          <w:color w:val="414042"/>
        </w:rPr>
        <w:t>making.</w:t>
      </w:r>
    </w:p>
    <w:p w:rsidR="00580ABF" w:rsidRDefault="00580ABF">
      <w:pPr>
        <w:pStyle w:val="BodyText"/>
        <w:spacing w:before="8"/>
        <w:rPr>
          <w:sz w:val="20"/>
        </w:rPr>
      </w:pPr>
    </w:p>
    <w:p w:rsidR="00580ABF" w:rsidRDefault="00E352FF" w:rsidP="00377BDD">
      <w:pPr>
        <w:pStyle w:val="Heading3"/>
        <w:ind w:left="413"/>
      </w:pPr>
      <w:r>
        <w:t>Relationships between governments, Indigenous Australians and other stakeholders</w:t>
      </w:r>
    </w:p>
    <w:p w:rsidR="00580ABF" w:rsidRDefault="00E352FF">
      <w:pPr>
        <w:pStyle w:val="BodyText"/>
        <w:spacing w:before="41" w:line="211" w:lineRule="auto"/>
        <w:ind w:left="413" w:right="1233"/>
      </w:pPr>
      <w:r>
        <w:rPr>
          <w:color w:val="414042"/>
        </w:rPr>
        <w:t xml:space="preserve">Government/Indigenous relations are crucial to Closing the Gap. Unless government is prepared to simply be an enabler of initiatives and get out of the </w:t>
      </w:r>
      <w:r>
        <w:rPr>
          <w:color w:val="414042"/>
          <w:spacing w:val="-2"/>
        </w:rPr>
        <w:t xml:space="preserve">way </w:t>
      </w:r>
      <w:r>
        <w:rPr>
          <w:color w:val="414042"/>
        </w:rPr>
        <w:t xml:space="preserve">in </w:t>
      </w:r>
      <w:r>
        <w:rPr>
          <w:color w:val="414042"/>
          <w:spacing w:val="-3"/>
        </w:rPr>
        <w:t xml:space="preserve">favour </w:t>
      </w:r>
      <w:r>
        <w:rPr>
          <w:color w:val="414042"/>
        </w:rPr>
        <w:t>of Indigenous control, there is a need for a shared partnership approach. Partnerships require a high level of trust. Even absolute goodwill with respect to</w:t>
      </w:r>
      <w:r>
        <w:rPr>
          <w:color w:val="414042"/>
          <w:spacing w:val="-20"/>
        </w:rPr>
        <w:t xml:space="preserve"> </w:t>
      </w:r>
      <w:r>
        <w:rPr>
          <w:color w:val="414042"/>
        </w:rPr>
        <w:t>the</w:t>
      </w:r>
    </w:p>
    <w:p w:rsidR="00580ABF" w:rsidRDefault="00E352FF">
      <w:pPr>
        <w:pStyle w:val="BodyText"/>
        <w:spacing w:line="211" w:lineRule="auto"/>
        <w:ind w:left="413" w:right="1123"/>
      </w:pPr>
      <w:r>
        <w:rPr>
          <w:color w:val="414042"/>
        </w:rPr>
        <w:t>elements</w:t>
      </w:r>
      <w:r>
        <w:rPr>
          <w:color w:val="414042"/>
          <w:spacing w:val="-5"/>
        </w:rPr>
        <w:t xml:space="preserve"> </w:t>
      </w:r>
      <w:r>
        <w:rPr>
          <w:color w:val="414042"/>
        </w:rPr>
        <w:t>of</w:t>
      </w:r>
      <w:r>
        <w:rPr>
          <w:color w:val="414042"/>
          <w:spacing w:val="-5"/>
        </w:rPr>
        <w:t xml:space="preserve"> </w:t>
      </w:r>
      <w:r>
        <w:rPr>
          <w:color w:val="414042"/>
        </w:rPr>
        <w:t>Closing</w:t>
      </w:r>
      <w:r>
        <w:rPr>
          <w:color w:val="414042"/>
          <w:spacing w:val="-5"/>
        </w:rPr>
        <w:t xml:space="preserve"> </w:t>
      </w:r>
      <w:r>
        <w:rPr>
          <w:color w:val="414042"/>
        </w:rPr>
        <w:t>the</w:t>
      </w:r>
      <w:r>
        <w:rPr>
          <w:color w:val="414042"/>
          <w:spacing w:val="-4"/>
        </w:rPr>
        <w:t xml:space="preserve"> </w:t>
      </w:r>
      <w:r>
        <w:rPr>
          <w:color w:val="414042"/>
        </w:rPr>
        <w:t>Gap</w:t>
      </w:r>
      <w:r>
        <w:rPr>
          <w:color w:val="414042"/>
          <w:spacing w:val="-4"/>
        </w:rPr>
        <w:t xml:space="preserve"> </w:t>
      </w:r>
      <w:r>
        <w:rPr>
          <w:color w:val="414042"/>
        </w:rPr>
        <w:t>is</w:t>
      </w:r>
      <w:r>
        <w:rPr>
          <w:color w:val="414042"/>
          <w:spacing w:val="-5"/>
        </w:rPr>
        <w:t xml:space="preserve"> </w:t>
      </w:r>
      <w:r>
        <w:rPr>
          <w:color w:val="414042"/>
        </w:rPr>
        <w:t>not</w:t>
      </w:r>
      <w:r>
        <w:rPr>
          <w:color w:val="414042"/>
          <w:spacing w:val="-6"/>
        </w:rPr>
        <w:t xml:space="preserve"> </w:t>
      </w:r>
      <w:r>
        <w:rPr>
          <w:color w:val="414042"/>
        </w:rPr>
        <w:t>sufficient</w:t>
      </w:r>
      <w:r>
        <w:rPr>
          <w:color w:val="414042"/>
          <w:spacing w:val="-4"/>
        </w:rPr>
        <w:t xml:space="preserve"> </w:t>
      </w:r>
      <w:r>
        <w:rPr>
          <w:color w:val="414042"/>
        </w:rPr>
        <w:t>if</w:t>
      </w:r>
      <w:r>
        <w:rPr>
          <w:color w:val="414042"/>
          <w:spacing w:val="-5"/>
        </w:rPr>
        <w:t xml:space="preserve"> </w:t>
      </w:r>
      <w:r>
        <w:rPr>
          <w:color w:val="414042"/>
        </w:rPr>
        <w:t>confidence in the government is undermined elsewhere, such as in the reaction to the Uluru Statement from the</w:t>
      </w:r>
      <w:r>
        <w:rPr>
          <w:color w:val="414042"/>
          <w:spacing w:val="-15"/>
        </w:rPr>
        <w:t xml:space="preserve"> </w:t>
      </w:r>
      <w:r>
        <w:rPr>
          <w:color w:val="414042"/>
        </w:rPr>
        <w:t>Heart.</w:t>
      </w:r>
    </w:p>
    <w:p w:rsidR="00580ABF" w:rsidRDefault="00E352FF">
      <w:pPr>
        <w:pStyle w:val="BodyText"/>
        <w:spacing w:before="104" w:line="211" w:lineRule="auto"/>
        <w:ind w:left="413" w:right="1159"/>
      </w:pPr>
      <w:r>
        <w:rPr>
          <w:color w:val="414042"/>
        </w:rPr>
        <w:t>While engagement and collaboration is happening in some settings, it is made clear by many commentators that Closing the Gap requires sustained effort and time to make those collaborations work (Altman, et al., 2008; Calma, 2007; Collins, 2016).</w:t>
      </w:r>
    </w:p>
    <w:p w:rsidR="00580ABF" w:rsidRDefault="00580ABF">
      <w:pPr>
        <w:spacing w:line="211" w:lineRule="auto"/>
        <w:sectPr w:rsidR="00580ABF">
          <w:type w:val="continuous"/>
          <w:pgSz w:w="11910" w:h="16840"/>
          <w:pgMar w:top="1580" w:right="180" w:bottom="280" w:left="420" w:header="720" w:footer="720" w:gutter="0"/>
          <w:cols w:num="2" w:space="720" w:equalWidth="0">
            <w:col w:w="5306" w:space="40"/>
            <w:col w:w="5964"/>
          </w:cols>
        </w:sectPr>
      </w:pPr>
    </w:p>
    <w:p w:rsidR="00580ABF" w:rsidRDefault="00580ABF">
      <w:pPr>
        <w:pStyle w:val="BodyText"/>
        <w:spacing w:before="6"/>
        <w:rPr>
          <w:sz w:val="9"/>
        </w:rPr>
      </w:pPr>
    </w:p>
    <w:p w:rsidR="00580ABF" w:rsidRDefault="00580ABF">
      <w:pPr>
        <w:rPr>
          <w:sz w:val="9"/>
        </w:rPr>
        <w:sectPr w:rsidR="00580ABF">
          <w:pgSz w:w="11910" w:h="16840"/>
          <w:pgMar w:top="1580" w:right="180" w:bottom="380" w:left="420" w:header="0" w:footer="183" w:gutter="0"/>
          <w:cols w:space="720"/>
        </w:sectPr>
      </w:pPr>
    </w:p>
    <w:p w:rsidR="00580ABF" w:rsidRDefault="00E352FF">
      <w:pPr>
        <w:pStyle w:val="BodyText"/>
        <w:spacing w:before="47" w:line="211" w:lineRule="auto"/>
        <w:ind w:left="827" w:right="166"/>
      </w:pPr>
      <w:r>
        <w:rPr>
          <w:color w:val="414042"/>
        </w:rPr>
        <w:t xml:space="preserve">The Redfern Statement, the outcome of collaborative discussions between Indigenous-led organisations, called on the Government to </w:t>
      </w:r>
      <w:r>
        <w:rPr>
          <w:color w:val="414042"/>
          <w:spacing w:val="-3"/>
        </w:rPr>
        <w:t xml:space="preserve">take </w:t>
      </w:r>
      <w:r>
        <w:rPr>
          <w:color w:val="414042"/>
        </w:rPr>
        <w:t xml:space="preserve">action around a range of strategies linked to better engagement and empowerment, including resourcing Aboriginal and </w:t>
      </w:r>
      <w:r>
        <w:rPr>
          <w:color w:val="414042"/>
          <w:spacing w:val="-4"/>
        </w:rPr>
        <w:t>Torres</w:t>
      </w:r>
      <w:r>
        <w:rPr>
          <w:color w:val="414042"/>
          <w:spacing w:val="-7"/>
        </w:rPr>
        <w:t xml:space="preserve"> </w:t>
      </w:r>
      <w:r>
        <w:rPr>
          <w:color w:val="414042"/>
        </w:rPr>
        <w:t>Strait</w:t>
      </w:r>
      <w:r>
        <w:rPr>
          <w:color w:val="414042"/>
          <w:spacing w:val="-7"/>
        </w:rPr>
        <w:t xml:space="preserve"> </w:t>
      </w:r>
      <w:r>
        <w:rPr>
          <w:color w:val="414042"/>
        </w:rPr>
        <w:t>Islander</w:t>
      </w:r>
      <w:r>
        <w:rPr>
          <w:color w:val="414042"/>
          <w:spacing w:val="-6"/>
        </w:rPr>
        <w:t xml:space="preserve"> </w:t>
      </w:r>
      <w:r>
        <w:rPr>
          <w:color w:val="414042"/>
        </w:rPr>
        <w:t>led</w:t>
      </w:r>
      <w:r>
        <w:rPr>
          <w:color w:val="414042"/>
          <w:spacing w:val="-7"/>
        </w:rPr>
        <w:t xml:space="preserve"> </w:t>
      </w:r>
      <w:r>
        <w:rPr>
          <w:color w:val="414042"/>
        </w:rPr>
        <w:t>solutions,</w:t>
      </w:r>
      <w:r>
        <w:rPr>
          <w:color w:val="414042"/>
          <w:spacing w:val="-7"/>
        </w:rPr>
        <w:t xml:space="preserve"> </w:t>
      </w:r>
      <w:r>
        <w:rPr>
          <w:color w:val="414042"/>
        </w:rPr>
        <w:t>committing</w:t>
      </w:r>
      <w:r>
        <w:rPr>
          <w:color w:val="414042"/>
          <w:spacing w:val="-7"/>
        </w:rPr>
        <w:t xml:space="preserve"> </w:t>
      </w:r>
      <w:r>
        <w:rPr>
          <w:color w:val="414042"/>
        </w:rPr>
        <w:t>to</w:t>
      </w:r>
      <w:r>
        <w:rPr>
          <w:color w:val="414042"/>
          <w:spacing w:val="-7"/>
        </w:rPr>
        <w:t xml:space="preserve"> </w:t>
      </w:r>
      <w:r>
        <w:rPr>
          <w:color w:val="414042"/>
        </w:rPr>
        <w:t>better engagement</w:t>
      </w:r>
      <w:r>
        <w:rPr>
          <w:color w:val="414042"/>
          <w:spacing w:val="-9"/>
        </w:rPr>
        <w:t xml:space="preserve"> </w:t>
      </w:r>
      <w:r>
        <w:rPr>
          <w:color w:val="414042"/>
        </w:rPr>
        <w:t>through</w:t>
      </w:r>
      <w:r>
        <w:rPr>
          <w:color w:val="414042"/>
          <w:spacing w:val="-9"/>
        </w:rPr>
        <w:t xml:space="preserve"> </w:t>
      </w:r>
      <w:r>
        <w:rPr>
          <w:color w:val="414042"/>
        </w:rPr>
        <w:t>representative</w:t>
      </w:r>
      <w:r>
        <w:rPr>
          <w:color w:val="414042"/>
          <w:spacing w:val="-9"/>
        </w:rPr>
        <w:t xml:space="preserve"> </w:t>
      </w:r>
      <w:r>
        <w:rPr>
          <w:color w:val="414042"/>
        </w:rPr>
        <w:t>peaks,</w:t>
      </w:r>
      <w:r>
        <w:rPr>
          <w:color w:val="414042"/>
          <w:spacing w:val="-9"/>
        </w:rPr>
        <w:t xml:space="preserve"> </w:t>
      </w:r>
      <w:r>
        <w:rPr>
          <w:color w:val="414042"/>
        </w:rPr>
        <w:t>and</w:t>
      </w:r>
      <w:r>
        <w:rPr>
          <w:color w:val="414042"/>
          <w:spacing w:val="-10"/>
        </w:rPr>
        <w:t xml:space="preserve"> </w:t>
      </w:r>
      <w:r>
        <w:rPr>
          <w:color w:val="414042"/>
        </w:rPr>
        <w:t>working</w:t>
      </w:r>
    </w:p>
    <w:p w:rsidR="00580ABF" w:rsidRDefault="00E352FF">
      <w:pPr>
        <w:pStyle w:val="BodyText"/>
        <w:spacing w:line="211" w:lineRule="auto"/>
        <w:ind w:left="827"/>
      </w:pPr>
      <w:r>
        <w:rPr>
          <w:color w:val="414042"/>
        </w:rPr>
        <w:t xml:space="preserve">with Aboriginal and </w:t>
      </w:r>
      <w:r>
        <w:rPr>
          <w:color w:val="414042"/>
          <w:spacing w:val="-4"/>
        </w:rPr>
        <w:t xml:space="preserve">Torres </w:t>
      </w:r>
      <w:r>
        <w:rPr>
          <w:color w:val="414042"/>
        </w:rPr>
        <w:t>strait Islander leaders</w:t>
      </w:r>
      <w:r>
        <w:rPr>
          <w:color w:val="414042"/>
          <w:spacing w:val="-26"/>
        </w:rPr>
        <w:t xml:space="preserve"> </w:t>
      </w:r>
      <w:r>
        <w:rPr>
          <w:color w:val="414042"/>
        </w:rPr>
        <w:t>(National Congress of Australia's First Peoples,</w:t>
      </w:r>
      <w:r>
        <w:rPr>
          <w:color w:val="414042"/>
          <w:spacing w:val="-7"/>
        </w:rPr>
        <w:t xml:space="preserve"> </w:t>
      </w:r>
      <w:r>
        <w:rPr>
          <w:color w:val="414042"/>
        </w:rPr>
        <w:t>2016).</w:t>
      </w:r>
    </w:p>
    <w:p w:rsidR="00580ABF" w:rsidRDefault="00E352FF">
      <w:pPr>
        <w:pStyle w:val="BodyText"/>
        <w:spacing w:before="104" w:line="211" w:lineRule="auto"/>
        <w:ind w:left="827" w:right="187"/>
      </w:pPr>
      <w:r>
        <w:rPr>
          <w:color w:val="414042"/>
        </w:rPr>
        <w:t>Many Indigenous people consulted spoke of their lack of confidence that government can do what is required to close the gap. They spoke of targets not being met, and the continued failure by government to take up Indigenous-led solutions, whether they be political or operational. They argued that this is a critical issue that is continually impacting on genuine engagement and relationships.</w:t>
      </w:r>
    </w:p>
    <w:p w:rsidR="00580ABF" w:rsidRDefault="00E352FF">
      <w:pPr>
        <w:pStyle w:val="BodyText"/>
        <w:spacing w:before="105" w:line="211" w:lineRule="auto"/>
        <w:ind w:left="827" w:right="166"/>
      </w:pPr>
      <w:r>
        <w:rPr>
          <w:color w:val="414042"/>
        </w:rPr>
        <w:t>Often where relationships are at their best is when governments have enabled initiatives but haven’t led them.</w:t>
      </w:r>
    </w:p>
    <w:p w:rsidR="00580ABF" w:rsidRDefault="00E352FF">
      <w:pPr>
        <w:pStyle w:val="BodyText"/>
        <w:spacing w:before="10"/>
        <w:rPr>
          <w:sz w:val="3"/>
        </w:rPr>
      </w:pPr>
      <w:r>
        <w:br w:type="column"/>
      </w:r>
    </w:p>
    <w:p w:rsidR="00445CEF" w:rsidRPr="00350A09" w:rsidRDefault="00445CEF" w:rsidP="009C5BEA">
      <w:pPr>
        <w:pStyle w:val="BodyText"/>
        <w:spacing w:before="216" w:line="211" w:lineRule="auto"/>
        <w:ind w:left="413" w:right="188"/>
        <w:rPr>
          <w:i/>
          <w:color w:val="414042"/>
        </w:rPr>
      </w:pPr>
      <w:r w:rsidRPr="00350A09">
        <w:rPr>
          <w:i/>
          <w:color w:val="414042"/>
        </w:rPr>
        <w:t>Supporting the community and giving responsibility to local managers results in different relationships developing – more a partnership. Rather than ‘black fellas being passive recipients of Government largesse’. Governments haven’t been prepared to go down this path of empowerment. Communities need to have access to their own data. So</w:t>
      </w:r>
      <w:r w:rsidR="009C5BEA">
        <w:rPr>
          <w:i/>
          <w:color w:val="414042"/>
        </w:rPr>
        <w:t xml:space="preserve"> </w:t>
      </w:r>
      <w:r w:rsidRPr="00350A09">
        <w:rPr>
          <w:i/>
          <w:color w:val="414042"/>
        </w:rPr>
        <w:t>that they can make their own decisions and priorities.</w:t>
      </w:r>
    </w:p>
    <w:p w:rsidR="00445CEF" w:rsidRPr="00350A09" w:rsidRDefault="00445CEF" w:rsidP="00350A09">
      <w:pPr>
        <w:pStyle w:val="BodyText"/>
        <w:spacing w:before="216" w:line="211" w:lineRule="auto"/>
        <w:ind w:right="188" w:firstLine="413"/>
        <w:rPr>
          <w:i/>
          <w:color w:val="414042"/>
        </w:rPr>
      </w:pPr>
      <w:r w:rsidRPr="00350A09">
        <w:rPr>
          <w:i/>
          <w:color w:val="414042"/>
        </w:rPr>
        <w:t>Richard Weston, CEO Healing Foundation</w:t>
      </w:r>
    </w:p>
    <w:p w:rsidR="00445CEF" w:rsidRDefault="00445CEF">
      <w:pPr>
        <w:pStyle w:val="BodyText"/>
        <w:spacing w:before="105" w:line="211" w:lineRule="auto"/>
        <w:ind w:left="412" w:right="1050"/>
        <w:rPr>
          <w:color w:val="414042"/>
        </w:rPr>
      </w:pPr>
    </w:p>
    <w:p w:rsidR="00580ABF" w:rsidRDefault="00E352FF">
      <w:pPr>
        <w:pStyle w:val="BodyText"/>
        <w:spacing w:before="105" w:line="211" w:lineRule="auto"/>
        <w:ind w:left="412" w:right="1050"/>
      </w:pPr>
      <w:r>
        <w:rPr>
          <w:color w:val="414042"/>
        </w:rPr>
        <w:t>Bipartisanship has been an important feature of Closing the Gap and unlike many policy positions has not been used as a point of differentiation between political parties until now. Altman et al note that this has meant that the delivery of Closing the Gap has been able to occur over a long period of time but, nevertheless it is always subject to being used as a point of difference between political parties when necessary (Altman, et al., 2008).</w:t>
      </w:r>
    </w:p>
    <w:p w:rsidR="00580ABF" w:rsidRDefault="00580ABF">
      <w:pPr>
        <w:spacing w:line="211" w:lineRule="auto"/>
        <w:sectPr w:rsidR="00580ABF">
          <w:type w:val="continuous"/>
          <w:pgSz w:w="11910" w:h="16840"/>
          <w:pgMar w:top="1580" w:right="180" w:bottom="280" w:left="420" w:header="720" w:footer="720" w:gutter="0"/>
          <w:cols w:num="2" w:space="720" w:equalWidth="0">
            <w:col w:w="5308" w:space="40"/>
            <w:col w:w="5962"/>
          </w:cols>
        </w:sectPr>
      </w:pPr>
    </w:p>
    <w:p w:rsidR="00445CEF" w:rsidRPr="00445CEF" w:rsidRDefault="00445CEF" w:rsidP="00B95B4C">
      <w:pPr>
        <w:pStyle w:val="BodyText"/>
        <w:spacing w:before="105" w:line="211" w:lineRule="auto"/>
        <w:ind w:left="720" w:right="1050"/>
        <w:rPr>
          <w:color w:val="414042"/>
        </w:rPr>
      </w:pPr>
      <w:r>
        <w:rPr>
          <w:color w:val="414042"/>
        </w:rPr>
        <w:t>W</w:t>
      </w:r>
      <w:r w:rsidRPr="00445CEF">
        <w:rPr>
          <w:color w:val="414042"/>
        </w:rPr>
        <w:t>here there has not been an appropriate degree of engagement of Indigenous Australians is in</w:t>
      </w:r>
      <w:r>
        <w:rPr>
          <w:color w:val="414042"/>
        </w:rPr>
        <w:t xml:space="preserve"> </w:t>
      </w:r>
      <w:r w:rsidRPr="00445CEF">
        <w:rPr>
          <w:color w:val="414042"/>
        </w:rPr>
        <w:t xml:space="preserve">dealing with the relationship between Indigenous and non- Indigenous Australians and government. Closing the Gap in the main is understood by </w:t>
      </w:r>
      <w:r>
        <w:rPr>
          <w:color w:val="414042"/>
        </w:rPr>
        <w:t>I</w:t>
      </w:r>
      <w:r w:rsidRPr="00445CEF">
        <w:rPr>
          <w:color w:val="414042"/>
        </w:rPr>
        <w:t>ndigenous Australia to require community and individual empowerment to meet the objectives.</w:t>
      </w:r>
    </w:p>
    <w:p w:rsidR="00445CEF" w:rsidRPr="00445CEF" w:rsidRDefault="00445CEF" w:rsidP="00445CEF">
      <w:pPr>
        <w:pStyle w:val="BodyText"/>
        <w:spacing w:before="105" w:line="211" w:lineRule="auto"/>
        <w:ind w:left="412" w:right="1050"/>
        <w:rPr>
          <w:color w:val="414042"/>
        </w:rPr>
      </w:pPr>
    </w:p>
    <w:p w:rsidR="00580ABF" w:rsidRPr="00445CEF" w:rsidRDefault="00445CEF" w:rsidP="00B95B4C">
      <w:pPr>
        <w:pStyle w:val="BodyText"/>
        <w:spacing w:before="105" w:line="211" w:lineRule="auto"/>
        <w:ind w:left="720" w:right="1050"/>
        <w:rPr>
          <w:color w:val="414042"/>
        </w:rPr>
      </w:pPr>
      <w:r w:rsidRPr="00445CEF">
        <w:rPr>
          <w:color w:val="414042"/>
        </w:rPr>
        <w:t>There is a need for government to broker better relationships been Aboriginal</w:t>
      </w:r>
      <w:r>
        <w:rPr>
          <w:color w:val="414042"/>
        </w:rPr>
        <w:t xml:space="preserve"> </w:t>
      </w:r>
      <w:r w:rsidRPr="00445CEF">
        <w:rPr>
          <w:color w:val="414042"/>
        </w:rPr>
        <w:t>and non-Aboriginal Australia.</w:t>
      </w:r>
      <w:r>
        <w:rPr>
          <w:color w:val="414042"/>
        </w:rPr>
        <w:t xml:space="preserve"> </w:t>
      </w:r>
      <w:r w:rsidRPr="00445CEF">
        <w:rPr>
          <w:color w:val="414042"/>
        </w:rPr>
        <w:t>For example, there are funds set aside in the NDIS initiative to tackle community</w:t>
      </w:r>
      <w:r>
        <w:rPr>
          <w:color w:val="414042"/>
        </w:rPr>
        <w:t xml:space="preserve"> </w:t>
      </w:r>
      <w:r w:rsidRPr="00445CEF">
        <w:rPr>
          <w:color w:val="414042"/>
        </w:rPr>
        <w:t>attitudes to disability</w:t>
      </w:r>
      <w:r>
        <w:rPr>
          <w:color w:val="414042"/>
        </w:rPr>
        <w:t>.</w:t>
      </w:r>
    </w:p>
    <w:p w:rsidR="00580ABF" w:rsidRDefault="00580ABF">
      <w:pPr>
        <w:spacing w:line="199" w:lineRule="auto"/>
        <w:jc w:val="center"/>
        <w:rPr>
          <w:sz w:val="28"/>
        </w:rPr>
        <w:sectPr w:rsidR="00580ABF">
          <w:type w:val="continuous"/>
          <w:pgSz w:w="11910" w:h="16840"/>
          <w:pgMar w:top="1580" w:right="180" w:bottom="280" w:left="420" w:header="720" w:footer="720" w:gutter="0"/>
          <w:cols w:space="720"/>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377BDD" w:rsidRDefault="00377BDD" w:rsidP="00377BDD">
      <w:pPr>
        <w:pStyle w:val="Heading3"/>
      </w:pPr>
      <w:r>
        <w:t>The Changing Roles and Responsibilities of the Commonwealth and the States, and Level of Co-ordination between Programs or Strategies</w:t>
      </w:r>
      <w:r w:rsidR="00E352FF">
        <w:t xml:space="preserve"> </w:t>
      </w:r>
    </w:p>
    <w:p w:rsidR="00580ABF" w:rsidRPr="00CF2220" w:rsidRDefault="00E352FF" w:rsidP="00CF2220">
      <w:pPr>
        <w:pStyle w:val="BodyText"/>
        <w:numPr>
          <w:ilvl w:val="0"/>
          <w:numId w:val="37"/>
        </w:numPr>
        <w:spacing w:line="211" w:lineRule="auto"/>
        <w:ind w:right="1093"/>
      </w:pPr>
      <w:r w:rsidRPr="00CF2220">
        <w:t>Providing clear, consistent and ongoing communication about purpose and expectations of program intentions, input and outcomes;</w:t>
      </w:r>
    </w:p>
    <w:p w:rsidR="00580ABF" w:rsidRDefault="00E352FF" w:rsidP="00357E37">
      <w:pPr>
        <w:pStyle w:val="BodyText"/>
        <w:numPr>
          <w:ilvl w:val="0"/>
          <w:numId w:val="26"/>
        </w:numPr>
        <w:spacing w:before="111" w:line="211" w:lineRule="auto"/>
        <w:ind w:right="190"/>
      </w:pPr>
      <w:r>
        <w:t>State and Territories’ reluctance to sign up to a national program and not take responsibility for their programs</w:t>
      </w:r>
    </w:p>
    <w:p w:rsidR="00580ABF" w:rsidRDefault="00E352FF" w:rsidP="00357E37">
      <w:pPr>
        <w:pStyle w:val="BodyText"/>
        <w:numPr>
          <w:ilvl w:val="0"/>
          <w:numId w:val="26"/>
        </w:numPr>
        <w:spacing w:before="110" w:line="211" w:lineRule="auto"/>
        <w:ind w:right="271"/>
      </w:pPr>
      <w:r>
        <w:t xml:space="preserve">What was really needed was one plan for each </w:t>
      </w:r>
      <w:r>
        <w:rPr>
          <w:spacing w:val="-3"/>
        </w:rPr>
        <w:t xml:space="preserve">state </w:t>
      </w:r>
      <w:r>
        <w:t>for supplementary funding. There would have been</w:t>
      </w:r>
      <w:r>
        <w:rPr>
          <w:spacing w:val="-8"/>
        </w:rPr>
        <w:t xml:space="preserve"> </w:t>
      </w:r>
      <w:r>
        <w:t>one</w:t>
      </w:r>
      <w:r>
        <w:rPr>
          <w:spacing w:val="-7"/>
        </w:rPr>
        <w:t xml:space="preserve"> </w:t>
      </w:r>
      <w:r>
        <w:t>point</w:t>
      </w:r>
      <w:r>
        <w:rPr>
          <w:spacing w:val="-8"/>
        </w:rPr>
        <w:t xml:space="preserve"> </w:t>
      </w:r>
      <w:r>
        <w:t>of</w:t>
      </w:r>
      <w:r>
        <w:rPr>
          <w:spacing w:val="-7"/>
        </w:rPr>
        <w:t xml:space="preserve"> </w:t>
      </w:r>
      <w:r>
        <w:t>program</w:t>
      </w:r>
      <w:r>
        <w:rPr>
          <w:spacing w:val="-7"/>
        </w:rPr>
        <w:t xml:space="preserve"> </w:t>
      </w:r>
      <w:r>
        <w:t>logic</w:t>
      </w:r>
      <w:r>
        <w:rPr>
          <w:spacing w:val="-8"/>
        </w:rPr>
        <w:t xml:space="preserve"> </w:t>
      </w:r>
      <w:r>
        <w:t>and</w:t>
      </w:r>
      <w:r>
        <w:rPr>
          <w:spacing w:val="-6"/>
        </w:rPr>
        <w:t xml:space="preserve"> </w:t>
      </w:r>
      <w:r>
        <w:t>accountability. (Stakeholder</w:t>
      </w:r>
      <w:r>
        <w:rPr>
          <w:spacing w:val="-1"/>
        </w:rPr>
        <w:t xml:space="preserve"> </w:t>
      </w:r>
      <w:r>
        <w:t>consultations)</w:t>
      </w:r>
    </w:p>
    <w:p w:rsidR="00580ABF" w:rsidRDefault="00580ABF">
      <w:pPr>
        <w:pStyle w:val="BodyText"/>
        <w:spacing w:before="7"/>
        <w:rPr>
          <w:sz w:val="24"/>
        </w:rPr>
      </w:pPr>
    </w:p>
    <w:p w:rsidR="00580ABF" w:rsidRPr="00181DE0" w:rsidRDefault="00377BDD" w:rsidP="00181DE0">
      <w:pPr>
        <w:pStyle w:val="Heading3"/>
      </w:pPr>
      <w:r>
        <w:t>The Changing Social Attitudes of People and Public Awareness of Issues</w:t>
      </w:r>
    </w:p>
    <w:p w:rsidR="00580ABF" w:rsidRDefault="00E352FF" w:rsidP="00377BDD">
      <w:pPr>
        <w:pStyle w:val="BodyText"/>
        <w:ind w:left="827"/>
      </w:pPr>
      <w:r>
        <w:t>Closing the gap within the broader context of Indigenous affairs</w:t>
      </w:r>
      <w:r w:rsidR="00377BDD">
        <w:t xml:space="preserve">. </w:t>
      </w:r>
    </w:p>
    <w:p w:rsidR="00580ABF" w:rsidRDefault="00E352FF">
      <w:pPr>
        <w:pStyle w:val="BodyText"/>
        <w:spacing w:before="41" w:line="211" w:lineRule="auto"/>
        <w:ind w:left="827"/>
      </w:pPr>
      <w:r>
        <w:rPr>
          <w:color w:val="414042"/>
        </w:rPr>
        <w:t>When Indigenous interviewees spoke of Closing the Gap it was in conjunction with human rights, community empowerment and the right to self-determination; and initiatives such as the Redfern Statement and the Uluru Statement from the Heart. In other words, “Closing the Gap” as a concept was thought to be wider than just the Closing the Gap framework, which is really the focus of this project.</w:t>
      </w:r>
    </w:p>
    <w:p w:rsidR="00580ABF" w:rsidRDefault="00E352FF">
      <w:pPr>
        <w:pStyle w:val="BodyText"/>
        <w:spacing w:before="105" w:line="211" w:lineRule="auto"/>
        <w:ind w:left="827" w:right="52"/>
      </w:pPr>
      <w:r>
        <w:rPr>
          <w:color w:val="414042"/>
        </w:rPr>
        <w:t>Ignoring this broader focus however denies the impact of social and structural factors on closing the gaps in education, health, and employment and the importance of an understanding of the social determinants and cultural determinants of health (National Congress of</w:t>
      </w:r>
    </w:p>
    <w:p w:rsidR="00580ABF" w:rsidRDefault="00E352FF">
      <w:pPr>
        <w:pStyle w:val="BodyText"/>
        <w:spacing w:line="211" w:lineRule="auto"/>
        <w:ind w:left="827" w:right="-4"/>
      </w:pPr>
      <w:r>
        <w:rPr>
          <w:color w:val="414042"/>
        </w:rPr>
        <w:t>Australia's First Peoples, 2016; Pholi, et al., 2009;</w:t>
      </w:r>
      <w:r>
        <w:rPr>
          <w:color w:val="414042"/>
          <w:spacing w:val="-30"/>
        </w:rPr>
        <w:t xml:space="preserve"> </w:t>
      </w:r>
      <w:r>
        <w:rPr>
          <w:color w:val="414042"/>
        </w:rPr>
        <w:t>Thorpe, et al.,</w:t>
      </w:r>
      <w:r>
        <w:rPr>
          <w:color w:val="414042"/>
          <w:spacing w:val="-2"/>
        </w:rPr>
        <w:t xml:space="preserve"> </w:t>
      </w:r>
      <w:r>
        <w:rPr>
          <w:color w:val="414042"/>
        </w:rPr>
        <w:t>2016).</w:t>
      </w:r>
    </w:p>
    <w:p w:rsidR="00580ABF" w:rsidRDefault="00E352FF">
      <w:pPr>
        <w:pStyle w:val="BodyText"/>
        <w:spacing w:before="1"/>
        <w:rPr>
          <w:sz w:val="5"/>
        </w:rPr>
      </w:pPr>
      <w:r>
        <w:br w:type="column"/>
      </w:r>
    </w:p>
    <w:p w:rsidR="00445CEF" w:rsidRPr="009C5BEA" w:rsidRDefault="00445CEF" w:rsidP="009C5BEA">
      <w:pPr>
        <w:pStyle w:val="BodyText"/>
        <w:spacing w:before="216" w:line="211" w:lineRule="auto"/>
        <w:ind w:left="413" w:right="188"/>
        <w:rPr>
          <w:i/>
          <w:color w:val="414042"/>
        </w:rPr>
      </w:pPr>
      <w:r w:rsidRPr="009C5BEA">
        <w:rPr>
          <w:i/>
          <w:color w:val="414042"/>
        </w:rPr>
        <w:t>It always struck me that Closing the Gap was a deficit mindset. Instead of talking about cultural prosperity, community action we talked about Closing the Gap and the deficit. The focus needed to be on strengths, community willingness and capacity to develop and deliver solutions. The focus should’ve been on these are original people, the original inhabitants and we have a national obligation to bring about identity and prosperity for our first nation’s people.</w:t>
      </w:r>
    </w:p>
    <w:p w:rsidR="00445CEF" w:rsidRPr="009C5BEA" w:rsidRDefault="00445CEF" w:rsidP="009C5BEA">
      <w:pPr>
        <w:pStyle w:val="BodyText"/>
        <w:spacing w:before="216" w:line="211" w:lineRule="auto"/>
        <w:ind w:right="188" w:firstLine="413"/>
        <w:rPr>
          <w:i/>
          <w:color w:val="414042"/>
        </w:rPr>
      </w:pPr>
      <w:r w:rsidRPr="009C5BEA">
        <w:rPr>
          <w:i/>
          <w:color w:val="414042"/>
        </w:rPr>
        <w:t>Qld Stakeholder</w:t>
      </w:r>
    </w:p>
    <w:p w:rsidR="00445CEF" w:rsidRDefault="00445CEF" w:rsidP="00445CEF">
      <w:pPr>
        <w:pStyle w:val="BodyText"/>
        <w:spacing w:line="211" w:lineRule="auto"/>
        <w:ind w:left="482" w:right="1093"/>
        <w:rPr>
          <w:color w:val="414042"/>
        </w:rPr>
      </w:pPr>
    </w:p>
    <w:p w:rsidR="00580ABF" w:rsidRDefault="00E352FF">
      <w:pPr>
        <w:pStyle w:val="BodyText"/>
        <w:spacing w:line="211" w:lineRule="auto"/>
        <w:ind w:left="482" w:right="1093"/>
        <w:rPr>
          <w:color w:val="414042"/>
        </w:rPr>
      </w:pPr>
      <w:r>
        <w:rPr>
          <w:color w:val="414042"/>
        </w:rPr>
        <w:t>Professor Ngiare Brown describes cultural determinants of health as follows:</w:t>
      </w:r>
    </w:p>
    <w:p w:rsidR="00445CEF" w:rsidRDefault="00445CEF">
      <w:pPr>
        <w:pStyle w:val="BodyText"/>
        <w:spacing w:line="211" w:lineRule="auto"/>
        <w:ind w:left="482" w:right="1093"/>
        <w:rPr>
          <w:color w:val="414042"/>
        </w:rPr>
      </w:pPr>
    </w:p>
    <w:p w:rsidR="00445CEF" w:rsidRDefault="00445CEF" w:rsidP="00445CEF">
      <w:pPr>
        <w:pStyle w:val="TableParagraph"/>
        <w:spacing w:before="116" w:line="211" w:lineRule="auto"/>
        <w:ind w:left="482" w:right="244"/>
        <w:rPr>
          <w:sz w:val="19"/>
        </w:rPr>
      </w:pPr>
      <w:r>
        <w:rPr>
          <w:sz w:val="19"/>
        </w:rPr>
        <w:t>“Cultural Determinants originate from and promote a strength-based perspective, acknowledging that stronger connections to culture and country build stronger individual and collective identities, a sense of self esteem, resilience, and improved outcomes across the other determinants of health including</w:t>
      </w:r>
    </w:p>
    <w:p w:rsidR="00445CEF" w:rsidRDefault="00445CEF" w:rsidP="00445CEF">
      <w:pPr>
        <w:pStyle w:val="BodyText"/>
        <w:spacing w:line="211" w:lineRule="auto"/>
        <w:ind w:left="482" w:right="1093"/>
      </w:pPr>
      <w:r>
        <w:t>education, economic stability and community safety”.</w:t>
      </w:r>
    </w:p>
    <w:p w:rsidR="00580ABF" w:rsidRDefault="00580ABF">
      <w:pPr>
        <w:pStyle w:val="BodyText"/>
        <w:spacing w:before="7"/>
        <w:rPr>
          <w:sz w:val="7"/>
        </w:rPr>
      </w:pPr>
    </w:p>
    <w:p w:rsidR="00580ABF" w:rsidRPr="00445CEF" w:rsidRDefault="00E352FF">
      <w:pPr>
        <w:pStyle w:val="BodyText"/>
        <w:spacing w:before="107" w:line="211" w:lineRule="auto"/>
        <w:ind w:left="482" w:right="1256"/>
        <w:rPr>
          <w:color w:val="414042"/>
        </w:rPr>
      </w:pPr>
      <w:r>
        <w:rPr>
          <w:color w:val="414042"/>
        </w:rPr>
        <w:t>The 2017 Close the Gap Progress and Priorities Report stresses the need to adopt a social and cultural determinants</w:t>
      </w:r>
      <w:r>
        <w:rPr>
          <w:color w:val="414042"/>
          <w:spacing w:val="-4"/>
        </w:rPr>
        <w:t xml:space="preserve"> </w:t>
      </w:r>
      <w:r>
        <w:rPr>
          <w:color w:val="414042"/>
        </w:rPr>
        <w:t>approach</w:t>
      </w:r>
      <w:r>
        <w:rPr>
          <w:color w:val="414042"/>
          <w:spacing w:val="-5"/>
        </w:rPr>
        <w:t xml:space="preserve"> </w:t>
      </w:r>
      <w:r>
        <w:rPr>
          <w:color w:val="414042"/>
        </w:rPr>
        <w:t>to</w:t>
      </w:r>
      <w:r>
        <w:rPr>
          <w:color w:val="414042"/>
          <w:spacing w:val="-5"/>
        </w:rPr>
        <w:t xml:space="preserve"> </w:t>
      </w:r>
      <w:r>
        <w:rPr>
          <w:color w:val="414042"/>
        </w:rPr>
        <w:t>Closing</w:t>
      </w:r>
      <w:r>
        <w:rPr>
          <w:color w:val="414042"/>
          <w:spacing w:val="-5"/>
        </w:rPr>
        <w:t xml:space="preserve"> </w:t>
      </w:r>
      <w:r>
        <w:rPr>
          <w:color w:val="414042"/>
        </w:rPr>
        <w:t>the</w:t>
      </w:r>
      <w:r>
        <w:rPr>
          <w:color w:val="414042"/>
          <w:spacing w:val="-4"/>
        </w:rPr>
        <w:t xml:space="preserve"> </w:t>
      </w:r>
      <w:r>
        <w:rPr>
          <w:color w:val="414042"/>
        </w:rPr>
        <w:t>Gap</w:t>
      </w:r>
      <w:r>
        <w:rPr>
          <w:color w:val="414042"/>
          <w:spacing w:val="-4"/>
        </w:rPr>
        <w:t xml:space="preserve"> </w:t>
      </w:r>
      <w:r>
        <w:rPr>
          <w:color w:val="414042"/>
        </w:rPr>
        <w:t>if</w:t>
      </w:r>
      <w:r>
        <w:rPr>
          <w:color w:val="414042"/>
          <w:spacing w:val="-5"/>
        </w:rPr>
        <w:t xml:space="preserve"> </w:t>
      </w:r>
      <w:r>
        <w:rPr>
          <w:color w:val="414042"/>
        </w:rPr>
        <w:t>targets</w:t>
      </w:r>
      <w:r>
        <w:rPr>
          <w:color w:val="414042"/>
          <w:spacing w:val="-4"/>
        </w:rPr>
        <w:t xml:space="preserve"> </w:t>
      </w:r>
      <w:r>
        <w:rPr>
          <w:color w:val="414042"/>
        </w:rPr>
        <w:t>are to</w:t>
      </w:r>
      <w:r>
        <w:rPr>
          <w:color w:val="414042"/>
          <w:spacing w:val="-5"/>
        </w:rPr>
        <w:t xml:space="preserve"> </w:t>
      </w:r>
      <w:r>
        <w:rPr>
          <w:color w:val="414042"/>
        </w:rPr>
        <w:t>be</w:t>
      </w:r>
      <w:r>
        <w:rPr>
          <w:color w:val="414042"/>
          <w:spacing w:val="-5"/>
        </w:rPr>
        <w:t xml:space="preserve"> </w:t>
      </w:r>
      <w:r>
        <w:rPr>
          <w:color w:val="414042"/>
        </w:rPr>
        <w:t>achieved</w:t>
      </w:r>
      <w:r>
        <w:rPr>
          <w:color w:val="414042"/>
          <w:spacing w:val="-4"/>
        </w:rPr>
        <w:t xml:space="preserve"> </w:t>
      </w:r>
      <w:r>
        <w:rPr>
          <w:color w:val="414042"/>
        </w:rPr>
        <w:t>and</w:t>
      </w:r>
      <w:r>
        <w:rPr>
          <w:color w:val="414042"/>
          <w:spacing w:val="-4"/>
        </w:rPr>
        <w:t xml:space="preserve"> </w:t>
      </w:r>
      <w:r>
        <w:rPr>
          <w:color w:val="414042"/>
        </w:rPr>
        <w:t>that</w:t>
      </w:r>
      <w:r>
        <w:rPr>
          <w:color w:val="414042"/>
          <w:spacing w:val="-4"/>
        </w:rPr>
        <w:t xml:space="preserve"> </w:t>
      </w:r>
      <w:r>
        <w:rPr>
          <w:color w:val="414042"/>
        </w:rPr>
        <w:t>targets</w:t>
      </w:r>
      <w:r>
        <w:rPr>
          <w:color w:val="414042"/>
          <w:spacing w:val="-4"/>
        </w:rPr>
        <w:t xml:space="preserve"> </w:t>
      </w:r>
      <w:r>
        <w:rPr>
          <w:color w:val="414042"/>
        </w:rPr>
        <w:t>should</w:t>
      </w:r>
      <w:r>
        <w:rPr>
          <w:color w:val="414042"/>
          <w:spacing w:val="-5"/>
        </w:rPr>
        <w:t xml:space="preserve"> </w:t>
      </w:r>
      <w:r>
        <w:rPr>
          <w:color w:val="414042"/>
        </w:rPr>
        <w:t>be</w:t>
      </w:r>
      <w:r>
        <w:rPr>
          <w:color w:val="414042"/>
          <w:spacing w:val="-4"/>
        </w:rPr>
        <w:t xml:space="preserve"> </w:t>
      </w:r>
      <w:r>
        <w:rPr>
          <w:color w:val="414042"/>
        </w:rPr>
        <w:t>broadened</w:t>
      </w:r>
      <w:r>
        <w:rPr>
          <w:color w:val="414042"/>
          <w:spacing w:val="-5"/>
        </w:rPr>
        <w:t xml:space="preserve"> </w:t>
      </w:r>
      <w:r>
        <w:rPr>
          <w:color w:val="414042"/>
        </w:rPr>
        <w:t>to include areas relating to some of the wider social and cultural determinants of health and other policy areas, identifying racism and institutional racism in health care settings as an important factor influencing health inequalities (Wright &amp; Lewis,</w:t>
      </w:r>
      <w:r w:rsidRPr="00445CEF">
        <w:rPr>
          <w:color w:val="414042"/>
        </w:rPr>
        <w:t xml:space="preserve"> </w:t>
      </w:r>
      <w:r>
        <w:rPr>
          <w:color w:val="414042"/>
        </w:rPr>
        <w:t>2017).</w:t>
      </w:r>
    </w:p>
    <w:p w:rsidR="00580ABF" w:rsidRPr="00445CEF" w:rsidRDefault="00580ABF" w:rsidP="00445CEF">
      <w:pPr>
        <w:pStyle w:val="BodyText"/>
        <w:spacing w:before="107" w:line="211" w:lineRule="auto"/>
        <w:ind w:left="482" w:right="1256"/>
        <w:rPr>
          <w:color w:val="414042"/>
        </w:rPr>
      </w:pPr>
    </w:p>
    <w:p w:rsidR="00445CEF" w:rsidRDefault="00445CEF" w:rsidP="00445CEF">
      <w:pPr>
        <w:pStyle w:val="BodyText"/>
        <w:spacing w:before="107" w:line="211" w:lineRule="auto"/>
        <w:ind w:left="482" w:right="1256"/>
        <w:sectPr w:rsidR="00445CEF">
          <w:type w:val="continuous"/>
          <w:pgSz w:w="11910" w:h="16840"/>
          <w:pgMar w:top="1580" w:right="180" w:bottom="280" w:left="420" w:header="720" w:footer="720" w:gutter="0"/>
          <w:cols w:num="2" w:space="720" w:equalWidth="0">
            <w:col w:w="5238" w:space="40"/>
            <w:col w:w="6032"/>
          </w:cols>
        </w:sectPr>
      </w:pPr>
      <w:r w:rsidRPr="00445CEF">
        <w:rPr>
          <w:color w:val="414042"/>
        </w:rPr>
        <w:t>The implication for Closing the Gap is that all the things that are barriers to reaching targets need to be addressed – all of</w:t>
      </w:r>
      <w:r>
        <w:rPr>
          <w:color w:val="414042"/>
        </w:rPr>
        <w:t xml:space="preserve"> </w:t>
      </w:r>
      <w:r w:rsidRPr="00445CEF">
        <w:rPr>
          <w:color w:val="414042"/>
        </w:rPr>
        <w:t>the social determinants and the cultural determinants of health, including connection to family, community, Country, language and culture (positively correlated) and racism</w:t>
      </w:r>
      <w:r w:rsidR="00CF2220">
        <w:rPr>
          <w:color w:val="414042"/>
        </w:rPr>
        <w:t xml:space="preserve"> (negatively correlated)</w:t>
      </w:r>
      <w:r w:rsidR="00553AF3">
        <w:rPr>
          <w:color w:val="414042"/>
        </w:rPr>
        <w:t>.</w:t>
      </w:r>
      <w:r>
        <w:rPr>
          <w:color w:val="FFFFFF"/>
        </w:rPr>
        <w:t>(negatively correlated).</w:t>
      </w:r>
    </w:p>
    <w:p w:rsidR="00580ABF" w:rsidRPr="00445CEF" w:rsidRDefault="00580ABF" w:rsidP="00445CEF">
      <w:pPr>
        <w:pStyle w:val="BodyText"/>
        <w:spacing w:before="156" w:line="211" w:lineRule="auto"/>
        <w:ind w:left="827" w:right="142"/>
        <w:rPr>
          <w:color w:val="414042"/>
        </w:rPr>
      </w:pPr>
    </w:p>
    <w:p w:rsidR="00445CEF" w:rsidRPr="00445CEF" w:rsidRDefault="00445CEF" w:rsidP="00445CEF">
      <w:pPr>
        <w:pStyle w:val="BodyText"/>
        <w:spacing w:before="156" w:line="211" w:lineRule="auto"/>
        <w:ind w:left="827" w:right="142"/>
        <w:rPr>
          <w:color w:val="414042"/>
        </w:rPr>
      </w:pPr>
      <w:r w:rsidRPr="00445CEF">
        <w:rPr>
          <w:color w:val="414042"/>
        </w:rPr>
        <w:t>Aboriginal communities are different, our connection doesn’t go away. We may not be in</w:t>
      </w:r>
    </w:p>
    <w:p w:rsidR="00445CEF" w:rsidRPr="00445CEF" w:rsidRDefault="00445CEF" w:rsidP="00445CEF">
      <w:pPr>
        <w:pStyle w:val="BodyText"/>
        <w:spacing w:before="156" w:line="211" w:lineRule="auto"/>
        <w:ind w:left="827" w:right="142"/>
        <w:rPr>
          <w:color w:val="414042"/>
        </w:rPr>
      </w:pPr>
      <w:r w:rsidRPr="00445CEF">
        <w:rPr>
          <w:color w:val="414042"/>
        </w:rPr>
        <w:t>those communities, but those communities are in us.</w:t>
      </w:r>
    </w:p>
    <w:p w:rsidR="00580ABF" w:rsidRPr="00445CEF" w:rsidRDefault="00580ABF" w:rsidP="00445CEF">
      <w:pPr>
        <w:pStyle w:val="BodyText"/>
        <w:spacing w:before="156" w:line="211" w:lineRule="auto"/>
        <w:ind w:left="827" w:right="142"/>
        <w:rPr>
          <w:color w:val="414042"/>
        </w:rPr>
        <w:sectPr w:rsidR="00580ABF" w:rsidRPr="00445CEF">
          <w:pgSz w:w="11910" w:h="16840"/>
          <w:pgMar w:top="1460" w:right="180" w:bottom="380" w:left="420" w:header="0" w:footer="183" w:gutter="0"/>
          <w:cols w:space="720"/>
        </w:sectPr>
      </w:pPr>
    </w:p>
    <w:p w:rsidR="00445CEF" w:rsidRPr="00445CEF" w:rsidRDefault="00B95B4C" w:rsidP="00445CEF">
      <w:pPr>
        <w:pStyle w:val="BodyText"/>
        <w:spacing w:before="156" w:line="211" w:lineRule="auto"/>
        <w:ind w:left="827" w:right="142"/>
        <w:rPr>
          <w:color w:val="414042"/>
        </w:rPr>
      </w:pPr>
      <w:r>
        <w:rPr>
          <w:color w:val="414042"/>
        </w:rPr>
        <w:tab/>
      </w:r>
    </w:p>
    <w:p w:rsidR="00580ABF" w:rsidRPr="00AA721E" w:rsidRDefault="00E352FF" w:rsidP="00AA721E">
      <w:pPr>
        <w:pStyle w:val="Heading3"/>
      </w:pPr>
      <w:r w:rsidRPr="00AA721E">
        <w:t>T</w:t>
      </w:r>
      <w:r w:rsidR="00377BDD">
        <w:t>he Impact of the Initiative on Policy Development</w:t>
      </w:r>
    </w:p>
    <w:p w:rsidR="00580ABF" w:rsidRDefault="00E352FF">
      <w:pPr>
        <w:pStyle w:val="BodyText"/>
        <w:spacing w:before="156" w:line="211" w:lineRule="auto"/>
        <w:ind w:left="827" w:right="142"/>
      </w:pPr>
      <w:r>
        <w:rPr>
          <w:color w:val="414042"/>
        </w:rPr>
        <w:t>It has been discussed elsewhere the impact the broader Closing the Gap policy framework has had on mobilising the national effort to close the gap on Indigenous disadvantage. The introduction of the Commonwealth Government’s Indigenous Procurement Policy leverages the government’s annual procurement spend, ensuring there is demand for competitive Indigenous goods and services. This has resulted in a burgeoning Indigenous business sector that is contributing to Closing the Gap in</w:t>
      </w:r>
      <w:r>
        <w:rPr>
          <w:color w:val="414042"/>
          <w:spacing w:val="-6"/>
        </w:rPr>
        <w:t xml:space="preserve"> </w:t>
      </w:r>
      <w:r>
        <w:rPr>
          <w:color w:val="414042"/>
        </w:rPr>
        <w:t>a</w:t>
      </w:r>
      <w:r>
        <w:rPr>
          <w:color w:val="414042"/>
          <w:spacing w:val="-5"/>
        </w:rPr>
        <w:t xml:space="preserve"> </w:t>
      </w:r>
      <w:r>
        <w:rPr>
          <w:color w:val="414042"/>
        </w:rPr>
        <w:t>range</w:t>
      </w:r>
      <w:r>
        <w:rPr>
          <w:color w:val="414042"/>
          <w:spacing w:val="-4"/>
        </w:rPr>
        <w:t xml:space="preserve"> </w:t>
      </w:r>
      <w:r>
        <w:rPr>
          <w:color w:val="414042"/>
        </w:rPr>
        <w:t>of</w:t>
      </w:r>
      <w:r>
        <w:rPr>
          <w:color w:val="414042"/>
          <w:spacing w:val="-6"/>
        </w:rPr>
        <w:t xml:space="preserve"> </w:t>
      </w:r>
      <w:r>
        <w:rPr>
          <w:color w:val="414042"/>
        </w:rPr>
        <w:t>ways,</w:t>
      </w:r>
      <w:r>
        <w:rPr>
          <w:color w:val="414042"/>
          <w:spacing w:val="-5"/>
        </w:rPr>
        <w:t xml:space="preserve"> </w:t>
      </w:r>
      <w:r>
        <w:rPr>
          <w:color w:val="414042"/>
        </w:rPr>
        <w:t>including</w:t>
      </w:r>
      <w:r>
        <w:rPr>
          <w:color w:val="414042"/>
          <w:spacing w:val="-5"/>
        </w:rPr>
        <w:t xml:space="preserve"> </w:t>
      </w:r>
      <w:r>
        <w:rPr>
          <w:color w:val="414042"/>
        </w:rPr>
        <w:t>employment</w:t>
      </w:r>
      <w:r>
        <w:rPr>
          <w:color w:val="414042"/>
          <w:spacing w:val="-4"/>
        </w:rPr>
        <w:t xml:space="preserve"> </w:t>
      </w:r>
      <w:r>
        <w:rPr>
          <w:color w:val="414042"/>
        </w:rPr>
        <w:t>and</w:t>
      </w:r>
      <w:r>
        <w:rPr>
          <w:color w:val="414042"/>
          <w:spacing w:val="-6"/>
        </w:rPr>
        <w:t xml:space="preserve"> </w:t>
      </w:r>
      <w:r>
        <w:rPr>
          <w:color w:val="414042"/>
        </w:rPr>
        <w:t>economic development.</w:t>
      </w:r>
    </w:p>
    <w:p w:rsidR="00580ABF" w:rsidRDefault="00E352FF">
      <w:pPr>
        <w:pStyle w:val="BodyText"/>
        <w:spacing w:before="103" w:line="211" w:lineRule="auto"/>
        <w:ind w:left="827" w:right="127"/>
      </w:pPr>
      <w:r>
        <w:rPr>
          <w:color w:val="414042"/>
        </w:rPr>
        <w:t>It is evident in the literature and consultations that Indigenous business owners are using their businesses to create positive futures for themselves, their families and their communities. The Closing the Gap framework focuses on employment and training as elements of</w:t>
      </w:r>
    </w:p>
    <w:p w:rsidR="00580ABF" w:rsidRDefault="00E352FF">
      <w:pPr>
        <w:pStyle w:val="BodyText"/>
        <w:spacing w:line="211" w:lineRule="auto"/>
        <w:ind w:left="827"/>
        <w:rPr>
          <w:color w:val="414042"/>
        </w:rPr>
      </w:pPr>
      <w:r>
        <w:rPr>
          <w:color w:val="414042"/>
        </w:rPr>
        <w:t>economic development which could be further</w:t>
      </w:r>
      <w:r>
        <w:rPr>
          <w:color w:val="414042"/>
          <w:spacing w:val="-31"/>
        </w:rPr>
        <w:t xml:space="preserve"> </w:t>
      </w:r>
      <w:r>
        <w:rPr>
          <w:color w:val="414042"/>
        </w:rPr>
        <w:t>developed to better represent</w:t>
      </w:r>
      <w:r>
        <w:rPr>
          <w:color w:val="414042"/>
          <w:spacing w:val="-3"/>
        </w:rPr>
        <w:t xml:space="preserve"> </w:t>
      </w:r>
      <w:r>
        <w:rPr>
          <w:color w:val="414042"/>
        </w:rPr>
        <w:t>business.</w:t>
      </w:r>
    </w:p>
    <w:p w:rsidR="00445CEF" w:rsidRDefault="00445CEF">
      <w:pPr>
        <w:pStyle w:val="BodyText"/>
        <w:spacing w:line="211" w:lineRule="auto"/>
        <w:ind w:left="827"/>
        <w:rPr>
          <w:color w:val="414042"/>
        </w:rPr>
      </w:pPr>
    </w:p>
    <w:p w:rsidR="00445CEF" w:rsidRPr="009C5BEA" w:rsidRDefault="00445CEF" w:rsidP="009C5BEA">
      <w:pPr>
        <w:pStyle w:val="BodyText"/>
        <w:spacing w:before="216" w:line="211" w:lineRule="auto"/>
        <w:ind w:left="720" w:right="188"/>
        <w:rPr>
          <w:i/>
          <w:color w:val="414042"/>
        </w:rPr>
      </w:pPr>
      <w:r w:rsidRPr="009C5BEA">
        <w:rPr>
          <w:i/>
          <w:color w:val="414042"/>
        </w:rPr>
        <w:t>(Owning my own business) means that I have the ability to determine my own future. It means to me, that through example, that I can make a difference in my community. Aboriginal communities are different, our connection doesn’t go away. We may not be in those communities, but those communities are in us’.</w:t>
      </w:r>
    </w:p>
    <w:p w:rsidR="00445CEF" w:rsidRPr="009C5BEA" w:rsidRDefault="00445CEF" w:rsidP="009C5BEA">
      <w:pPr>
        <w:pStyle w:val="BodyText"/>
        <w:spacing w:before="216" w:line="211" w:lineRule="auto"/>
        <w:ind w:right="188" w:firstLine="720"/>
        <w:rPr>
          <w:i/>
          <w:color w:val="414042"/>
        </w:rPr>
      </w:pPr>
      <w:r w:rsidRPr="009C5BEA">
        <w:rPr>
          <w:i/>
          <w:color w:val="414042"/>
        </w:rPr>
        <w:t>Victoria Stakeholder</w:t>
      </w:r>
    </w:p>
    <w:p w:rsidR="00580ABF" w:rsidRDefault="00580ABF">
      <w:pPr>
        <w:pStyle w:val="BodyText"/>
        <w:spacing w:before="7"/>
        <w:rPr>
          <w:sz w:val="7"/>
        </w:rPr>
      </w:pPr>
    </w:p>
    <w:p w:rsidR="00580ABF" w:rsidRPr="00181DE0" w:rsidRDefault="00E352FF" w:rsidP="00B95B4C">
      <w:pPr>
        <w:pStyle w:val="Heading3"/>
        <w:ind w:left="107" w:firstLine="306"/>
      </w:pPr>
      <w:r>
        <w:rPr>
          <w:b/>
        </w:rPr>
        <w:br w:type="column"/>
      </w:r>
      <w:r w:rsidRPr="00181DE0">
        <w:t>A</w:t>
      </w:r>
      <w:r w:rsidR="00377BDD">
        <w:t>ny Gaps in Accountability Mechanisms</w:t>
      </w:r>
    </w:p>
    <w:p w:rsidR="00DA6175" w:rsidRPr="009C5BEA" w:rsidRDefault="00DA6175" w:rsidP="009C5BEA">
      <w:pPr>
        <w:pStyle w:val="BodyText"/>
        <w:spacing w:before="216" w:line="211" w:lineRule="auto"/>
        <w:ind w:left="413" w:right="188"/>
        <w:rPr>
          <w:i/>
          <w:color w:val="414042"/>
        </w:rPr>
      </w:pPr>
      <w:r w:rsidRPr="009C5BEA">
        <w:rPr>
          <w:i/>
          <w:color w:val="414042"/>
        </w:rPr>
        <w:t>Having targets provide a structured framework for governments and those they fund to be held accountable for meeting or rather failing to meet, their policy goals.</w:t>
      </w:r>
    </w:p>
    <w:p w:rsidR="00DA6175" w:rsidRPr="009C5BEA" w:rsidRDefault="00DA6175" w:rsidP="009C5BEA">
      <w:pPr>
        <w:pStyle w:val="BodyText"/>
        <w:spacing w:before="216" w:line="211" w:lineRule="auto"/>
        <w:ind w:right="188" w:firstLine="413"/>
        <w:rPr>
          <w:i/>
          <w:color w:val="414042"/>
        </w:rPr>
      </w:pPr>
      <w:r w:rsidRPr="009C5BEA">
        <w:rPr>
          <w:i/>
          <w:color w:val="414042"/>
        </w:rPr>
        <w:t>NSW Stakeholder</w:t>
      </w:r>
    </w:p>
    <w:p w:rsidR="00580ABF" w:rsidRDefault="00580ABF">
      <w:pPr>
        <w:pStyle w:val="BodyText"/>
        <w:spacing w:before="14"/>
        <w:rPr>
          <w:b/>
          <w:sz w:val="10"/>
        </w:rPr>
      </w:pPr>
    </w:p>
    <w:p w:rsidR="00580ABF" w:rsidRDefault="00E352FF">
      <w:pPr>
        <w:pStyle w:val="BodyText"/>
        <w:spacing w:before="104" w:line="211" w:lineRule="auto"/>
        <w:ind w:left="427" w:right="1127"/>
      </w:pPr>
      <w:r>
        <w:rPr>
          <w:color w:val="414042"/>
        </w:rPr>
        <w:t>Stakeholders</w:t>
      </w:r>
      <w:r>
        <w:rPr>
          <w:color w:val="414042"/>
          <w:spacing w:val="-8"/>
        </w:rPr>
        <w:t xml:space="preserve"> </w:t>
      </w:r>
      <w:r>
        <w:rPr>
          <w:color w:val="414042"/>
        </w:rPr>
        <w:t>spoke</w:t>
      </w:r>
      <w:r>
        <w:rPr>
          <w:color w:val="414042"/>
          <w:spacing w:val="-6"/>
        </w:rPr>
        <w:t xml:space="preserve"> </w:t>
      </w:r>
      <w:r>
        <w:rPr>
          <w:color w:val="414042"/>
        </w:rPr>
        <w:t>of</w:t>
      </w:r>
      <w:r>
        <w:rPr>
          <w:color w:val="414042"/>
          <w:spacing w:val="-7"/>
        </w:rPr>
        <w:t xml:space="preserve"> </w:t>
      </w:r>
      <w:r>
        <w:rPr>
          <w:color w:val="414042"/>
        </w:rPr>
        <w:t>gaps</w:t>
      </w:r>
      <w:r>
        <w:rPr>
          <w:color w:val="414042"/>
          <w:spacing w:val="-7"/>
        </w:rPr>
        <w:t xml:space="preserve"> </w:t>
      </w:r>
      <w:r>
        <w:rPr>
          <w:color w:val="414042"/>
        </w:rPr>
        <w:t>in</w:t>
      </w:r>
      <w:r>
        <w:rPr>
          <w:color w:val="414042"/>
          <w:spacing w:val="-7"/>
        </w:rPr>
        <w:t xml:space="preserve"> </w:t>
      </w:r>
      <w:r>
        <w:rPr>
          <w:color w:val="414042"/>
        </w:rPr>
        <w:t>accountability</w:t>
      </w:r>
      <w:r>
        <w:rPr>
          <w:color w:val="414042"/>
          <w:spacing w:val="-7"/>
        </w:rPr>
        <w:t xml:space="preserve"> </w:t>
      </w:r>
      <w:r>
        <w:rPr>
          <w:color w:val="414042"/>
        </w:rPr>
        <w:t>in</w:t>
      </w:r>
      <w:r>
        <w:rPr>
          <w:color w:val="414042"/>
          <w:spacing w:val="-7"/>
        </w:rPr>
        <w:t xml:space="preserve"> </w:t>
      </w:r>
      <w:r>
        <w:rPr>
          <w:color w:val="414042"/>
        </w:rPr>
        <w:t>relation</w:t>
      </w:r>
      <w:r>
        <w:rPr>
          <w:color w:val="414042"/>
          <w:spacing w:val="-7"/>
        </w:rPr>
        <w:t xml:space="preserve"> </w:t>
      </w:r>
      <w:r>
        <w:rPr>
          <w:color w:val="414042"/>
        </w:rPr>
        <w:t xml:space="preserve">to government service delivery and reporting on outcomes of programs. There was general consensus that the Commonwealth Government has to report annually on progress against the Closing the Gap targets, whereas the </w:t>
      </w:r>
      <w:r>
        <w:rPr>
          <w:color w:val="414042"/>
          <w:spacing w:val="-3"/>
        </w:rPr>
        <w:t xml:space="preserve">state </w:t>
      </w:r>
      <w:r>
        <w:rPr>
          <w:color w:val="414042"/>
        </w:rPr>
        <w:t>and territories are not required to provide</w:t>
      </w:r>
      <w:r>
        <w:rPr>
          <w:color w:val="414042"/>
          <w:spacing w:val="-17"/>
        </w:rPr>
        <w:t xml:space="preserve"> </w:t>
      </w:r>
      <w:r>
        <w:rPr>
          <w:color w:val="414042"/>
        </w:rPr>
        <w:t>the</w:t>
      </w:r>
    </w:p>
    <w:p w:rsidR="00580ABF" w:rsidRDefault="00E352FF">
      <w:pPr>
        <w:pStyle w:val="BodyText"/>
        <w:spacing w:line="211" w:lineRule="auto"/>
        <w:ind w:left="427" w:right="338"/>
      </w:pPr>
      <w:r>
        <w:rPr>
          <w:color w:val="414042"/>
        </w:rPr>
        <w:t>same publicly response to their efforts to close the gap on Indigenous disadvantage.</w:t>
      </w:r>
    </w:p>
    <w:p w:rsidR="00580ABF" w:rsidRDefault="00E352FF">
      <w:pPr>
        <w:pStyle w:val="BodyText"/>
        <w:spacing w:before="106" w:line="211" w:lineRule="auto"/>
        <w:ind w:left="427" w:right="1189"/>
      </w:pPr>
      <w:r>
        <w:rPr>
          <w:color w:val="414042"/>
        </w:rPr>
        <w:t>The literature argues that the Closing the Gap approach to monitoring and accountability focuses on the needs of government rather than the aspirations of Indigenous Australians, highlighting problems and deficits rather</w:t>
      </w:r>
    </w:p>
    <w:p w:rsidR="00580ABF" w:rsidRDefault="00E352FF">
      <w:pPr>
        <w:pStyle w:val="BodyText"/>
        <w:spacing w:line="211" w:lineRule="auto"/>
        <w:ind w:left="427" w:right="338"/>
      </w:pPr>
      <w:r>
        <w:rPr>
          <w:color w:val="414042"/>
        </w:rPr>
        <w:t>than strengths and opportunities (Altman, 2013; Biddle &amp; Markham, 2017b).</w:t>
      </w:r>
    </w:p>
    <w:p w:rsidR="00580ABF" w:rsidRDefault="00E352FF">
      <w:pPr>
        <w:pStyle w:val="BodyText"/>
        <w:spacing w:before="107" w:line="211" w:lineRule="auto"/>
        <w:ind w:left="427" w:right="1104"/>
      </w:pPr>
      <w:r>
        <w:rPr>
          <w:color w:val="414042"/>
        </w:rPr>
        <w:t xml:space="preserve">Having transparent governance structures whereby </w:t>
      </w:r>
      <w:r>
        <w:rPr>
          <w:color w:val="414042"/>
          <w:spacing w:val="-3"/>
        </w:rPr>
        <w:t xml:space="preserve">everyone’s </w:t>
      </w:r>
      <w:r>
        <w:rPr>
          <w:color w:val="414042"/>
        </w:rPr>
        <w:t xml:space="preserve">role and responsibilities are understood in relation to service delivery and resource allocation is a </w:t>
      </w:r>
      <w:r>
        <w:rPr>
          <w:color w:val="414042"/>
          <w:spacing w:val="-3"/>
        </w:rPr>
        <w:t xml:space="preserve">key </w:t>
      </w:r>
      <w:r>
        <w:rPr>
          <w:color w:val="414042"/>
        </w:rPr>
        <w:t xml:space="preserve">component of any accountability framework. A </w:t>
      </w:r>
      <w:r>
        <w:rPr>
          <w:color w:val="414042"/>
          <w:spacing w:val="-3"/>
        </w:rPr>
        <w:t xml:space="preserve">key </w:t>
      </w:r>
      <w:r>
        <w:rPr>
          <w:color w:val="414042"/>
        </w:rPr>
        <w:t>message emerging from the literature and consultations is the need to provide accountability mechanisms in the Closing the Gap policy framework that addresses the significant structural inequalities that are impacting on Indigenous Australians. Stakeholders spoke of the need for</w:t>
      </w:r>
      <w:r>
        <w:rPr>
          <w:color w:val="414042"/>
          <w:spacing w:val="-6"/>
        </w:rPr>
        <w:t xml:space="preserve"> </w:t>
      </w:r>
      <w:r>
        <w:rPr>
          <w:color w:val="414042"/>
        </w:rPr>
        <w:t>measuring</w:t>
      </w:r>
      <w:r>
        <w:rPr>
          <w:color w:val="414042"/>
          <w:spacing w:val="-5"/>
        </w:rPr>
        <w:t xml:space="preserve"> </w:t>
      </w:r>
      <w:r>
        <w:rPr>
          <w:color w:val="414042"/>
        </w:rPr>
        <w:t>“success”</w:t>
      </w:r>
      <w:r>
        <w:rPr>
          <w:color w:val="414042"/>
          <w:spacing w:val="-6"/>
        </w:rPr>
        <w:t xml:space="preserve"> </w:t>
      </w:r>
      <w:r>
        <w:rPr>
          <w:color w:val="414042"/>
        </w:rPr>
        <w:t>or</w:t>
      </w:r>
      <w:r>
        <w:rPr>
          <w:color w:val="414042"/>
          <w:spacing w:val="-5"/>
        </w:rPr>
        <w:t xml:space="preserve"> </w:t>
      </w:r>
      <w:r>
        <w:rPr>
          <w:color w:val="414042"/>
        </w:rPr>
        <w:t>“progress”</w:t>
      </w:r>
      <w:r>
        <w:rPr>
          <w:color w:val="414042"/>
          <w:spacing w:val="-5"/>
        </w:rPr>
        <w:t xml:space="preserve"> </w:t>
      </w:r>
      <w:r>
        <w:rPr>
          <w:color w:val="414042"/>
        </w:rPr>
        <w:t>and</w:t>
      </w:r>
      <w:r>
        <w:rPr>
          <w:color w:val="414042"/>
          <w:spacing w:val="-6"/>
        </w:rPr>
        <w:t xml:space="preserve"> </w:t>
      </w:r>
      <w:r>
        <w:rPr>
          <w:color w:val="414042"/>
        </w:rPr>
        <w:t>that</w:t>
      </w:r>
      <w:r>
        <w:rPr>
          <w:color w:val="414042"/>
          <w:spacing w:val="-5"/>
        </w:rPr>
        <w:t xml:space="preserve"> </w:t>
      </w:r>
      <w:r>
        <w:rPr>
          <w:color w:val="414042"/>
        </w:rPr>
        <w:t>in</w:t>
      </w:r>
      <w:r>
        <w:rPr>
          <w:color w:val="414042"/>
          <w:spacing w:val="-5"/>
        </w:rPr>
        <w:t xml:space="preserve"> </w:t>
      </w:r>
      <w:r>
        <w:rPr>
          <w:color w:val="414042"/>
        </w:rPr>
        <w:t xml:space="preserve">relation to ensuring accountability that Indigenous Australians were provided the opportunity to define what the measures should be and what success looks </w:t>
      </w:r>
      <w:r>
        <w:rPr>
          <w:color w:val="414042"/>
          <w:spacing w:val="-3"/>
        </w:rPr>
        <w:t xml:space="preserve">like </w:t>
      </w:r>
      <w:r>
        <w:rPr>
          <w:color w:val="414042"/>
        </w:rPr>
        <w:t>for them in the context of their families and</w:t>
      </w:r>
      <w:r>
        <w:rPr>
          <w:color w:val="414042"/>
          <w:spacing w:val="-14"/>
        </w:rPr>
        <w:t xml:space="preserve"> </w:t>
      </w:r>
      <w:r>
        <w:rPr>
          <w:color w:val="414042"/>
        </w:rPr>
        <w:t>communities.</w:t>
      </w:r>
    </w:p>
    <w:p w:rsidR="00580ABF" w:rsidRDefault="00580ABF">
      <w:pPr>
        <w:spacing w:line="211" w:lineRule="auto"/>
        <w:sectPr w:rsidR="00580ABF">
          <w:type w:val="continuous"/>
          <w:pgSz w:w="11910" w:h="16840"/>
          <w:pgMar w:top="1580" w:right="180" w:bottom="280" w:left="420" w:header="720" w:footer="720" w:gutter="0"/>
          <w:cols w:num="2" w:space="720" w:equalWidth="0">
            <w:col w:w="5293" w:space="40"/>
            <w:col w:w="5977"/>
          </w:cols>
        </w:sectPr>
      </w:pPr>
    </w:p>
    <w:p w:rsidR="00580ABF" w:rsidRDefault="00580ABF">
      <w:pPr>
        <w:pStyle w:val="BodyText"/>
        <w:spacing w:before="1"/>
        <w:rPr>
          <w:sz w:val="8"/>
        </w:rPr>
      </w:pPr>
    </w:p>
    <w:p w:rsidR="00580ABF" w:rsidRDefault="00E352FF" w:rsidP="00181DE0">
      <w:pPr>
        <w:pStyle w:val="Heading3"/>
      </w:pPr>
      <w:r w:rsidRPr="00181DE0">
        <w:t>F</w:t>
      </w:r>
      <w:r w:rsidR="00377BDD">
        <w:t>unding Models</w:t>
      </w:r>
    </w:p>
    <w:p w:rsidR="00580ABF" w:rsidRDefault="00E352FF" w:rsidP="00377BDD">
      <w:pPr>
        <w:pStyle w:val="BodyText"/>
        <w:spacing w:before="122" w:line="211" w:lineRule="auto"/>
        <w:ind w:left="827" w:right="2703"/>
      </w:pPr>
      <w:r>
        <w:rPr>
          <w:color w:val="414042"/>
        </w:rPr>
        <w:t>There was overwhelming feedback that funding models need change. That challenges</w:t>
      </w:r>
      <w:r>
        <w:rPr>
          <w:color w:val="414042"/>
          <w:spacing w:val="-6"/>
        </w:rPr>
        <w:t xml:space="preserve"> </w:t>
      </w:r>
      <w:r>
        <w:rPr>
          <w:color w:val="414042"/>
        </w:rPr>
        <w:t>impacting</w:t>
      </w:r>
      <w:r>
        <w:rPr>
          <w:color w:val="414042"/>
          <w:spacing w:val="-5"/>
        </w:rPr>
        <w:t xml:space="preserve"> </w:t>
      </w:r>
      <w:r>
        <w:rPr>
          <w:color w:val="414042"/>
        </w:rPr>
        <w:t>on</w:t>
      </w:r>
      <w:r>
        <w:rPr>
          <w:color w:val="414042"/>
          <w:spacing w:val="-6"/>
        </w:rPr>
        <w:t xml:space="preserve"> </w:t>
      </w:r>
      <w:r>
        <w:rPr>
          <w:color w:val="414042"/>
        </w:rPr>
        <w:t>Indigenous</w:t>
      </w:r>
      <w:r>
        <w:rPr>
          <w:color w:val="414042"/>
          <w:spacing w:val="-4"/>
        </w:rPr>
        <w:t xml:space="preserve"> </w:t>
      </w:r>
      <w:r>
        <w:rPr>
          <w:color w:val="414042"/>
        </w:rPr>
        <w:t>communities</w:t>
      </w:r>
      <w:r>
        <w:rPr>
          <w:color w:val="414042"/>
          <w:spacing w:val="-6"/>
        </w:rPr>
        <w:t xml:space="preserve"> </w:t>
      </w:r>
      <w:r>
        <w:rPr>
          <w:color w:val="414042"/>
        </w:rPr>
        <w:t>are</w:t>
      </w:r>
      <w:r>
        <w:rPr>
          <w:color w:val="414042"/>
          <w:spacing w:val="-5"/>
        </w:rPr>
        <w:t xml:space="preserve"> </w:t>
      </w:r>
      <w:r>
        <w:rPr>
          <w:color w:val="414042"/>
        </w:rPr>
        <w:t>becoming</w:t>
      </w:r>
      <w:r>
        <w:rPr>
          <w:color w:val="414042"/>
          <w:spacing w:val="-5"/>
        </w:rPr>
        <w:t xml:space="preserve"> </w:t>
      </w:r>
      <w:r>
        <w:rPr>
          <w:color w:val="414042"/>
        </w:rPr>
        <w:t>more</w:t>
      </w:r>
      <w:r>
        <w:rPr>
          <w:color w:val="414042"/>
          <w:spacing w:val="-6"/>
        </w:rPr>
        <w:t xml:space="preserve"> </w:t>
      </w:r>
      <w:r>
        <w:rPr>
          <w:color w:val="414042"/>
        </w:rPr>
        <w:t>and</w:t>
      </w:r>
      <w:r>
        <w:rPr>
          <w:color w:val="414042"/>
          <w:spacing w:val="-5"/>
        </w:rPr>
        <w:t xml:space="preserve"> </w:t>
      </w:r>
      <w:r>
        <w:rPr>
          <w:color w:val="414042"/>
        </w:rPr>
        <w:t xml:space="preserve">more complex. The complexity brings with it the opportunity to stretch the creativity of stakeholders to imagine and rethink existing approaches to service delivery to ensure it is matched to realities of these communities, and then co-design new and innovative </w:t>
      </w:r>
      <w:r>
        <w:rPr>
          <w:color w:val="414042"/>
          <w:spacing w:val="-3"/>
        </w:rPr>
        <w:t xml:space="preserve">ways </w:t>
      </w:r>
      <w:r>
        <w:rPr>
          <w:color w:val="414042"/>
        </w:rPr>
        <w:t>of working to address disadvantage. It is about sharing insights and resources to meet current and future needs of Indigenous communities. There needs to be a focus on productivity growth and creation of industries that will contribute to income generating opportunities that will in turn lead to closing the gap on</w:t>
      </w:r>
      <w:r>
        <w:rPr>
          <w:color w:val="414042"/>
          <w:spacing w:val="-7"/>
        </w:rPr>
        <w:t xml:space="preserve"> </w:t>
      </w:r>
      <w:r>
        <w:rPr>
          <w:color w:val="414042"/>
        </w:rPr>
        <w:t>disadvantage.</w:t>
      </w:r>
    </w:p>
    <w:p w:rsidR="00580ABF" w:rsidRDefault="00E352FF" w:rsidP="00377BDD">
      <w:pPr>
        <w:pStyle w:val="BodyText"/>
        <w:spacing w:before="104" w:line="211" w:lineRule="auto"/>
        <w:ind w:left="827" w:right="2616"/>
      </w:pPr>
      <w:r>
        <w:rPr>
          <w:color w:val="414042"/>
        </w:rPr>
        <w:t>Closing the Gap targets will only be reached over long periods of time, in some cases through generational change and a paradigm shift in thinking which has been discussed earlier in this report.</w:t>
      </w:r>
    </w:p>
    <w:p w:rsidR="00580ABF" w:rsidRDefault="00E352FF" w:rsidP="00377BDD">
      <w:pPr>
        <w:pStyle w:val="BodyText"/>
        <w:spacing w:before="110" w:line="211" w:lineRule="auto"/>
        <w:ind w:left="827" w:right="2807"/>
      </w:pPr>
      <w:r>
        <w:rPr>
          <w:color w:val="414042"/>
        </w:rPr>
        <w:t>Funding of programs should be for a minimum period that will actually have an effect on outcomes and governments should be positioning themselves as enablers of change, rather than trying to lead it. Change itself should come</w:t>
      </w:r>
      <w:r w:rsidR="00B95B4C">
        <w:t xml:space="preserve"> </w:t>
      </w:r>
      <w:r>
        <w:rPr>
          <w:color w:val="414042"/>
        </w:rPr>
        <w:t>through community. Bringing together many of these points allows us to put up a model for debate:</w:t>
      </w:r>
    </w:p>
    <w:p w:rsidR="00580ABF" w:rsidRDefault="000A1826">
      <w:pPr>
        <w:pStyle w:val="BodyText"/>
        <w:spacing w:before="9"/>
        <w:rPr>
          <w:sz w:val="26"/>
        </w:rPr>
      </w:pPr>
      <w:r>
        <w:rPr>
          <w:noProof/>
          <w:lang w:val="en-AU" w:eastAsia="en-AU" w:bidi="ar-SA"/>
        </w:rPr>
        <w:drawing>
          <wp:inline distT="0" distB="0" distL="0" distR="0" wp14:anchorId="4723DB1E" wp14:editId="4599EBDC">
            <wp:extent cx="5343525" cy="5381625"/>
            <wp:effectExtent l="0" t="0" r="0" b="0"/>
            <wp:docPr id="393" name="Picture 393" descr="Illustrates a model for bringing together three enablers of change for closing the gap: community, government and service provider. Through a co-design process, targets are set by community and monitored by government. Program and service delivery is Indigenous led and local community specific. Government as an enabler, provides funding. " title="Model for Closing the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bie and Co\AppData\Local\Temp\Temp1_CTG images.zip\CTG images\Closing the gap_FINAL_V2_TAGGED_WEB-2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525" cy="5381625"/>
                    </a:xfrm>
                    <a:prstGeom prst="rect">
                      <a:avLst/>
                    </a:prstGeom>
                    <a:noFill/>
                    <a:ln>
                      <a:noFill/>
                    </a:ln>
                  </pic:spPr>
                </pic:pic>
              </a:graphicData>
            </a:graphic>
          </wp:inline>
        </w:drawing>
      </w:r>
    </w:p>
    <w:p w:rsidR="00580ABF" w:rsidRDefault="00580ABF">
      <w:pPr>
        <w:rPr>
          <w:sz w:val="26"/>
        </w:rPr>
        <w:sectPr w:rsidR="00580ABF">
          <w:pgSz w:w="11910" w:h="16840"/>
          <w:pgMar w:top="1580" w:right="180" w:bottom="380" w:left="420" w:header="0" w:footer="183" w:gutter="0"/>
          <w:cols w:space="720"/>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Pr="00181DE0" w:rsidRDefault="00E352FF" w:rsidP="00181DE0">
      <w:pPr>
        <w:pStyle w:val="Heading3"/>
      </w:pPr>
      <w:r w:rsidRPr="00181DE0">
        <w:t>S</w:t>
      </w:r>
      <w:r w:rsidR="00377BDD">
        <w:t>elf-determination and Community Empowerment Models</w:t>
      </w:r>
    </w:p>
    <w:p w:rsidR="00580ABF" w:rsidRDefault="00580ABF">
      <w:pPr>
        <w:pStyle w:val="BodyText"/>
        <w:spacing w:before="9"/>
        <w:rPr>
          <w:b/>
          <w:sz w:val="8"/>
        </w:rPr>
      </w:pPr>
    </w:p>
    <w:p w:rsidR="00DA6175" w:rsidRPr="009C5BEA" w:rsidRDefault="00DA6175" w:rsidP="009C5BEA">
      <w:pPr>
        <w:pStyle w:val="BodyText"/>
        <w:spacing w:before="216" w:line="211" w:lineRule="auto"/>
        <w:ind w:left="833" w:right="188"/>
        <w:rPr>
          <w:i/>
          <w:color w:val="414042"/>
        </w:rPr>
      </w:pPr>
      <w:r w:rsidRPr="009C5BEA">
        <w:rPr>
          <w:i/>
          <w:color w:val="414042"/>
        </w:rPr>
        <w:t>‘Authorising a mandated environment to be innovative that is factored into the public service model that deals with the lack of know- how lifts the game of agencies and builds capacity of our mobs’.</w:t>
      </w:r>
    </w:p>
    <w:p w:rsidR="00DA6175" w:rsidRPr="009C5BEA" w:rsidRDefault="00DA6175" w:rsidP="009C5BEA">
      <w:pPr>
        <w:pStyle w:val="BodyText"/>
        <w:spacing w:before="216" w:line="211" w:lineRule="auto"/>
        <w:ind w:left="113" w:right="188" w:firstLine="720"/>
        <w:rPr>
          <w:i/>
          <w:color w:val="414042"/>
        </w:rPr>
      </w:pPr>
      <w:r w:rsidRPr="009C5BEA">
        <w:rPr>
          <w:i/>
          <w:color w:val="414042"/>
        </w:rPr>
        <w:t>Danny Lester</w:t>
      </w:r>
    </w:p>
    <w:p w:rsidR="00DA6175" w:rsidRPr="009C5BEA" w:rsidRDefault="00DA6175" w:rsidP="009C5BEA">
      <w:pPr>
        <w:pStyle w:val="BodyText"/>
        <w:spacing w:before="216" w:line="211" w:lineRule="auto"/>
        <w:ind w:left="107" w:right="188" w:firstLine="720"/>
        <w:rPr>
          <w:i/>
          <w:color w:val="414042"/>
        </w:rPr>
      </w:pPr>
      <w:r w:rsidRPr="009C5BEA">
        <w:rPr>
          <w:i/>
          <w:color w:val="414042"/>
        </w:rPr>
        <w:t>NSW Deputy Ombudsman (Aboriginal Programs)</w:t>
      </w:r>
    </w:p>
    <w:p w:rsidR="00580ABF" w:rsidRDefault="00E352FF">
      <w:pPr>
        <w:pStyle w:val="BodyText"/>
        <w:spacing w:before="104" w:line="211" w:lineRule="auto"/>
        <w:ind w:left="827" w:right="306"/>
      </w:pPr>
      <w:r>
        <w:rPr>
          <w:color w:val="414042"/>
        </w:rPr>
        <w:t xml:space="preserve">Empowerment of Aboriginal and </w:t>
      </w:r>
      <w:r>
        <w:rPr>
          <w:color w:val="414042"/>
          <w:spacing w:val="-4"/>
        </w:rPr>
        <w:t xml:space="preserve">Torres </w:t>
      </w:r>
      <w:r>
        <w:rPr>
          <w:color w:val="414042"/>
        </w:rPr>
        <w:t>Strait Islander services and communities is a consistent theme in the literature and has been explicated in detail</w:t>
      </w:r>
      <w:r>
        <w:rPr>
          <w:color w:val="414042"/>
          <w:spacing w:val="-24"/>
        </w:rPr>
        <w:t xml:space="preserve"> </w:t>
      </w:r>
      <w:r>
        <w:rPr>
          <w:color w:val="414042"/>
        </w:rPr>
        <w:t>in</w:t>
      </w:r>
    </w:p>
    <w:p w:rsidR="00580ABF" w:rsidRDefault="00E352FF">
      <w:pPr>
        <w:pStyle w:val="BodyText"/>
        <w:spacing w:line="211" w:lineRule="auto"/>
        <w:ind w:left="827" w:right="164"/>
      </w:pPr>
      <w:r>
        <w:rPr>
          <w:color w:val="414042"/>
        </w:rPr>
        <w:t>the Empowered Communities: Empowered Peoples strategy with a headline policy agenda of Indigenous empowerment, and a paradigm shift away from the traditional social policy framework in which Indigenous affairs initiatives have been developed and delivered (Empowered Communities, 2015). The approach aims to link closing the gap goals with cultural recognition and determination, less duplication and red tape and</w:t>
      </w:r>
    </w:p>
    <w:p w:rsidR="00580ABF" w:rsidRDefault="00E352FF">
      <w:pPr>
        <w:pStyle w:val="BodyText"/>
        <w:spacing w:line="211" w:lineRule="auto"/>
        <w:ind w:left="827"/>
      </w:pPr>
      <w:r>
        <w:rPr>
          <w:color w:val="414042"/>
        </w:rPr>
        <w:t>a focus on investing in things that work (Empowered Communities, 2015).</w:t>
      </w:r>
    </w:p>
    <w:p w:rsidR="00580ABF" w:rsidRDefault="00E352FF">
      <w:pPr>
        <w:pStyle w:val="BodyText"/>
        <w:spacing w:before="101" w:line="211" w:lineRule="auto"/>
        <w:ind w:left="827" w:right="145"/>
      </w:pPr>
      <w:r>
        <w:rPr>
          <w:color w:val="414042"/>
        </w:rPr>
        <w:t xml:space="preserve">Models of Indigenous-led decision-making such as Empowered Communities, the Regional Alliance structures in </w:t>
      </w:r>
      <w:r>
        <w:rPr>
          <w:color w:val="414042"/>
          <w:spacing w:val="-6"/>
        </w:rPr>
        <w:t xml:space="preserve">NSW, </w:t>
      </w:r>
      <w:r>
        <w:rPr>
          <w:color w:val="414042"/>
        </w:rPr>
        <w:t>Local Aboriginal Networks in Victoria and</w:t>
      </w:r>
      <w:r>
        <w:rPr>
          <w:color w:val="414042"/>
          <w:spacing w:val="-6"/>
        </w:rPr>
        <w:t xml:space="preserve"> </w:t>
      </w:r>
      <w:r>
        <w:rPr>
          <w:color w:val="414042"/>
        </w:rPr>
        <w:t>South</w:t>
      </w:r>
      <w:r>
        <w:rPr>
          <w:color w:val="414042"/>
          <w:spacing w:val="-5"/>
        </w:rPr>
        <w:t xml:space="preserve"> </w:t>
      </w:r>
      <w:r>
        <w:rPr>
          <w:color w:val="414042"/>
        </w:rPr>
        <w:t>Australia’s</w:t>
      </w:r>
      <w:r>
        <w:rPr>
          <w:color w:val="414042"/>
          <w:spacing w:val="-6"/>
        </w:rPr>
        <w:t xml:space="preserve"> </w:t>
      </w:r>
      <w:r>
        <w:rPr>
          <w:color w:val="414042"/>
          <w:spacing w:val="-3"/>
        </w:rPr>
        <w:t>Treaty</w:t>
      </w:r>
      <w:r>
        <w:rPr>
          <w:color w:val="414042"/>
          <w:spacing w:val="-4"/>
        </w:rPr>
        <w:t xml:space="preserve"> </w:t>
      </w:r>
      <w:r>
        <w:rPr>
          <w:color w:val="414042"/>
        </w:rPr>
        <w:t>have</w:t>
      </w:r>
      <w:r>
        <w:rPr>
          <w:color w:val="414042"/>
          <w:spacing w:val="-5"/>
        </w:rPr>
        <w:t xml:space="preserve"> </w:t>
      </w:r>
      <w:r>
        <w:rPr>
          <w:color w:val="414042"/>
        </w:rPr>
        <w:t>all</w:t>
      </w:r>
      <w:r>
        <w:rPr>
          <w:color w:val="414042"/>
          <w:spacing w:val="-5"/>
        </w:rPr>
        <w:t xml:space="preserve"> </w:t>
      </w:r>
      <w:r>
        <w:rPr>
          <w:color w:val="414042"/>
        </w:rPr>
        <w:t>been</w:t>
      </w:r>
      <w:r>
        <w:rPr>
          <w:color w:val="414042"/>
          <w:spacing w:val="-6"/>
        </w:rPr>
        <w:t xml:space="preserve"> </w:t>
      </w:r>
      <w:r>
        <w:rPr>
          <w:color w:val="414042"/>
        </w:rPr>
        <w:t>well</w:t>
      </w:r>
      <w:r>
        <w:rPr>
          <w:color w:val="414042"/>
          <w:spacing w:val="-4"/>
        </w:rPr>
        <w:t xml:space="preserve"> </w:t>
      </w:r>
      <w:r>
        <w:rPr>
          <w:color w:val="414042"/>
        </w:rPr>
        <w:t>received. The Empowered Communities Model is an Indigenous initiative, seeking to have local needs and aspirations that are identified by communities, led and</w:t>
      </w:r>
      <w:r>
        <w:rPr>
          <w:color w:val="414042"/>
          <w:spacing w:val="-19"/>
        </w:rPr>
        <w:t xml:space="preserve"> </w:t>
      </w:r>
      <w:r>
        <w:rPr>
          <w:color w:val="414042"/>
        </w:rPr>
        <w:t>solved</w:t>
      </w:r>
    </w:p>
    <w:p w:rsidR="00580ABF" w:rsidRDefault="00E352FF">
      <w:pPr>
        <w:pStyle w:val="BodyText"/>
        <w:spacing w:line="211" w:lineRule="auto"/>
        <w:ind w:left="827"/>
      </w:pPr>
      <w:r>
        <w:rPr>
          <w:color w:val="414042"/>
        </w:rPr>
        <w:t>by Indigenous people. Government, corporates and business</w:t>
      </w:r>
      <w:r>
        <w:rPr>
          <w:color w:val="414042"/>
          <w:spacing w:val="-5"/>
        </w:rPr>
        <w:t xml:space="preserve"> </w:t>
      </w:r>
      <w:r>
        <w:rPr>
          <w:color w:val="414042"/>
        </w:rPr>
        <w:t>sectors</w:t>
      </w:r>
      <w:r>
        <w:rPr>
          <w:color w:val="414042"/>
          <w:spacing w:val="-5"/>
        </w:rPr>
        <w:t xml:space="preserve"> </w:t>
      </w:r>
      <w:r>
        <w:rPr>
          <w:color w:val="414042"/>
        </w:rPr>
        <w:t>partner</w:t>
      </w:r>
      <w:r>
        <w:rPr>
          <w:color w:val="414042"/>
          <w:spacing w:val="-5"/>
        </w:rPr>
        <w:t xml:space="preserve"> </w:t>
      </w:r>
      <w:r>
        <w:rPr>
          <w:color w:val="414042"/>
        </w:rPr>
        <w:t>with</w:t>
      </w:r>
      <w:r>
        <w:rPr>
          <w:color w:val="414042"/>
          <w:spacing w:val="-5"/>
        </w:rPr>
        <w:t xml:space="preserve"> </w:t>
      </w:r>
      <w:r>
        <w:rPr>
          <w:color w:val="414042"/>
        </w:rPr>
        <w:t>Indigenous</w:t>
      </w:r>
      <w:r>
        <w:rPr>
          <w:color w:val="414042"/>
          <w:spacing w:val="-4"/>
        </w:rPr>
        <w:t xml:space="preserve"> </w:t>
      </w:r>
      <w:r>
        <w:rPr>
          <w:color w:val="414042"/>
        </w:rPr>
        <w:t>people</w:t>
      </w:r>
      <w:r>
        <w:rPr>
          <w:color w:val="414042"/>
          <w:spacing w:val="-5"/>
        </w:rPr>
        <w:t xml:space="preserve"> </w:t>
      </w:r>
      <w:r>
        <w:rPr>
          <w:color w:val="414042"/>
        </w:rPr>
        <w:t>in</w:t>
      </w:r>
      <w:r>
        <w:rPr>
          <w:color w:val="414042"/>
          <w:spacing w:val="-5"/>
        </w:rPr>
        <w:t xml:space="preserve"> </w:t>
      </w:r>
      <w:r>
        <w:rPr>
          <w:color w:val="414042"/>
        </w:rPr>
        <w:t>these communities to drive economic and social</w:t>
      </w:r>
      <w:r>
        <w:rPr>
          <w:color w:val="414042"/>
          <w:spacing w:val="-16"/>
        </w:rPr>
        <w:t xml:space="preserve"> </w:t>
      </w:r>
      <w:r>
        <w:rPr>
          <w:color w:val="414042"/>
        </w:rPr>
        <w:t>change.</w:t>
      </w:r>
    </w:p>
    <w:p w:rsidR="00580ABF" w:rsidRDefault="00E352FF">
      <w:pPr>
        <w:pStyle w:val="BodyText"/>
        <w:spacing w:before="103" w:line="211" w:lineRule="auto"/>
        <w:ind w:left="827"/>
      </w:pPr>
      <w:r>
        <w:rPr>
          <w:color w:val="414042"/>
        </w:rPr>
        <w:t xml:space="preserve">Self-determination and community empowerment of Aboriginal and </w:t>
      </w:r>
      <w:r>
        <w:rPr>
          <w:color w:val="414042"/>
          <w:spacing w:val="-4"/>
        </w:rPr>
        <w:t xml:space="preserve">Torres </w:t>
      </w:r>
      <w:r>
        <w:rPr>
          <w:color w:val="414042"/>
        </w:rPr>
        <w:t>Strait Islander people is a</w:t>
      </w:r>
      <w:r>
        <w:rPr>
          <w:color w:val="414042"/>
          <w:spacing w:val="-24"/>
        </w:rPr>
        <w:t xml:space="preserve"> </w:t>
      </w:r>
      <w:r>
        <w:rPr>
          <w:color w:val="414042"/>
        </w:rPr>
        <w:t xml:space="preserve">consistent theme in the literature and has been explicated in detail in the Empowered Communities: Empowered Peoples strategy with a headline policy agenda of Indigenous empowerment, and a paradigm shift </w:t>
      </w:r>
      <w:r>
        <w:rPr>
          <w:color w:val="414042"/>
          <w:spacing w:val="-3"/>
        </w:rPr>
        <w:t xml:space="preserve">away </w:t>
      </w:r>
      <w:r>
        <w:rPr>
          <w:color w:val="414042"/>
        </w:rPr>
        <w:t>from the traditional social policy framework in which Indigenous affairs initiatives have been developed and delivered (Empowered Communities,</w:t>
      </w:r>
      <w:r>
        <w:rPr>
          <w:color w:val="414042"/>
          <w:spacing w:val="-2"/>
        </w:rPr>
        <w:t xml:space="preserve"> </w:t>
      </w:r>
      <w:r>
        <w:rPr>
          <w:color w:val="414042"/>
        </w:rPr>
        <w:t>2015).</w:t>
      </w:r>
    </w:p>
    <w:p w:rsidR="00580ABF" w:rsidRPr="00181DE0" w:rsidRDefault="00E352FF" w:rsidP="00590605">
      <w:pPr>
        <w:pStyle w:val="Heading3"/>
        <w:ind w:left="720"/>
      </w:pPr>
      <w:r>
        <w:rPr>
          <w:b/>
        </w:rPr>
        <w:br w:type="column"/>
      </w:r>
      <w:r w:rsidRPr="00181DE0">
        <w:t>T</w:t>
      </w:r>
      <w:r w:rsidR="00377BDD">
        <w:t>he Effectiveness of National Partnership Agreements and Lessons Learned</w:t>
      </w:r>
    </w:p>
    <w:p w:rsidR="00580ABF" w:rsidRDefault="00E352FF" w:rsidP="00B95B4C">
      <w:pPr>
        <w:pStyle w:val="BodyText"/>
        <w:spacing w:before="157" w:line="211" w:lineRule="auto"/>
        <w:ind w:left="720" w:right="822"/>
      </w:pPr>
      <w:r>
        <w:rPr>
          <w:color w:val="414042"/>
        </w:rPr>
        <w:t>There have been some evaluations and formal reviews of some of the cross-cutting, Indigenous-specific National Partnership Agreements and other initiatives which</w:t>
      </w:r>
    </w:p>
    <w:p w:rsidR="00580ABF" w:rsidRDefault="00E352FF" w:rsidP="00B95B4C">
      <w:pPr>
        <w:pStyle w:val="BodyText"/>
        <w:spacing w:line="211" w:lineRule="auto"/>
        <w:ind w:left="720" w:right="1161"/>
      </w:pPr>
      <w:r>
        <w:rPr>
          <w:color w:val="414042"/>
        </w:rPr>
        <w:t>shed some light on what has worked. For example, an evaluation of the National Partnership Agreement on Remote Service Delivery published in 2013 showed mixed results, with positive results around increases in service provision in target communities and improved service coordination. However, local service providers also reported that there had been limited achievements</w:t>
      </w:r>
      <w:r w:rsidR="00B95B4C">
        <w:t xml:space="preserve"> </w:t>
      </w:r>
      <w:r>
        <w:rPr>
          <w:color w:val="414042"/>
        </w:rPr>
        <w:t>against Closing the Gap targets. The evaluation also found that there had been challenges in realising community engagement aspirations with the implementation of</w:t>
      </w:r>
      <w:r w:rsidR="00B95B4C">
        <w:t xml:space="preserve"> </w:t>
      </w:r>
      <w:r>
        <w:rPr>
          <w:color w:val="414042"/>
        </w:rPr>
        <w:t>the Agreement and that greater devolution of decision- making responsibility to regional and local levels would improve the ability of Government to be responsive to community needs (Australian Government, 2014, p. 7).</w:t>
      </w:r>
    </w:p>
    <w:p w:rsidR="00580ABF" w:rsidRDefault="00580ABF">
      <w:pPr>
        <w:pStyle w:val="BodyText"/>
        <w:spacing w:before="8"/>
        <w:rPr>
          <w:sz w:val="23"/>
        </w:rPr>
      </w:pPr>
    </w:p>
    <w:p w:rsidR="00580ABF" w:rsidRPr="00181DE0" w:rsidRDefault="00E352FF" w:rsidP="00590605">
      <w:pPr>
        <w:pStyle w:val="Heading3"/>
        <w:ind w:left="720"/>
      </w:pPr>
      <w:r w:rsidRPr="00181DE0">
        <w:t>I</w:t>
      </w:r>
      <w:r w:rsidR="00590605">
        <w:t>dentify and Investigate Examples of Success and Failures at Local, State and National Levels</w:t>
      </w:r>
    </w:p>
    <w:p w:rsidR="00580ABF" w:rsidRDefault="00E352FF" w:rsidP="00AC7702">
      <w:pPr>
        <w:pStyle w:val="BodyText"/>
        <w:spacing w:before="123" w:line="211" w:lineRule="auto"/>
        <w:ind w:left="720" w:right="1229"/>
      </w:pPr>
      <w:r>
        <w:rPr>
          <w:color w:val="414042"/>
        </w:rPr>
        <w:t>Through the literature review it has been identified that, apart from the 2012 review by the Closing the Gap Clearinghouse, there have been limited attempts to</w:t>
      </w:r>
      <w:r w:rsidR="00AC7702">
        <w:t xml:space="preserve"> </w:t>
      </w:r>
      <w:r>
        <w:rPr>
          <w:color w:val="414042"/>
        </w:rPr>
        <w:t>bring together and synthesise findings from research and evaluation across the various Closing the Gap initiatives to identify what has worked and what lessons have been learnt. This would be a useful input to the current refresh of Closing the Gap.</w:t>
      </w:r>
    </w:p>
    <w:p w:rsidR="00580ABF" w:rsidRDefault="00E352FF" w:rsidP="00AC7702">
      <w:pPr>
        <w:pStyle w:val="BodyText"/>
        <w:spacing w:before="105" w:line="211" w:lineRule="auto"/>
        <w:ind w:left="720" w:right="1161"/>
      </w:pPr>
      <w:r>
        <w:rPr>
          <w:color w:val="414042"/>
        </w:rPr>
        <w:t>There is evidence both from literature and discussions from consultations that programs that are developed or implemented in line with Indigenous cultural values and perspectives are more likely to succeed than those that do not.</w:t>
      </w:r>
    </w:p>
    <w:p w:rsidR="00580ABF" w:rsidRDefault="00580ABF">
      <w:pPr>
        <w:spacing w:line="211" w:lineRule="auto"/>
        <w:sectPr w:rsidR="00580ABF">
          <w:type w:val="continuous"/>
          <w:pgSz w:w="11910" w:h="16840"/>
          <w:pgMar w:top="1580" w:right="180" w:bottom="280" w:left="420" w:header="720" w:footer="720" w:gutter="0"/>
          <w:cols w:num="2" w:space="720" w:equalWidth="0">
            <w:col w:w="5282" w:space="40"/>
            <w:col w:w="5988"/>
          </w:cols>
        </w:sectPr>
      </w:pPr>
    </w:p>
    <w:p w:rsidR="00580ABF" w:rsidRDefault="00580ABF">
      <w:pPr>
        <w:pStyle w:val="BodyText"/>
        <w:ind w:left="966"/>
        <w:rPr>
          <w:sz w:val="20"/>
        </w:rPr>
      </w:pPr>
    </w:p>
    <w:p w:rsidR="00580ABF" w:rsidRDefault="00580ABF">
      <w:pPr>
        <w:pStyle w:val="BodyText"/>
        <w:spacing w:before="12"/>
        <w:rPr>
          <w:sz w:val="4"/>
        </w:rPr>
      </w:pPr>
    </w:p>
    <w:p w:rsidR="00580ABF" w:rsidRDefault="00580ABF">
      <w:pPr>
        <w:rPr>
          <w:sz w:val="4"/>
        </w:rPr>
        <w:sectPr w:rsidR="00580ABF">
          <w:pgSz w:w="11910" w:h="16840"/>
          <w:pgMar w:top="480" w:right="180" w:bottom="380" w:left="420" w:header="0" w:footer="183" w:gutter="0"/>
          <w:cols w:space="720"/>
        </w:sectPr>
      </w:pPr>
    </w:p>
    <w:p w:rsidR="007E0DC8" w:rsidRPr="007E0DC8" w:rsidRDefault="007E0DC8" w:rsidP="009663DC">
      <w:pPr>
        <w:pStyle w:val="BodyText"/>
        <w:spacing w:line="211" w:lineRule="auto"/>
        <w:ind w:left="827" w:right="1075"/>
        <w:rPr>
          <w:color w:val="414042"/>
        </w:rPr>
      </w:pPr>
      <w:r w:rsidRPr="007E0DC8">
        <w:rPr>
          <w:color w:val="414042"/>
        </w:rPr>
        <w:t>There is evidence both from literature and discussions</w:t>
      </w:r>
      <w:r>
        <w:rPr>
          <w:color w:val="414042"/>
        </w:rPr>
        <w:t xml:space="preserve"> </w:t>
      </w:r>
      <w:r w:rsidRPr="007E0DC8">
        <w:rPr>
          <w:color w:val="414042"/>
        </w:rPr>
        <w:t>from consultations that programs that are developed or</w:t>
      </w:r>
      <w:r>
        <w:rPr>
          <w:color w:val="414042"/>
        </w:rPr>
        <w:t xml:space="preserve"> </w:t>
      </w:r>
      <w:r w:rsidRPr="007E0DC8">
        <w:rPr>
          <w:color w:val="414042"/>
        </w:rPr>
        <w:t>implemented in-line with Indigenous cultural values and perspectives are</w:t>
      </w:r>
      <w:r>
        <w:rPr>
          <w:color w:val="414042"/>
        </w:rPr>
        <w:t xml:space="preserve"> </w:t>
      </w:r>
      <w:r w:rsidRPr="007E0DC8">
        <w:rPr>
          <w:color w:val="414042"/>
        </w:rPr>
        <w:t>more likely to succeed than those that do not.</w:t>
      </w:r>
    </w:p>
    <w:p w:rsidR="007E0DC8" w:rsidRDefault="007E0DC8">
      <w:pPr>
        <w:pStyle w:val="BodyText"/>
        <w:spacing w:line="211" w:lineRule="auto"/>
        <w:ind w:left="827"/>
        <w:rPr>
          <w:color w:val="414042"/>
        </w:rPr>
      </w:pPr>
    </w:p>
    <w:p w:rsidR="007E0DC8" w:rsidRDefault="007E0DC8">
      <w:pPr>
        <w:pStyle w:val="BodyText"/>
        <w:spacing w:line="211" w:lineRule="auto"/>
        <w:ind w:left="827"/>
        <w:rPr>
          <w:color w:val="414042"/>
        </w:rPr>
      </w:pPr>
    </w:p>
    <w:p w:rsidR="00580ABF" w:rsidRDefault="00E352FF">
      <w:pPr>
        <w:pStyle w:val="BodyText"/>
        <w:spacing w:line="211" w:lineRule="auto"/>
        <w:ind w:left="827"/>
      </w:pPr>
      <w:r>
        <w:rPr>
          <w:color w:val="414042"/>
        </w:rPr>
        <w:t>Programs that show promising results for Indigenous communities</w:t>
      </w:r>
      <w:r>
        <w:rPr>
          <w:color w:val="414042"/>
          <w:spacing w:val="-10"/>
        </w:rPr>
        <w:t xml:space="preserve"> </w:t>
      </w:r>
      <w:r>
        <w:rPr>
          <w:color w:val="414042"/>
        </w:rPr>
        <w:t>are</w:t>
      </w:r>
      <w:r>
        <w:rPr>
          <w:color w:val="414042"/>
          <w:spacing w:val="-9"/>
        </w:rPr>
        <w:t xml:space="preserve"> </w:t>
      </w:r>
      <w:r>
        <w:rPr>
          <w:color w:val="414042"/>
        </w:rPr>
        <w:t>those</w:t>
      </w:r>
      <w:r>
        <w:rPr>
          <w:color w:val="414042"/>
          <w:spacing w:val="-10"/>
        </w:rPr>
        <w:t xml:space="preserve"> </w:t>
      </w:r>
      <w:r>
        <w:rPr>
          <w:color w:val="414042"/>
        </w:rPr>
        <w:t>that</w:t>
      </w:r>
      <w:r>
        <w:rPr>
          <w:color w:val="414042"/>
          <w:spacing w:val="-9"/>
        </w:rPr>
        <w:t xml:space="preserve"> </w:t>
      </w:r>
      <w:r>
        <w:rPr>
          <w:color w:val="414042"/>
        </w:rPr>
        <w:t>encourage</w:t>
      </w:r>
      <w:r>
        <w:rPr>
          <w:color w:val="414042"/>
          <w:spacing w:val="-9"/>
        </w:rPr>
        <w:t xml:space="preserve"> </w:t>
      </w:r>
      <w:r>
        <w:rPr>
          <w:color w:val="414042"/>
        </w:rPr>
        <w:t>self-determination and community governance, connection to culture and community life, and community resilience. Important program features</w:t>
      </w:r>
      <w:r>
        <w:rPr>
          <w:color w:val="414042"/>
          <w:spacing w:val="-2"/>
        </w:rPr>
        <w:t xml:space="preserve"> </w:t>
      </w:r>
      <w:r>
        <w:rPr>
          <w:color w:val="414042"/>
        </w:rPr>
        <w:t>include:</w:t>
      </w:r>
    </w:p>
    <w:p w:rsidR="00580ABF" w:rsidRDefault="00E352FF" w:rsidP="00F918B4">
      <w:pPr>
        <w:pStyle w:val="BodyText"/>
        <w:numPr>
          <w:ilvl w:val="1"/>
          <w:numId w:val="28"/>
        </w:numPr>
        <w:spacing w:before="79"/>
      </w:pPr>
      <w:r>
        <w:rPr>
          <w:w w:val="105"/>
        </w:rPr>
        <w:t>a holistic approach</w:t>
      </w:r>
    </w:p>
    <w:p w:rsidR="00580ABF" w:rsidRDefault="00E352FF" w:rsidP="00F918B4">
      <w:pPr>
        <w:pStyle w:val="BodyText"/>
        <w:numPr>
          <w:ilvl w:val="1"/>
          <w:numId w:val="28"/>
        </w:numPr>
        <w:spacing w:before="79"/>
      </w:pPr>
      <w:r>
        <w:rPr>
          <w:w w:val="105"/>
        </w:rPr>
        <w:t>a focus on healing from trauma</w:t>
      </w:r>
    </w:p>
    <w:p w:rsidR="00580ABF" w:rsidRDefault="00E352FF" w:rsidP="00F918B4">
      <w:pPr>
        <w:pStyle w:val="BodyText"/>
        <w:numPr>
          <w:ilvl w:val="1"/>
          <w:numId w:val="28"/>
        </w:numPr>
        <w:spacing w:before="106" w:line="211" w:lineRule="auto"/>
        <w:ind w:right="413"/>
      </w:pPr>
      <w:r>
        <w:t>a means of empowering people to regain a sense of control and mastery over their lives</w:t>
      </w:r>
    </w:p>
    <w:p w:rsidR="00580ABF" w:rsidRDefault="00E352FF" w:rsidP="00F918B4">
      <w:pPr>
        <w:pStyle w:val="BodyText"/>
        <w:numPr>
          <w:ilvl w:val="1"/>
          <w:numId w:val="28"/>
        </w:numPr>
        <w:spacing w:before="112" w:line="211" w:lineRule="auto"/>
        <w:ind w:right="413"/>
      </w:pPr>
      <w:r>
        <w:t>Indigenous-led, family focused, culturally responsive, and context specific</w:t>
      </w:r>
    </w:p>
    <w:p w:rsidR="00580ABF" w:rsidRDefault="00E352FF" w:rsidP="00F918B4">
      <w:pPr>
        <w:pStyle w:val="BodyText"/>
        <w:numPr>
          <w:ilvl w:val="1"/>
          <w:numId w:val="28"/>
        </w:numPr>
        <w:spacing w:before="111" w:line="211" w:lineRule="auto"/>
      </w:pPr>
      <w:r>
        <w:t>interdisciplinary approaches that provide outreach services and transport</w:t>
      </w:r>
    </w:p>
    <w:p w:rsidR="00580ABF" w:rsidRDefault="00E352FF" w:rsidP="00F918B4">
      <w:pPr>
        <w:pStyle w:val="BodyText"/>
        <w:numPr>
          <w:ilvl w:val="1"/>
          <w:numId w:val="28"/>
        </w:numPr>
        <w:spacing w:before="112" w:line="211" w:lineRule="auto"/>
        <w:ind w:right="413"/>
      </w:pPr>
      <w:r>
        <w:t>partnerships with the Indigenous community- controlled organisations and local communities.</w:t>
      </w:r>
    </w:p>
    <w:p w:rsidR="00580ABF" w:rsidRDefault="00E352FF">
      <w:pPr>
        <w:pStyle w:val="BodyText"/>
        <w:spacing w:before="111" w:line="211" w:lineRule="auto"/>
        <w:ind w:left="827" w:right="6"/>
      </w:pPr>
      <w:r>
        <w:rPr>
          <w:color w:val="414042"/>
        </w:rPr>
        <w:t xml:space="preserve">The 2016 OID report </w:t>
      </w:r>
      <w:r>
        <w:rPr>
          <w:color w:val="414042"/>
          <w:spacing w:val="-4"/>
        </w:rPr>
        <w:t xml:space="preserve">(SCRGSP, </w:t>
      </w:r>
      <w:r>
        <w:rPr>
          <w:color w:val="414042"/>
        </w:rPr>
        <w:t xml:space="preserve">2016) identifies a number of promising case studies of policies and programs that have demonstrated success in improving outcomes </w:t>
      </w:r>
      <w:r>
        <w:rPr>
          <w:color w:val="414042"/>
          <w:spacing w:val="-2"/>
        </w:rPr>
        <w:t xml:space="preserve">for </w:t>
      </w:r>
      <w:r>
        <w:rPr>
          <w:color w:val="414042"/>
        </w:rPr>
        <w:t xml:space="preserve">Aboriginal and </w:t>
      </w:r>
      <w:r>
        <w:rPr>
          <w:color w:val="414042"/>
          <w:spacing w:val="-4"/>
        </w:rPr>
        <w:t xml:space="preserve">Torres </w:t>
      </w:r>
      <w:r>
        <w:rPr>
          <w:color w:val="414042"/>
        </w:rPr>
        <w:t>Strait Islander peoples. Some of the initiatives listed in the report which have been formally evaluated and have demonstrated success</w:t>
      </w:r>
      <w:r>
        <w:rPr>
          <w:color w:val="414042"/>
          <w:spacing w:val="-15"/>
        </w:rPr>
        <w:t xml:space="preserve"> </w:t>
      </w:r>
      <w:r>
        <w:rPr>
          <w:color w:val="414042"/>
        </w:rPr>
        <w:t>include:</w:t>
      </w:r>
    </w:p>
    <w:p w:rsidR="00580ABF" w:rsidRDefault="00E352FF" w:rsidP="00F918B4">
      <w:pPr>
        <w:pStyle w:val="BodyText"/>
        <w:numPr>
          <w:ilvl w:val="1"/>
          <w:numId w:val="30"/>
        </w:numPr>
        <w:spacing w:before="107" w:line="211" w:lineRule="auto"/>
        <w:ind w:right="413"/>
      </w:pPr>
      <w:r>
        <w:t>Introduction of low aromatic fuel to reduce the harmful,</w:t>
      </w:r>
      <w:r>
        <w:rPr>
          <w:spacing w:val="-8"/>
        </w:rPr>
        <w:t xml:space="preserve"> </w:t>
      </w:r>
      <w:r>
        <w:t>risky</w:t>
      </w:r>
      <w:r>
        <w:rPr>
          <w:spacing w:val="-7"/>
        </w:rPr>
        <w:t xml:space="preserve"> </w:t>
      </w:r>
      <w:r>
        <w:t>health</w:t>
      </w:r>
      <w:r>
        <w:rPr>
          <w:spacing w:val="-8"/>
        </w:rPr>
        <w:t xml:space="preserve"> </w:t>
      </w:r>
      <w:r>
        <w:t>behaviour</w:t>
      </w:r>
      <w:r>
        <w:rPr>
          <w:spacing w:val="-7"/>
        </w:rPr>
        <w:t xml:space="preserve"> </w:t>
      </w:r>
      <w:r>
        <w:t>of</w:t>
      </w:r>
      <w:r>
        <w:rPr>
          <w:spacing w:val="-8"/>
        </w:rPr>
        <w:t xml:space="preserve"> </w:t>
      </w:r>
      <w:r>
        <w:t>petrol</w:t>
      </w:r>
      <w:r>
        <w:rPr>
          <w:spacing w:val="-8"/>
        </w:rPr>
        <w:t xml:space="preserve"> </w:t>
      </w:r>
      <w:r>
        <w:t>sniffing</w:t>
      </w:r>
    </w:p>
    <w:p w:rsidR="00580ABF" w:rsidRDefault="00E352FF" w:rsidP="00F918B4">
      <w:pPr>
        <w:pStyle w:val="BodyText"/>
        <w:numPr>
          <w:ilvl w:val="1"/>
          <w:numId w:val="30"/>
        </w:numPr>
        <w:spacing w:before="112" w:line="211" w:lineRule="auto"/>
      </w:pPr>
      <w:r>
        <w:t>A number of literacy and numeracy programs for children</w:t>
      </w:r>
    </w:p>
    <w:p w:rsidR="00580ABF" w:rsidRDefault="00E352FF" w:rsidP="00F918B4">
      <w:pPr>
        <w:pStyle w:val="BodyText"/>
        <w:numPr>
          <w:ilvl w:val="1"/>
          <w:numId w:val="30"/>
        </w:numPr>
        <w:spacing w:before="111" w:line="211" w:lineRule="auto"/>
        <w:ind w:right="413"/>
      </w:pPr>
      <w:r>
        <w:t>Australian Indigenous Mentoring Experience (AIME) Program</w:t>
      </w:r>
    </w:p>
    <w:p w:rsidR="0019055F" w:rsidRPr="0019055F" w:rsidRDefault="0019055F" w:rsidP="00F918B4">
      <w:pPr>
        <w:pStyle w:val="BodyText"/>
        <w:numPr>
          <w:ilvl w:val="1"/>
          <w:numId w:val="30"/>
        </w:numPr>
        <w:spacing w:before="85" w:line="309" w:lineRule="auto"/>
        <w:ind w:right="734"/>
      </w:pPr>
      <w:r>
        <w:rPr>
          <w:w w:val="105"/>
        </w:rPr>
        <w:t>The Working on Country PrograM</w:t>
      </w:r>
    </w:p>
    <w:p w:rsidR="0019055F" w:rsidRDefault="00E352FF" w:rsidP="00F918B4">
      <w:pPr>
        <w:pStyle w:val="BodyText"/>
        <w:numPr>
          <w:ilvl w:val="1"/>
          <w:numId w:val="30"/>
        </w:numPr>
        <w:spacing w:before="85" w:line="309" w:lineRule="auto"/>
        <w:ind w:right="734"/>
      </w:pPr>
      <w:r>
        <w:t>Abor</w:t>
      </w:r>
      <w:r w:rsidR="0019055F">
        <w:t>iginal Midwifery Access Program</w:t>
      </w:r>
    </w:p>
    <w:p w:rsidR="00580ABF" w:rsidRDefault="00E352FF" w:rsidP="00F918B4">
      <w:pPr>
        <w:pStyle w:val="BodyText"/>
        <w:numPr>
          <w:ilvl w:val="1"/>
          <w:numId w:val="30"/>
        </w:numPr>
        <w:spacing w:before="85" w:line="309" w:lineRule="auto"/>
        <w:ind w:right="734"/>
      </w:pPr>
      <w:r>
        <w:rPr>
          <w:w w:val="105"/>
        </w:rPr>
        <w:t>Healthy for Life program</w:t>
      </w:r>
    </w:p>
    <w:p w:rsidR="0019055F" w:rsidRDefault="00E352FF" w:rsidP="0019055F">
      <w:pPr>
        <w:pStyle w:val="BodyText"/>
        <w:numPr>
          <w:ilvl w:val="1"/>
          <w:numId w:val="30"/>
        </w:numPr>
      </w:pPr>
      <w:r>
        <w:t>Care for Kids’ Ears campaign</w:t>
      </w:r>
    </w:p>
    <w:p w:rsidR="00580ABF" w:rsidRDefault="00E352FF" w:rsidP="0019055F">
      <w:pPr>
        <w:pStyle w:val="BodyText"/>
        <w:numPr>
          <w:ilvl w:val="1"/>
          <w:numId w:val="30"/>
        </w:numPr>
      </w:pPr>
      <w:r>
        <w:t>Home Interaction Program for Parents and Youngsters (HIPPY)</w:t>
      </w:r>
    </w:p>
    <w:p w:rsidR="00580ABF" w:rsidRDefault="00E352FF">
      <w:pPr>
        <w:pStyle w:val="BodyText"/>
        <w:spacing w:line="211" w:lineRule="auto"/>
        <w:ind w:left="440" w:right="1075"/>
      </w:pPr>
      <w:r>
        <w:br w:type="column"/>
      </w:r>
      <w:r>
        <w:rPr>
          <w:color w:val="414042"/>
        </w:rPr>
        <w:t>Whilst anecdotally and through consultations as part of this project the following initiatives have been identified as successful and whilst not all have been funded through Closing the Gap IAS funding, they all strive to close the gap on Indigenous disadvantage:</w:t>
      </w:r>
    </w:p>
    <w:p w:rsidR="00580ABF" w:rsidRDefault="00E352FF" w:rsidP="0019055F">
      <w:pPr>
        <w:pStyle w:val="BodyText"/>
        <w:numPr>
          <w:ilvl w:val="0"/>
          <w:numId w:val="31"/>
        </w:numPr>
        <w:spacing w:before="79" w:line="309" w:lineRule="auto"/>
        <w:ind w:right="1535"/>
      </w:pPr>
      <w:r>
        <w:t>Family Matters initiatives and policy framework Justice Reinvestment and Collective Impact Myriad of health programs – Aunty Jean program</w:t>
      </w:r>
    </w:p>
    <w:p w:rsidR="00580ABF" w:rsidRDefault="00E352FF" w:rsidP="0019055F">
      <w:pPr>
        <w:pStyle w:val="BodyText"/>
        <w:numPr>
          <w:ilvl w:val="0"/>
          <w:numId w:val="31"/>
        </w:numPr>
        <w:spacing w:line="161" w:lineRule="exact"/>
      </w:pPr>
      <w:r>
        <w:t>in NSW, Deadly Choices in Qld</w:t>
      </w:r>
    </w:p>
    <w:p w:rsidR="00580ABF" w:rsidRDefault="00E352FF" w:rsidP="0019055F">
      <w:pPr>
        <w:pStyle w:val="BodyText"/>
        <w:numPr>
          <w:ilvl w:val="0"/>
          <w:numId w:val="31"/>
        </w:numPr>
        <w:spacing w:before="106" w:line="211" w:lineRule="auto"/>
        <w:ind w:right="1535"/>
      </w:pPr>
      <w:r>
        <w:t>Time for Grandparents being delivered by Uniting Care Qld in response to supporting children in out</w:t>
      </w:r>
      <w:r>
        <w:rPr>
          <w:spacing w:val="-4"/>
        </w:rPr>
        <w:t xml:space="preserve"> </w:t>
      </w:r>
      <w:r>
        <w:t>of</w:t>
      </w:r>
      <w:r>
        <w:rPr>
          <w:spacing w:val="-4"/>
        </w:rPr>
        <w:t xml:space="preserve"> </w:t>
      </w:r>
      <w:r>
        <w:t>home</w:t>
      </w:r>
      <w:r>
        <w:rPr>
          <w:spacing w:val="-4"/>
        </w:rPr>
        <w:t xml:space="preserve"> </w:t>
      </w:r>
      <w:r>
        <w:t>care</w:t>
      </w:r>
      <w:r>
        <w:rPr>
          <w:spacing w:val="-2"/>
        </w:rPr>
        <w:t xml:space="preserve"> </w:t>
      </w:r>
      <w:r>
        <w:t>who</w:t>
      </w:r>
      <w:r>
        <w:rPr>
          <w:spacing w:val="-3"/>
        </w:rPr>
        <w:t xml:space="preserve"> </w:t>
      </w:r>
      <w:r>
        <w:t>are</w:t>
      </w:r>
      <w:r>
        <w:rPr>
          <w:spacing w:val="-3"/>
        </w:rPr>
        <w:t xml:space="preserve"> </w:t>
      </w:r>
      <w:r>
        <w:t>being</w:t>
      </w:r>
      <w:r>
        <w:rPr>
          <w:spacing w:val="-4"/>
        </w:rPr>
        <w:t xml:space="preserve"> </w:t>
      </w:r>
      <w:r>
        <w:t>cared</w:t>
      </w:r>
      <w:r>
        <w:rPr>
          <w:spacing w:val="-2"/>
        </w:rPr>
        <w:t xml:space="preserve"> </w:t>
      </w:r>
      <w:r>
        <w:t>for</w:t>
      </w:r>
      <w:r>
        <w:rPr>
          <w:spacing w:val="-4"/>
        </w:rPr>
        <w:t xml:space="preserve"> </w:t>
      </w:r>
      <w:r>
        <w:t>by</w:t>
      </w:r>
      <w:r>
        <w:rPr>
          <w:spacing w:val="-3"/>
        </w:rPr>
        <w:t xml:space="preserve"> </w:t>
      </w:r>
      <w:r>
        <w:t>their grandparents;</w:t>
      </w:r>
    </w:p>
    <w:p w:rsidR="00580ABF" w:rsidRDefault="00E352FF" w:rsidP="0019055F">
      <w:pPr>
        <w:pStyle w:val="BodyText"/>
        <w:numPr>
          <w:ilvl w:val="0"/>
          <w:numId w:val="31"/>
        </w:numPr>
        <w:spacing w:before="109" w:line="211" w:lineRule="auto"/>
        <w:ind w:right="1535"/>
      </w:pPr>
      <w:r>
        <w:t>Massive Murray Paddle addressing youth disengagement in Victoria and NSW.</w:t>
      </w:r>
    </w:p>
    <w:p w:rsidR="00580ABF" w:rsidRDefault="00E352FF" w:rsidP="0019055F">
      <w:pPr>
        <w:pStyle w:val="BodyText"/>
        <w:numPr>
          <w:ilvl w:val="0"/>
          <w:numId w:val="31"/>
        </w:numPr>
        <w:spacing w:before="112" w:line="211" w:lineRule="auto"/>
        <w:ind w:right="1535"/>
      </w:pPr>
      <w:r>
        <w:t>Educational scholarships to private boarding schools for Indigenous children – AEIF and Yalari</w:t>
      </w:r>
    </w:p>
    <w:p w:rsidR="00580ABF" w:rsidRDefault="00E352FF" w:rsidP="0019055F">
      <w:pPr>
        <w:pStyle w:val="BodyText"/>
        <w:numPr>
          <w:ilvl w:val="0"/>
          <w:numId w:val="31"/>
        </w:numPr>
        <w:spacing w:before="111" w:line="211" w:lineRule="auto"/>
        <w:ind w:right="1075"/>
      </w:pPr>
      <w:r>
        <w:t>“I got your back sis” and Tackling Violence both programs focusing on addressing domestic violence being delivered across NSW</w:t>
      </w:r>
    </w:p>
    <w:p w:rsidR="00580ABF" w:rsidRDefault="00E352FF" w:rsidP="0019055F">
      <w:pPr>
        <w:pStyle w:val="BodyText"/>
        <w:numPr>
          <w:ilvl w:val="0"/>
          <w:numId w:val="31"/>
        </w:numPr>
        <w:spacing w:before="110" w:line="211" w:lineRule="auto"/>
        <w:ind w:right="2265"/>
        <w:jc w:val="both"/>
      </w:pPr>
      <w:r>
        <w:t>We Ali – a program focussing on tackling transgenerational trauma nationally</w:t>
      </w:r>
      <w:r>
        <w:rPr>
          <w:spacing w:val="-30"/>
        </w:rPr>
        <w:t xml:space="preserve"> </w:t>
      </w:r>
      <w:r>
        <w:t>and internationally</w:t>
      </w:r>
    </w:p>
    <w:p w:rsidR="00580ABF" w:rsidRDefault="00E352FF" w:rsidP="0019055F">
      <w:pPr>
        <w:pStyle w:val="BodyText"/>
        <w:numPr>
          <w:ilvl w:val="0"/>
          <w:numId w:val="31"/>
        </w:numPr>
        <w:spacing w:before="111" w:line="211" w:lineRule="auto"/>
        <w:ind w:right="1075"/>
      </w:pPr>
      <w:r>
        <w:t>The myriad of programs being supported nationally through the Healing Foundation</w:t>
      </w:r>
    </w:p>
    <w:p w:rsidR="00580ABF" w:rsidRDefault="00E352FF" w:rsidP="0019055F">
      <w:pPr>
        <w:pStyle w:val="BodyText"/>
        <w:numPr>
          <w:ilvl w:val="0"/>
          <w:numId w:val="31"/>
        </w:numPr>
        <w:spacing w:before="111" w:line="211" w:lineRule="auto"/>
        <w:ind w:right="1160"/>
      </w:pPr>
      <w:r>
        <w:t>The Yiriman project which is a partnership between four language groups in Western Australia</w:t>
      </w:r>
    </w:p>
    <w:p w:rsidR="00580ABF" w:rsidRDefault="00E352FF" w:rsidP="0019055F">
      <w:pPr>
        <w:pStyle w:val="BodyText"/>
        <w:numPr>
          <w:ilvl w:val="0"/>
          <w:numId w:val="31"/>
        </w:numPr>
        <w:spacing w:before="111" w:line="211" w:lineRule="auto"/>
        <w:ind w:right="1588"/>
      </w:pPr>
      <w:r>
        <w:rPr>
          <w:spacing w:val="2"/>
        </w:rPr>
        <w:t xml:space="preserve">Rise </w:t>
      </w:r>
      <w:r>
        <w:rPr>
          <w:spacing w:val="-8"/>
        </w:rPr>
        <w:t xml:space="preserve">UP, </w:t>
      </w:r>
      <w:r>
        <w:t xml:space="preserve">Be </w:t>
      </w:r>
      <w:r>
        <w:rPr>
          <w:spacing w:val="-5"/>
        </w:rPr>
        <w:t xml:space="preserve">Your </w:t>
      </w:r>
      <w:r>
        <w:t xml:space="preserve">Best, Own </w:t>
      </w:r>
      <w:r>
        <w:rPr>
          <w:spacing w:val="-5"/>
        </w:rPr>
        <w:t xml:space="preserve">Your </w:t>
      </w:r>
      <w:r>
        <w:t xml:space="preserve">Future Program in the Northern </w:t>
      </w:r>
      <w:r>
        <w:rPr>
          <w:spacing w:val="-3"/>
        </w:rPr>
        <w:t xml:space="preserve">Territory </w:t>
      </w:r>
      <w:r>
        <w:t>is an educational, empowerment and transformational program working with both urban and remote Indigenous people</w:t>
      </w:r>
      <w:r>
        <w:rPr>
          <w:spacing w:val="-6"/>
        </w:rPr>
        <w:t xml:space="preserve"> </w:t>
      </w:r>
      <w:r>
        <w:t>from</w:t>
      </w:r>
      <w:r>
        <w:rPr>
          <w:spacing w:val="-6"/>
        </w:rPr>
        <w:t xml:space="preserve"> </w:t>
      </w:r>
      <w:r>
        <w:t>an</w:t>
      </w:r>
      <w:r>
        <w:rPr>
          <w:spacing w:val="-6"/>
        </w:rPr>
        <w:t xml:space="preserve"> </w:t>
      </w:r>
      <w:r>
        <w:t>individual,</w:t>
      </w:r>
      <w:r>
        <w:rPr>
          <w:spacing w:val="-6"/>
        </w:rPr>
        <w:t xml:space="preserve"> </w:t>
      </w:r>
      <w:r>
        <w:t>family</w:t>
      </w:r>
      <w:r>
        <w:rPr>
          <w:spacing w:val="-6"/>
        </w:rPr>
        <w:t xml:space="preserve"> </w:t>
      </w:r>
      <w:r>
        <w:t>and</w:t>
      </w:r>
      <w:r>
        <w:rPr>
          <w:spacing w:val="-6"/>
        </w:rPr>
        <w:t xml:space="preserve"> </w:t>
      </w:r>
      <w:r>
        <w:t>community context</w:t>
      </w:r>
    </w:p>
    <w:p w:rsidR="00580ABF" w:rsidRDefault="00E352FF" w:rsidP="0019055F">
      <w:pPr>
        <w:pStyle w:val="BodyText"/>
        <w:numPr>
          <w:ilvl w:val="0"/>
          <w:numId w:val="31"/>
        </w:numPr>
        <w:spacing w:before="81"/>
      </w:pPr>
      <w:r>
        <w:t>Children Ground in Alice Springs</w:t>
      </w:r>
    </w:p>
    <w:p w:rsidR="00580ABF" w:rsidRDefault="00E352FF" w:rsidP="0019055F">
      <w:pPr>
        <w:pStyle w:val="BodyText"/>
        <w:numPr>
          <w:ilvl w:val="0"/>
          <w:numId w:val="31"/>
        </w:numPr>
        <w:spacing w:before="106" w:line="211" w:lineRule="auto"/>
        <w:ind w:right="1535"/>
      </w:pPr>
      <w:r>
        <w:t>Culture and language revitalisation programs across the country</w:t>
      </w:r>
    </w:p>
    <w:p w:rsidR="00580ABF" w:rsidRDefault="00580ABF">
      <w:pPr>
        <w:spacing w:line="211" w:lineRule="auto"/>
        <w:sectPr w:rsidR="00580ABF">
          <w:type w:val="continuous"/>
          <w:pgSz w:w="11910" w:h="16840"/>
          <w:pgMar w:top="1580" w:right="180" w:bottom="280" w:left="420" w:header="720" w:footer="720" w:gutter="0"/>
          <w:cols w:num="2" w:space="720" w:equalWidth="0">
            <w:col w:w="5279" w:space="40"/>
            <w:col w:w="5991"/>
          </w:cols>
        </w:sectPr>
      </w:pPr>
    </w:p>
    <w:p w:rsidR="00580ABF" w:rsidRDefault="00580ABF">
      <w:pPr>
        <w:pStyle w:val="BodyText"/>
        <w:spacing w:before="1"/>
        <w:rPr>
          <w:sz w:val="8"/>
        </w:rPr>
      </w:pPr>
    </w:p>
    <w:p w:rsidR="00580ABF" w:rsidRDefault="00580ABF">
      <w:pPr>
        <w:rPr>
          <w:sz w:val="8"/>
        </w:rPr>
        <w:sectPr w:rsidR="00580ABF">
          <w:pgSz w:w="11910" w:h="16840"/>
          <w:pgMar w:top="1580" w:right="180" w:bottom="380" w:left="420" w:header="0" w:footer="183" w:gutter="0"/>
          <w:cols w:space="720"/>
        </w:sectPr>
      </w:pPr>
    </w:p>
    <w:p w:rsidR="00580ABF" w:rsidRDefault="00E352FF" w:rsidP="00181DE0">
      <w:pPr>
        <w:pStyle w:val="Heading3"/>
      </w:pPr>
      <w:bookmarkStart w:id="14" w:name="_Hlk504861302"/>
      <w:bookmarkEnd w:id="14"/>
      <w:r w:rsidRPr="00181DE0">
        <w:t>Evaluation</w:t>
      </w:r>
    </w:p>
    <w:p w:rsidR="00580ABF" w:rsidRDefault="00E352FF">
      <w:pPr>
        <w:pStyle w:val="BodyText"/>
        <w:spacing w:before="23" w:line="211" w:lineRule="auto"/>
        <w:ind w:left="827" w:right="204"/>
      </w:pPr>
      <w:r>
        <w:rPr>
          <w:color w:val="414042"/>
        </w:rPr>
        <w:t>It is well recognised in the literature and certainly the consultations raised the point that there has been</w:t>
      </w:r>
    </w:p>
    <w:p w:rsidR="00580ABF" w:rsidRDefault="00E352FF">
      <w:pPr>
        <w:pStyle w:val="BodyText"/>
        <w:spacing w:line="211" w:lineRule="auto"/>
        <w:ind w:left="827" w:right="-18"/>
      </w:pPr>
      <w:r>
        <w:rPr>
          <w:color w:val="414042"/>
        </w:rPr>
        <w:t>a significant amount of evaluations and research undertaken over the years into most aspects of Aboriginal and Torres Strait Islander communities’ lives. It was</w:t>
      </w:r>
    </w:p>
    <w:p w:rsidR="00580ABF" w:rsidRDefault="00E352FF">
      <w:pPr>
        <w:pStyle w:val="BodyText"/>
        <w:spacing w:line="211" w:lineRule="auto"/>
        <w:ind w:left="827" w:right="37"/>
      </w:pPr>
      <w:r>
        <w:rPr>
          <w:color w:val="414042"/>
        </w:rPr>
        <w:t>noted that the significance of improving policy through evaluation lies beyond the evaluation itself; it lies in the process where governments apply the lessons to other initiatives. Stakeholders in Indigenous consultations (this one being no different) often remark that their feedback has no effect, and they never know what happens to</w:t>
      </w:r>
    </w:p>
    <w:p w:rsidR="00580ABF" w:rsidRDefault="00E352FF">
      <w:pPr>
        <w:pStyle w:val="BodyText"/>
        <w:spacing w:line="211" w:lineRule="auto"/>
        <w:ind w:left="827" w:right="204"/>
      </w:pPr>
      <w:r>
        <w:rPr>
          <w:color w:val="414042"/>
        </w:rPr>
        <w:t>the information. Stakeholders spoke of their fatigue at continually giving feedback that is not listened to.</w:t>
      </w:r>
    </w:p>
    <w:p w:rsidR="00580ABF" w:rsidRPr="009663DC" w:rsidRDefault="00E352FF">
      <w:pPr>
        <w:pStyle w:val="BodyText"/>
        <w:spacing w:before="100" w:line="211" w:lineRule="auto"/>
        <w:ind w:left="827" w:right="-15"/>
        <w:rPr>
          <w:color w:val="414042"/>
        </w:rPr>
      </w:pPr>
      <w:r>
        <w:rPr>
          <w:color w:val="414042"/>
        </w:rPr>
        <w:t>An overarching evaluation framework could assist with the different levels of outcomes expected over the life of the program and the various indicators needed at each level to measure whether the program is meeting its objectives. Feedback loops and a process to escalate any concerns will help to ensure government and program providers monitor one another and program learnings are shared.</w:t>
      </w:r>
    </w:p>
    <w:p w:rsidR="009663DC" w:rsidRPr="009663DC" w:rsidRDefault="009663DC" w:rsidP="009663DC">
      <w:pPr>
        <w:pStyle w:val="BodyText"/>
        <w:spacing w:before="100" w:line="211" w:lineRule="auto"/>
        <w:ind w:left="827" w:right="-15"/>
        <w:rPr>
          <w:color w:val="414042"/>
        </w:rPr>
      </w:pPr>
    </w:p>
    <w:p w:rsidR="009663DC" w:rsidRDefault="009663DC" w:rsidP="009663DC">
      <w:pPr>
        <w:pStyle w:val="BodyText"/>
        <w:spacing w:before="100" w:line="211" w:lineRule="auto"/>
        <w:ind w:left="827" w:right="-15"/>
        <w:rPr>
          <w:color w:val="414042"/>
        </w:rPr>
      </w:pPr>
      <w:r w:rsidRPr="009663DC">
        <w:rPr>
          <w:color w:val="414042"/>
        </w:rPr>
        <w:t>SUGGESTIONS FOR POLICY MAKERS AND PROGRAM FUNDERS INCLUDE:</w:t>
      </w:r>
    </w:p>
    <w:p w:rsidR="009663DC" w:rsidRDefault="009663DC" w:rsidP="009663DC">
      <w:pPr>
        <w:pStyle w:val="BodyText"/>
        <w:spacing w:before="100" w:line="211" w:lineRule="auto"/>
        <w:ind w:left="827" w:right="-15"/>
        <w:rPr>
          <w:color w:val="414042"/>
        </w:rPr>
      </w:pPr>
    </w:p>
    <w:p w:rsidR="009663DC" w:rsidRPr="009663DC" w:rsidRDefault="009663DC" w:rsidP="009663DC">
      <w:pPr>
        <w:pStyle w:val="BodyText"/>
        <w:spacing w:before="100" w:line="211" w:lineRule="auto"/>
        <w:ind w:left="827" w:right="-15"/>
        <w:rPr>
          <w:color w:val="414042"/>
        </w:rPr>
      </w:pPr>
      <w:r w:rsidRPr="009663DC">
        <w:rPr>
          <w:color w:val="414042"/>
        </w:rPr>
        <w:t>Embedding evaluation into program design and practice — evaluation should not</w:t>
      </w:r>
      <w:r>
        <w:rPr>
          <w:color w:val="414042"/>
        </w:rPr>
        <w:t xml:space="preserve"> </w:t>
      </w:r>
      <w:r w:rsidRPr="009663DC">
        <w:rPr>
          <w:color w:val="414042"/>
        </w:rPr>
        <w:t>be viewed as an ‘add on’ but built into a program’s design and presented as part of a continuous quality improvement process with funding for self-evaluation provided to organisations.</w:t>
      </w:r>
    </w:p>
    <w:p w:rsidR="009663DC" w:rsidRPr="009663DC" w:rsidRDefault="009663DC" w:rsidP="009663DC">
      <w:pPr>
        <w:pStyle w:val="BodyText"/>
        <w:spacing w:before="100" w:line="211" w:lineRule="auto"/>
        <w:ind w:left="827" w:right="-15"/>
        <w:rPr>
          <w:color w:val="414042"/>
        </w:rPr>
      </w:pPr>
    </w:p>
    <w:p w:rsidR="009663DC" w:rsidRDefault="009663DC" w:rsidP="009663DC">
      <w:pPr>
        <w:pStyle w:val="BodyText"/>
        <w:spacing w:before="100" w:line="211" w:lineRule="auto"/>
        <w:ind w:left="827" w:right="-15"/>
        <w:rPr>
          <w:color w:val="414042"/>
        </w:rPr>
      </w:pPr>
      <w:r w:rsidRPr="009663DC">
        <w:rPr>
          <w:color w:val="414042"/>
        </w:rPr>
        <w:t>Developing an evidence base through an accountability framework with</w:t>
      </w:r>
      <w:r>
        <w:rPr>
          <w:color w:val="414042"/>
        </w:rPr>
        <w:t xml:space="preserve"> </w:t>
      </w:r>
      <w:r w:rsidRPr="009663DC">
        <w:rPr>
          <w:color w:val="414042"/>
        </w:rPr>
        <w:t>regular feedback loops via an online data management system — to ensure data being collected is used to inform practice and improve program outcomes and there is a process for escalating concerns.</w:t>
      </w:r>
    </w:p>
    <w:p w:rsidR="009663DC" w:rsidRPr="009663DC" w:rsidRDefault="009663DC" w:rsidP="009663DC">
      <w:pPr>
        <w:pStyle w:val="BodyText"/>
        <w:spacing w:before="100" w:line="211" w:lineRule="auto"/>
        <w:ind w:left="827" w:right="-15"/>
        <w:rPr>
          <w:color w:val="414042"/>
        </w:rPr>
      </w:pPr>
    </w:p>
    <w:p w:rsidR="009663DC" w:rsidRPr="009663DC" w:rsidRDefault="009663DC" w:rsidP="009663DC">
      <w:pPr>
        <w:pStyle w:val="BodyText"/>
        <w:spacing w:before="100" w:line="211" w:lineRule="auto"/>
        <w:ind w:left="827" w:right="-15"/>
        <w:rPr>
          <w:color w:val="414042"/>
        </w:rPr>
      </w:pPr>
      <w:r w:rsidRPr="009663DC">
        <w:rPr>
          <w:color w:val="414042"/>
        </w:rPr>
        <w:t>SUGGESTIONS FOR PROGRAM PROVIDERS INCL</w:t>
      </w:r>
    </w:p>
    <w:p w:rsidR="009663DC" w:rsidRPr="009663DC" w:rsidRDefault="009663DC" w:rsidP="009663DC">
      <w:pPr>
        <w:pStyle w:val="BodyText"/>
        <w:spacing w:before="100" w:line="211" w:lineRule="auto"/>
        <w:ind w:left="827" w:right="-15"/>
        <w:rPr>
          <w:color w:val="414042"/>
        </w:rPr>
      </w:pPr>
      <w:r w:rsidRPr="009663DC">
        <w:rPr>
          <w:color w:val="414042"/>
        </w:rPr>
        <w:t>Embedding evaluation into program practice</w:t>
      </w:r>
      <w:r>
        <w:rPr>
          <w:color w:val="414042"/>
        </w:rPr>
        <w:t xml:space="preserve"> </w:t>
      </w:r>
      <w:r w:rsidRPr="009663DC">
        <w:rPr>
          <w:color w:val="414042"/>
        </w:rPr>
        <w:t>— evaluation should not be viewed as a negative process, but as an opportunity to learn.</w:t>
      </w:r>
    </w:p>
    <w:p w:rsidR="009663DC" w:rsidRPr="009663DC" w:rsidRDefault="009663DC" w:rsidP="009663DC">
      <w:pPr>
        <w:pStyle w:val="BodyText"/>
        <w:spacing w:before="100" w:line="211" w:lineRule="auto"/>
        <w:ind w:left="827" w:right="-15"/>
        <w:rPr>
          <w:color w:val="414042"/>
        </w:rPr>
      </w:pPr>
    </w:p>
    <w:p w:rsidR="00580ABF" w:rsidRPr="009663DC" w:rsidRDefault="009663DC" w:rsidP="009663DC">
      <w:pPr>
        <w:pStyle w:val="BodyText"/>
        <w:spacing w:before="100" w:line="211" w:lineRule="auto"/>
        <w:ind w:left="827" w:right="-15"/>
        <w:rPr>
          <w:color w:val="414042"/>
        </w:rPr>
      </w:pPr>
      <w:r w:rsidRPr="009663DC">
        <w:rPr>
          <w:color w:val="414042"/>
        </w:rPr>
        <w:t>Developing an evidence base through the regular collection of data via an online data management system to not only provide</w:t>
      </w:r>
      <w:r>
        <w:rPr>
          <w:color w:val="414042"/>
        </w:rPr>
        <w:t xml:space="preserve"> </w:t>
      </w:r>
      <w:r w:rsidRPr="009663DC">
        <w:rPr>
          <w:color w:val="414042"/>
        </w:rPr>
        <w:t>a stronger evidence base for recurrent funding, but also to improve service delivery and ensure client satisfaction with the program. (Hudson, 2017)</w:t>
      </w:r>
      <w:r w:rsidR="00E352FF">
        <w:br w:type="column"/>
      </w:r>
    </w:p>
    <w:p w:rsidR="009663DC" w:rsidRPr="00181DE0" w:rsidRDefault="009663DC" w:rsidP="00181DE0">
      <w:pPr>
        <w:pStyle w:val="BodyText"/>
        <w:spacing w:line="211" w:lineRule="auto"/>
        <w:ind w:left="827" w:right="37"/>
        <w:rPr>
          <w:color w:val="414042"/>
        </w:rPr>
      </w:pPr>
      <w:r w:rsidRPr="00181DE0">
        <w:rPr>
          <w:color w:val="414042"/>
        </w:rPr>
        <w:t>Stakeholders spoke of their fatigue at continually giving feedback that is not listened to.</w:t>
      </w:r>
    </w:p>
    <w:p w:rsidR="00580ABF" w:rsidRDefault="00580ABF">
      <w:pPr>
        <w:pStyle w:val="BodyText"/>
        <w:spacing w:before="10"/>
        <w:rPr>
          <w:sz w:val="16"/>
        </w:rPr>
      </w:pPr>
    </w:p>
    <w:p w:rsidR="00580ABF" w:rsidRPr="00181DE0" w:rsidRDefault="00E352FF" w:rsidP="00181DE0">
      <w:pPr>
        <w:pStyle w:val="Heading3"/>
      </w:pPr>
      <w:r w:rsidRPr="00181DE0">
        <w:t>T</w:t>
      </w:r>
      <w:r w:rsidR="00590605">
        <w:t>he Inclusion of Culture at the Centre of Programs</w:t>
      </w:r>
    </w:p>
    <w:p w:rsidR="00580ABF" w:rsidRDefault="00E352FF" w:rsidP="00AC7702">
      <w:pPr>
        <w:pStyle w:val="BodyText"/>
        <w:spacing w:before="156" w:line="211" w:lineRule="auto"/>
        <w:ind w:left="720" w:right="1123"/>
      </w:pPr>
      <w:r>
        <w:rPr>
          <w:color w:val="414042"/>
        </w:rPr>
        <w:t>As discussed elsewhere in the report, culture at the centre of programs and having a respect for culture in all aspects of service delivery and program/policy design is critical to Closing the Gap:</w:t>
      </w:r>
    </w:p>
    <w:p w:rsidR="00580ABF" w:rsidRDefault="00E352FF" w:rsidP="0019055F">
      <w:pPr>
        <w:pStyle w:val="BodyText"/>
        <w:numPr>
          <w:ilvl w:val="0"/>
          <w:numId w:val="32"/>
        </w:numPr>
        <w:spacing w:before="110" w:line="211" w:lineRule="auto"/>
        <w:ind w:right="1635"/>
      </w:pPr>
      <w:r>
        <w:t>Skilling up a culturally competent workforce that understands the generational impacts of history and how this is manifested in the cultural and social dynamics of Indigenous communities;</w:t>
      </w:r>
    </w:p>
    <w:p w:rsidR="00580ABF" w:rsidRDefault="00E352FF" w:rsidP="0019055F">
      <w:pPr>
        <w:pStyle w:val="BodyText"/>
        <w:numPr>
          <w:ilvl w:val="0"/>
          <w:numId w:val="32"/>
        </w:numPr>
        <w:spacing w:before="109" w:line="211" w:lineRule="auto"/>
        <w:ind w:right="1247"/>
      </w:pPr>
      <w:r>
        <w:t>Providing cultural and professional learning opportunities that facilitates capacity building for both Indigenous communities and governments.</w:t>
      </w:r>
    </w:p>
    <w:p w:rsidR="00580ABF" w:rsidRDefault="00580ABF">
      <w:pPr>
        <w:spacing w:line="211" w:lineRule="auto"/>
        <w:sectPr w:rsidR="00580ABF">
          <w:type w:val="continuous"/>
          <w:pgSz w:w="11910" w:h="16840"/>
          <w:pgMar w:top="1580" w:right="180" w:bottom="280" w:left="420" w:header="720" w:footer="720" w:gutter="0"/>
          <w:cols w:num="2" w:space="720" w:equalWidth="0">
            <w:col w:w="5306" w:space="40"/>
            <w:col w:w="5964"/>
          </w:cols>
        </w:sectPr>
      </w:pPr>
    </w:p>
    <w:p w:rsidR="00EC5B8E" w:rsidRDefault="00FA662A" w:rsidP="00EC5B8E">
      <w:pPr>
        <w:pStyle w:val="Heading2"/>
      </w:pPr>
      <w:r w:rsidRPr="00FA662A">
        <w:t>SUMMARY AND CONCLUDING REMARKS</w:t>
      </w:r>
    </w:p>
    <w:p w:rsidR="00CF2220" w:rsidRDefault="00E352FF" w:rsidP="009C5BEA">
      <w:pPr>
        <w:pStyle w:val="BodyText"/>
        <w:spacing w:before="51" w:line="211" w:lineRule="auto"/>
        <w:ind w:left="827" w:right="1050"/>
        <w:rPr>
          <w:color w:val="414042"/>
        </w:rPr>
      </w:pPr>
      <w:r w:rsidRPr="00CF2220">
        <w:rPr>
          <w:color w:val="414042"/>
          <w:sz w:val="26"/>
          <w:szCs w:val="26"/>
        </w:rPr>
        <w:t>In Summary we answer the final question</w:t>
      </w:r>
      <w:r w:rsidRPr="009C5BEA">
        <w:rPr>
          <w:color w:val="414042"/>
        </w:rPr>
        <w:t>:</w:t>
      </w:r>
      <w:r w:rsidR="00912A32">
        <w:rPr>
          <w:color w:val="414042"/>
        </w:rPr>
        <w:t xml:space="preserve"> </w:t>
      </w:r>
    </w:p>
    <w:p w:rsidR="00580ABF" w:rsidRPr="00CF2220" w:rsidRDefault="00E352FF" w:rsidP="009C5BEA">
      <w:pPr>
        <w:pStyle w:val="BodyText"/>
        <w:spacing w:before="51" w:line="211" w:lineRule="auto"/>
        <w:ind w:left="827" w:right="1050"/>
        <w:rPr>
          <w:b/>
          <w:color w:val="414042"/>
        </w:rPr>
      </w:pPr>
      <w:r w:rsidRPr="00CF2220">
        <w:rPr>
          <w:b/>
          <w:color w:val="414042"/>
        </w:rPr>
        <w:t>To what extent has Closing the Gap built on strengths, demonstrated cultural respect, and involved collaboration in such a way</w:t>
      </w:r>
      <w:r w:rsidR="00EC56D0" w:rsidRPr="00CF2220">
        <w:rPr>
          <w:b/>
          <w:color w:val="414042"/>
        </w:rPr>
        <w:t xml:space="preserve"> </w:t>
      </w:r>
      <w:r w:rsidRPr="00CF2220">
        <w:rPr>
          <w:b/>
          <w:color w:val="414042"/>
        </w:rPr>
        <w:t>as to make a positive contribution to the lives of current and future generations of Indigenous Australians?</w:t>
      </w:r>
    </w:p>
    <w:p w:rsidR="00580ABF" w:rsidRDefault="00E352FF" w:rsidP="00EC56D0">
      <w:pPr>
        <w:pStyle w:val="BodyText"/>
        <w:spacing w:before="51" w:line="211" w:lineRule="auto"/>
        <w:ind w:left="827" w:right="1050"/>
      </w:pPr>
      <w:r>
        <w:rPr>
          <w:color w:val="414042"/>
        </w:rPr>
        <w:t>In analysing the key messages from the consultations and literature there were conflicting assertions about this question that was put forward by stakeholders. Almost every stakeholder consulted spoke of the negative limitations of the framework, particularly in relation to the absence</w:t>
      </w:r>
      <w:r w:rsidR="00EC56D0">
        <w:rPr>
          <w:color w:val="414042"/>
        </w:rPr>
        <w:t xml:space="preserve"> </w:t>
      </w:r>
      <w:r>
        <w:rPr>
          <w:color w:val="414042"/>
        </w:rPr>
        <w:t>of culture in the context of the NIRA, which to them demonstrated cultural disrespect. However, they did acknowledge that the Closing the Gap framework, depending on which initiative and program it referred to, did make a positive contribution to the lives of current and potentially future generations of Indigenous Australians. The provision of medication free or at reduced rates was seen as just one very positive contribution to closing the gap.</w:t>
      </w:r>
    </w:p>
    <w:p w:rsidR="00580ABF" w:rsidRDefault="00E352FF" w:rsidP="00EC56D0">
      <w:pPr>
        <w:pStyle w:val="BodyText"/>
        <w:spacing w:before="98" w:line="211" w:lineRule="auto"/>
        <w:ind w:left="827" w:right="1050"/>
        <w:rPr>
          <w:color w:val="414042"/>
        </w:rPr>
      </w:pPr>
      <w:r>
        <w:rPr>
          <w:color w:val="414042"/>
        </w:rPr>
        <w:t>It is evident that whilst there are significant challenges impacting on Indigenous Australians</w:t>
      </w:r>
      <w:r>
        <w:rPr>
          <w:color w:val="414042"/>
          <w:spacing w:val="-24"/>
        </w:rPr>
        <w:t xml:space="preserve"> </w:t>
      </w:r>
      <w:r>
        <w:rPr>
          <w:color w:val="414042"/>
        </w:rPr>
        <w:t>that the Closing the Gap policy framework</w:t>
      </w:r>
      <w:r>
        <w:rPr>
          <w:color w:val="414042"/>
          <w:spacing w:val="-21"/>
        </w:rPr>
        <w:t xml:space="preserve"> </w:t>
      </w:r>
      <w:r>
        <w:rPr>
          <w:color w:val="414042"/>
        </w:rPr>
        <w:t>attempted</w:t>
      </w:r>
      <w:r w:rsidR="00EC56D0">
        <w:rPr>
          <w:color w:val="414042"/>
        </w:rPr>
        <w:t xml:space="preserve"> </w:t>
      </w:r>
      <w:r>
        <w:rPr>
          <w:color w:val="414042"/>
        </w:rPr>
        <w:t>to</w:t>
      </w:r>
      <w:r>
        <w:rPr>
          <w:color w:val="414042"/>
          <w:spacing w:val="-6"/>
        </w:rPr>
        <w:t xml:space="preserve"> </w:t>
      </w:r>
      <w:r>
        <w:rPr>
          <w:color w:val="414042"/>
        </w:rPr>
        <w:t>address,</w:t>
      </w:r>
      <w:r>
        <w:rPr>
          <w:color w:val="414042"/>
          <w:spacing w:val="-5"/>
        </w:rPr>
        <w:t xml:space="preserve"> </w:t>
      </w:r>
      <w:r>
        <w:rPr>
          <w:color w:val="414042"/>
        </w:rPr>
        <w:t>there</w:t>
      </w:r>
      <w:r>
        <w:rPr>
          <w:color w:val="414042"/>
          <w:spacing w:val="-5"/>
        </w:rPr>
        <w:t xml:space="preserve"> </w:t>
      </w:r>
      <w:r>
        <w:rPr>
          <w:color w:val="414042"/>
        </w:rPr>
        <w:t>were</w:t>
      </w:r>
      <w:r>
        <w:rPr>
          <w:color w:val="414042"/>
          <w:spacing w:val="-5"/>
        </w:rPr>
        <w:t xml:space="preserve"> </w:t>
      </w:r>
      <w:r>
        <w:rPr>
          <w:color w:val="414042"/>
        </w:rPr>
        <w:t>just</w:t>
      </w:r>
      <w:r>
        <w:rPr>
          <w:color w:val="414042"/>
          <w:spacing w:val="-4"/>
        </w:rPr>
        <w:t xml:space="preserve"> </w:t>
      </w:r>
      <w:r>
        <w:rPr>
          <w:color w:val="414042"/>
        </w:rPr>
        <w:t>as</w:t>
      </w:r>
      <w:r>
        <w:rPr>
          <w:color w:val="414042"/>
          <w:spacing w:val="-6"/>
        </w:rPr>
        <w:t xml:space="preserve"> </w:t>
      </w:r>
      <w:r>
        <w:rPr>
          <w:color w:val="414042"/>
        </w:rPr>
        <w:t>many</w:t>
      </w:r>
      <w:r>
        <w:rPr>
          <w:color w:val="414042"/>
          <w:spacing w:val="-5"/>
        </w:rPr>
        <w:t xml:space="preserve"> </w:t>
      </w:r>
      <w:r>
        <w:rPr>
          <w:color w:val="414042"/>
        </w:rPr>
        <w:t>positive</w:t>
      </w:r>
      <w:r>
        <w:rPr>
          <w:color w:val="414042"/>
          <w:spacing w:val="-5"/>
        </w:rPr>
        <w:t xml:space="preserve"> </w:t>
      </w:r>
      <w:r>
        <w:rPr>
          <w:color w:val="414042"/>
        </w:rPr>
        <w:t>stories expressed in the literature and discussions that speak of the resilience of Indigenous</w:t>
      </w:r>
      <w:r>
        <w:rPr>
          <w:color w:val="414042"/>
          <w:spacing w:val="-13"/>
        </w:rPr>
        <w:t xml:space="preserve"> </w:t>
      </w:r>
      <w:r>
        <w:rPr>
          <w:color w:val="414042"/>
        </w:rPr>
        <w:t>Australians.</w:t>
      </w:r>
    </w:p>
    <w:p w:rsidR="00580ABF" w:rsidRDefault="00E352FF" w:rsidP="00D42DC0">
      <w:pPr>
        <w:pStyle w:val="BodyText"/>
        <w:spacing w:line="211" w:lineRule="auto"/>
        <w:ind w:left="827" w:right="1050"/>
      </w:pPr>
      <w:r>
        <w:rPr>
          <w:color w:val="414042"/>
        </w:rPr>
        <w:t>It has been repeated in the various sections of this report the potential that the Closing the Gap framework has to make a positive contribution to the lives of current and future generations of Indigenous Australians.</w:t>
      </w:r>
    </w:p>
    <w:p w:rsidR="00580ABF" w:rsidRDefault="00E352FF" w:rsidP="00EC56D0">
      <w:pPr>
        <w:pStyle w:val="BodyText"/>
        <w:spacing w:before="103" w:line="211" w:lineRule="auto"/>
        <w:ind w:left="827" w:right="1050"/>
      </w:pPr>
      <w:r>
        <w:rPr>
          <w:color w:val="414042"/>
        </w:rPr>
        <w:t>Overall we would have to conclude that the framework was not well implemented, and so there</w:t>
      </w:r>
      <w:r>
        <w:rPr>
          <w:color w:val="414042"/>
          <w:spacing w:val="-5"/>
        </w:rPr>
        <w:t xml:space="preserve"> </w:t>
      </w:r>
      <w:r>
        <w:rPr>
          <w:color w:val="414042"/>
        </w:rPr>
        <w:t>has</w:t>
      </w:r>
      <w:r>
        <w:rPr>
          <w:color w:val="414042"/>
          <w:spacing w:val="-6"/>
        </w:rPr>
        <w:t xml:space="preserve"> </w:t>
      </w:r>
      <w:r>
        <w:rPr>
          <w:color w:val="414042"/>
        </w:rPr>
        <w:t>been</w:t>
      </w:r>
      <w:r>
        <w:rPr>
          <w:color w:val="414042"/>
          <w:spacing w:val="-6"/>
        </w:rPr>
        <w:t xml:space="preserve"> </w:t>
      </w:r>
      <w:r>
        <w:rPr>
          <w:color w:val="414042"/>
        </w:rPr>
        <w:t>a</w:t>
      </w:r>
      <w:r>
        <w:rPr>
          <w:color w:val="414042"/>
          <w:spacing w:val="-6"/>
        </w:rPr>
        <w:t xml:space="preserve"> </w:t>
      </w:r>
      <w:r>
        <w:rPr>
          <w:color w:val="414042"/>
        </w:rPr>
        <w:t>great</w:t>
      </w:r>
      <w:r>
        <w:rPr>
          <w:color w:val="414042"/>
          <w:spacing w:val="-4"/>
        </w:rPr>
        <w:t xml:space="preserve"> </w:t>
      </w:r>
      <w:r>
        <w:rPr>
          <w:color w:val="414042"/>
        </w:rPr>
        <w:t>deal</w:t>
      </w:r>
      <w:r>
        <w:rPr>
          <w:color w:val="414042"/>
          <w:spacing w:val="-6"/>
        </w:rPr>
        <w:t xml:space="preserve"> </w:t>
      </w:r>
      <w:r>
        <w:rPr>
          <w:color w:val="414042"/>
        </w:rPr>
        <w:t>of</w:t>
      </w:r>
      <w:r>
        <w:rPr>
          <w:color w:val="414042"/>
          <w:spacing w:val="-6"/>
        </w:rPr>
        <w:t xml:space="preserve"> </w:t>
      </w:r>
      <w:r>
        <w:rPr>
          <w:color w:val="414042"/>
        </w:rPr>
        <w:t>lost</w:t>
      </w:r>
      <w:r>
        <w:rPr>
          <w:color w:val="414042"/>
          <w:spacing w:val="-5"/>
        </w:rPr>
        <w:t xml:space="preserve"> </w:t>
      </w:r>
      <w:r>
        <w:rPr>
          <w:color w:val="414042"/>
        </w:rPr>
        <w:t>opportunity.</w:t>
      </w:r>
      <w:r>
        <w:rPr>
          <w:color w:val="414042"/>
          <w:spacing w:val="-5"/>
        </w:rPr>
        <w:t xml:space="preserve"> </w:t>
      </w:r>
      <w:r>
        <w:rPr>
          <w:color w:val="414042"/>
        </w:rPr>
        <w:t>The fact that cultural determinants are not</w:t>
      </w:r>
      <w:r>
        <w:rPr>
          <w:color w:val="414042"/>
          <w:spacing w:val="-17"/>
        </w:rPr>
        <w:t xml:space="preserve"> </w:t>
      </w:r>
      <w:r>
        <w:rPr>
          <w:color w:val="414042"/>
        </w:rPr>
        <w:t>captured</w:t>
      </w:r>
      <w:r w:rsidR="00EC56D0">
        <w:t xml:space="preserve"> </w:t>
      </w:r>
      <w:r>
        <w:rPr>
          <w:color w:val="414042"/>
        </w:rPr>
        <w:t>in the policy framework makes it difficult to fully demonstrate cultural respect and collaboration with Indigenous Australians but there is plenty of potential to shift the way government and</w:t>
      </w:r>
      <w:r w:rsidR="00EC56D0">
        <w:rPr>
          <w:color w:val="414042"/>
        </w:rPr>
        <w:t xml:space="preserve"> </w:t>
      </w:r>
      <w:r>
        <w:rPr>
          <w:color w:val="414042"/>
        </w:rPr>
        <w:t>Indigenous Australian communities work together to Close the Gap.</w:t>
      </w:r>
    </w:p>
    <w:p w:rsidR="00D433AB" w:rsidRPr="00D433AB" w:rsidRDefault="00D433AB" w:rsidP="00D42DC0">
      <w:pPr>
        <w:pStyle w:val="BodyText"/>
        <w:spacing w:before="103" w:line="211" w:lineRule="auto"/>
        <w:ind w:left="827" w:right="1050"/>
        <w:rPr>
          <w:color w:val="414042"/>
        </w:rPr>
      </w:pPr>
      <w:r w:rsidRPr="00D433AB">
        <w:rPr>
          <w:color w:val="414042"/>
        </w:rPr>
        <w:t>Below are some key messages and findings obtained from both stakeholder interviews, focus groups and the literature review</w:t>
      </w:r>
    </w:p>
    <w:p w:rsidR="00D433AB" w:rsidRDefault="00D433AB">
      <w:pPr>
        <w:spacing w:line="211" w:lineRule="auto"/>
      </w:pPr>
    </w:p>
    <w:p w:rsidR="00D433AB" w:rsidRPr="009C5BEA" w:rsidRDefault="00D433AB" w:rsidP="009C5BEA">
      <w:pPr>
        <w:pStyle w:val="BodyText"/>
        <w:spacing w:before="103" w:line="211" w:lineRule="auto"/>
        <w:ind w:left="827" w:right="1050"/>
        <w:rPr>
          <w:b/>
          <w:color w:val="414042"/>
        </w:rPr>
      </w:pPr>
      <w:r w:rsidRPr="009C5BEA">
        <w:rPr>
          <w:b/>
          <w:color w:val="414042"/>
        </w:rPr>
        <w:t>From our analysis that at the beginning of Closing the Gap, it was seen as a pathway that set out how to move toward equality. It was a blueprint for how particularly because within the Closing the Gap initiative it was a solid recognition that achieving equality between Indigenous and non-Indigenous</w:t>
      </w:r>
      <w:r w:rsidR="00D42DC0" w:rsidRPr="009C5BEA">
        <w:rPr>
          <w:b/>
          <w:color w:val="414042"/>
        </w:rPr>
        <w:t xml:space="preserve"> </w:t>
      </w:r>
      <w:r w:rsidRPr="009C5BEA">
        <w:rPr>
          <w:b/>
          <w:color w:val="414042"/>
        </w:rPr>
        <w:t>Australians would only be made possible by working in partnership with Indigenous people.</w:t>
      </w:r>
    </w:p>
    <w:p w:rsidR="00D42DC0" w:rsidRPr="009C5BEA" w:rsidRDefault="00D42DC0" w:rsidP="009C5BEA">
      <w:pPr>
        <w:pStyle w:val="BodyText"/>
        <w:spacing w:before="103" w:line="211" w:lineRule="auto"/>
        <w:ind w:left="827" w:right="1050"/>
        <w:rPr>
          <w:b/>
          <w:color w:val="414042"/>
        </w:rPr>
      </w:pPr>
    </w:p>
    <w:p w:rsidR="00D433AB" w:rsidRPr="009C5BEA" w:rsidRDefault="00D433AB" w:rsidP="009C5BEA">
      <w:pPr>
        <w:pStyle w:val="BodyText"/>
        <w:spacing w:before="103" w:line="211" w:lineRule="auto"/>
        <w:ind w:left="827" w:right="1050"/>
        <w:rPr>
          <w:b/>
          <w:color w:val="414042"/>
        </w:rPr>
      </w:pPr>
      <w:r w:rsidRPr="009C5BEA">
        <w:rPr>
          <w:b/>
          <w:color w:val="414042"/>
        </w:rPr>
        <w:t>Where Closing the Gap has been successful is where initiatives have enabled Indigenous communities to lead, and where true partnerships have been formed with Indigenous communities. This enabled solutions to problems impacting on the community to be designed and the process for implementation agreed upon between Indigenous communities and service providers and funders.</w:t>
      </w:r>
    </w:p>
    <w:p w:rsidR="00D42DC0" w:rsidRPr="009C5BEA" w:rsidRDefault="00D42DC0" w:rsidP="009C5BEA">
      <w:pPr>
        <w:pStyle w:val="BodyText"/>
        <w:spacing w:before="103" w:line="211" w:lineRule="auto"/>
        <w:ind w:left="827" w:right="1050"/>
        <w:rPr>
          <w:b/>
          <w:color w:val="414042"/>
        </w:rPr>
      </w:pPr>
    </w:p>
    <w:p w:rsidR="00D433AB" w:rsidRPr="009C5BEA" w:rsidRDefault="00D433AB" w:rsidP="009C5BEA">
      <w:pPr>
        <w:pStyle w:val="BodyText"/>
        <w:spacing w:before="103" w:line="211" w:lineRule="auto"/>
        <w:ind w:left="827" w:right="1050"/>
        <w:rPr>
          <w:b/>
          <w:color w:val="414042"/>
        </w:rPr>
      </w:pPr>
      <w:r w:rsidRPr="009C5BEA">
        <w:rPr>
          <w:b/>
          <w:color w:val="414042"/>
        </w:rPr>
        <w:t>While the literature notes these challenges with the framework, it does not suggest that the concept of a coordinated approach is not a good one. By pointing out that the task is complex, the literature really underpins the concept of tailoring initiatives for communities and individuals, which in turn requires working with communities in a person-centred way.</w:t>
      </w:r>
    </w:p>
    <w:p w:rsidR="00D42DC0" w:rsidRPr="009C5BEA" w:rsidRDefault="00D42DC0" w:rsidP="009C5BEA">
      <w:pPr>
        <w:pStyle w:val="BodyText"/>
        <w:spacing w:before="103" w:line="211" w:lineRule="auto"/>
        <w:ind w:left="827" w:right="1050"/>
        <w:rPr>
          <w:b/>
          <w:color w:val="414042"/>
        </w:rPr>
      </w:pPr>
      <w:r w:rsidRPr="009C5BEA">
        <w:rPr>
          <w:b/>
          <w:color w:val="414042"/>
        </w:rPr>
        <w:tab/>
      </w:r>
    </w:p>
    <w:p w:rsidR="00B63225" w:rsidRPr="009C5BEA" w:rsidRDefault="00B63225" w:rsidP="009C5BEA">
      <w:pPr>
        <w:pStyle w:val="BodyText"/>
        <w:spacing w:before="103" w:line="211" w:lineRule="auto"/>
        <w:ind w:left="827" w:right="1050"/>
        <w:rPr>
          <w:b/>
          <w:color w:val="414042"/>
        </w:rPr>
      </w:pPr>
      <w:r w:rsidRPr="009C5BEA">
        <w:rPr>
          <w:b/>
          <w:color w:val="414042"/>
        </w:rPr>
        <w:t>In light of the complexities of the challenge to Close the Gap, adoption of systems thinking approaches (merged with cultural insights of Indigenous Australians as individuals, communities and as a population group) are required.</w:t>
      </w:r>
    </w:p>
    <w:p w:rsidR="00D42DC0" w:rsidRPr="009C5BEA" w:rsidRDefault="00D42DC0" w:rsidP="009C5BEA">
      <w:pPr>
        <w:pStyle w:val="BodyText"/>
        <w:spacing w:before="103" w:line="211" w:lineRule="auto"/>
        <w:ind w:left="827" w:right="1050"/>
        <w:rPr>
          <w:b/>
          <w:color w:val="414042"/>
        </w:rPr>
      </w:pPr>
    </w:p>
    <w:p w:rsidR="00B63225" w:rsidRPr="009C5BEA" w:rsidRDefault="00B63225" w:rsidP="009C5BEA">
      <w:pPr>
        <w:pStyle w:val="BodyText"/>
        <w:spacing w:before="103" w:line="211" w:lineRule="auto"/>
        <w:ind w:left="827" w:right="1050"/>
        <w:rPr>
          <w:b/>
          <w:color w:val="414042"/>
        </w:rPr>
      </w:pPr>
      <w:r w:rsidRPr="009C5BEA">
        <w:rPr>
          <w:b/>
          <w:color w:val="414042"/>
        </w:rPr>
        <w:t>The message coming from consultations and emerging from the literature highlight that while expectations and hopes were high, they were not met.</w:t>
      </w:r>
      <w:r w:rsidR="00D42DC0" w:rsidRPr="009C5BEA">
        <w:rPr>
          <w:b/>
          <w:color w:val="414042"/>
        </w:rPr>
        <w:t xml:space="preserve"> </w:t>
      </w:r>
      <w:r w:rsidRPr="009C5BEA">
        <w:rPr>
          <w:b/>
          <w:color w:val="414042"/>
        </w:rPr>
        <w:t>Consultations revealed that working in partnership under the Closing the Gap framework requires trust between government, service providers, communities and individuals, yet relationships have not improved.</w:t>
      </w:r>
    </w:p>
    <w:p w:rsidR="00A20871" w:rsidRPr="009C5BEA" w:rsidRDefault="00A20871" w:rsidP="009C5BEA">
      <w:pPr>
        <w:pStyle w:val="BodyText"/>
        <w:spacing w:before="103" w:line="211" w:lineRule="auto"/>
        <w:ind w:left="827" w:right="1050"/>
        <w:rPr>
          <w:b/>
          <w:color w:val="414042"/>
        </w:rPr>
      </w:pPr>
    </w:p>
    <w:p w:rsidR="00A20871" w:rsidRPr="009C5BEA" w:rsidRDefault="00A20871" w:rsidP="009C5BEA">
      <w:pPr>
        <w:pStyle w:val="BodyText"/>
        <w:spacing w:before="103" w:line="211" w:lineRule="auto"/>
        <w:ind w:left="827" w:right="1050"/>
        <w:rPr>
          <w:b/>
          <w:color w:val="414042"/>
        </w:rPr>
      </w:pPr>
      <w:r w:rsidRPr="009C5BEA">
        <w:rPr>
          <w:b/>
          <w:color w:val="414042"/>
        </w:rPr>
        <w:t>Analysis of the literature and views coming from the consultations revelled that the National Partnership Agreements and the National Urban and Regional Service Delivery Strategy were key to the Closing the Gap initiative. That</w:t>
      </w:r>
      <w:r w:rsidR="00EC56D0" w:rsidRPr="009C5BEA">
        <w:rPr>
          <w:b/>
          <w:color w:val="414042"/>
        </w:rPr>
        <w:t xml:space="preserve"> they provided visible lines of </w:t>
      </w:r>
      <w:r w:rsidRPr="009C5BEA">
        <w:rPr>
          <w:b/>
          <w:color w:val="414042"/>
        </w:rPr>
        <w:t>sight for policy development and service delivery.</w:t>
      </w:r>
    </w:p>
    <w:p w:rsidR="00A20871" w:rsidRPr="009C5BEA" w:rsidRDefault="00A20871" w:rsidP="009C5BEA">
      <w:pPr>
        <w:pStyle w:val="BodyText"/>
        <w:spacing w:before="103" w:line="211" w:lineRule="auto"/>
        <w:ind w:left="827" w:right="1050"/>
        <w:rPr>
          <w:b/>
          <w:color w:val="414042"/>
        </w:rPr>
      </w:pPr>
    </w:p>
    <w:p w:rsidR="00A20871" w:rsidRPr="009C5BEA" w:rsidRDefault="00A20871" w:rsidP="009C5BEA">
      <w:pPr>
        <w:pStyle w:val="BodyText"/>
        <w:spacing w:before="103" w:line="211" w:lineRule="auto"/>
        <w:ind w:left="827" w:right="1050"/>
        <w:rPr>
          <w:b/>
          <w:color w:val="414042"/>
        </w:rPr>
      </w:pPr>
      <w:r w:rsidRPr="009C5BEA">
        <w:rPr>
          <w:b/>
          <w:color w:val="414042"/>
        </w:rPr>
        <w:t>Greater communication is needed about the complexity of working holistically with Indigenous communities and that initiatives being implemented are realistic and achievable.</w:t>
      </w:r>
    </w:p>
    <w:p w:rsidR="00A20871" w:rsidRPr="009C5BEA" w:rsidRDefault="00A20871" w:rsidP="009C5BEA">
      <w:pPr>
        <w:pStyle w:val="BodyText"/>
        <w:spacing w:before="103" w:line="211" w:lineRule="auto"/>
        <w:ind w:left="827" w:right="1050"/>
        <w:rPr>
          <w:b/>
          <w:color w:val="414042"/>
        </w:rPr>
      </w:pPr>
    </w:p>
    <w:p w:rsidR="00A20871" w:rsidRPr="009C5BEA" w:rsidRDefault="00A20871" w:rsidP="009C5BEA">
      <w:pPr>
        <w:pStyle w:val="BodyText"/>
        <w:spacing w:before="103" w:line="211" w:lineRule="auto"/>
        <w:ind w:left="827" w:right="1050"/>
        <w:rPr>
          <w:b/>
          <w:color w:val="414042"/>
        </w:rPr>
      </w:pPr>
      <w:r w:rsidRPr="009C5BEA">
        <w:rPr>
          <w:b/>
          <w:color w:val="414042"/>
        </w:rPr>
        <w:t>There was support for the idea that all states and territories implement the Closing the Gap framework.</w:t>
      </w:r>
    </w:p>
    <w:p w:rsidR="00A20871" w:rsidRPr="009C5BEA" w:rsidRDefault="00A20871" w:rsidP="009C5BEA">
      <w:pPr>
        <w:pStyle w:val="BodyText"/>
        <w:spacing w:before="103" w:line="211" w:lineRule="auto"/>
        <w:ind w:left="827" w:right="1050"/>
        <w:rPr>
          <w:b/>
          <w:color w:val="414042"/>
        </w:rPr>
      </w:pPr>
    </w:p>
    <w:p w:rsidR="00A20871" w:rsidRPr="009C5BEA" w:rsidRDefault="00A20871" w:rsidP="009C5BEA">
      <w:pPr>
        <w:pStyle w:val="BodyText"/>
        <w:spacing w:before="103" w:line="211" w:lineRule="auto"/>
        <w:ind w:left="827" w:right="1050"/>
        <w:rPr>
          <w:b/>
          <w:color w:val="414042"/>
        </w:rPr>
      </w:pPr>
      <w:r w:rsidRPr="009C5BEA">
        <w:rPr>
          <w:b/>
          <w:color w:val="414042"/>
        </w:rPr>
        <w:t>Evidence pointing to the interconnected nature of the targets in Closing the Gap to other indicators of Indigenous social and emotional wellbeing and that a more holistic view would be beneficial in targeting need and Closing the Gap.</w:t>
      </w:r>
    </w:p>
    <w:p w:rsidR="00A20871" w:rsidRPr="009C5BEA" w:rsidRDefault="00A20871" w:rsidP="009C5BEA">
      <w:pPr>
        <w:pStyle w:val="BodyText"/>
        <w:spacing w:before="103" w:line="211" w:lineRule="auto"/>
        <w:ind w:left="827" w:right="1050"/>
        <w:rPr>
          <w:b/>
          <w:color w:val="414042"/>
        </w:rPr>
      </w:pPr>
    </w:p>
    <w:p w:rsidR="00A20871" w:rsidRPr="009C5BEA" w:rsidRDefault="00A20871" w:rsidP="009C5BEA">
      <w:pPr>
        <w:pStyle w:val="BodyText"/>
        <w:spacing w:before="103" w:line="211" w:lineRule="auto"/>
        <w:ind w:left="827" w:right="1050"/>
        <w:rPr>
          <w:b/>
          <w:color w:val="414042"/>
        </w:rPr>
      </w:pPr>
      <w:r w:rsidRPr="009C5BEA">
        <w:rPr>
          <w:b/>
          <w:color w:val="414042"/>
        </w:rPr>
        <w:t>A prevailing theme from literature and our research is the concept of putting culture at the centre of Closing the Gap.</w:t>
      </w:r>
    </w:p>
    <w:p w:rsidR="00A20871" w:rsidRPr="00EC56D0" w:rsidRDefault="00A20871" w:rsidP="009C5BEA">
      <w:pPr>
        <w:pStyle w:val="BodyText"/>
        <w:spacing w:before="103" w:line="211" w:lineRule="auto"/>
        <w:ind w:left="827" w:right="1050"/>
        <w:rPr>
          <w:b/>
        </w:rPr>
      </w:pPr>
      <w:r w:rsidRPr="009C5BEA">
        <w:rPr>
          <w:b/>
          <w:color w:val="414042"/>
        </w:rPr>
        <w:t>The inclusion of cultural determinants alongside social determinants is necessary to address inequality between Indigenous and non-Indigenous Australians. The evidence suggests that culture is a resource rather than a barrier across all portfolio areas and the fact that it is not positioned strategically and centrally in policies and initiatives aimed at Closing the Gap reflects the typically deficit model of inquiry applied to Indigenous Australians.</w:t>
      </w:r>
    </w:p>
    <w:p w:rsidR="00EC56D0" w:rsidRDefault="00EC56D0" w:rsidP="00A20871">
      <w:pPr>
        <w:pStyle w:val="TableParagraph"/>
        <w:spacing w:before="110" w:line="211" w:lineRule="auto"/>
        <w:ind w:left="170" w:right="198"/>
        <w:rPr>
          <w:b/>
          <w:sz w:val="19"/>
        </w:rPr>
      </w:pPr>
    </w:p>
    <w:p w:rsidR="00EC56D0" w:rsidRPr="009C5BEA" w:rsidRDefault="00EC56D0" w:rsidP="0056638C">
      <w:pPr>
        <w:pStyle w:val="Heading3"/>
      </w:pPr>
      <w:r w:rsidRPr="009C5BEA">
        <w:t>Key Messages and Findings Continued…</w:t>
      </w:r>
    </w:p>
    <w:p w:rsidR="00EC56D0" w:rsidRPr="00EC56D0" w:rsidRDefault="00EC56D0" w:rsidP="00A20871">
      <w:pPr>
        <w:pStyle w:val="TableParagraph"/>
        <w:spacing w:before="110" w:line="211" w:lineRule="auto"/>
        <w:ind w:left="170" w:right="198"/>
        <w:rPr>
          <w:b/>
          <w:sz w:val="19"/>
        </w:rPr>
      </w:pPr>
    </w:p>
    <w:p w:rsidR="00A20871" w:rsidRPr="009C5BEA" w:rsidRDefault="00A20871" w:rsidP="009C5BEA">
      <w:pPr>
        <w:pStyle w:val="BodyText"/>
        <w:spacing w:before="103" w:line="211" w:lineRule="auto"/>
        <w:ind w:left="827" w:right="1050"/>
        <w:rPr>
          <w:b/>
          <w:color w:val="414042"/>
        </w:rPr>
      </w:pPr>
      <w:r w:rsidRPr="009C5BEA">
        <w:rPr>
          <w:b/>
          <w:color w:val="414042"/>
        </w:rPr>
        <w:t>In analysing data for this project, it is evident that for Closing the Gap targets to be met they need to be the right measurements of the right targets, set by Indigenous leaders and community. Targets need to be Indigenous-led in design to ensure applicability and appropriateness. Indigenous communities</w:t>
      </w:r>
      <w:r w:rsidR="00EC56D0" w:rsidRPr="009C5BEA">
        <w:rPr>
          <w:b/>
          <w:color w:val="414042"/>
        </w:rPr>
        <w:t xml:space="preserve"> </w:t>
      </w:r>
      <w:r w:rsidRPr="009C5BEA">
        <w:rPr>
          <w:b/>
          <w:color w:val="414042"/>
        </w:rPr>
        <w:t>need to have confidence that the targets will make a difference in their lives and therefore need to be specific to the community.</w:t>
      </w:r>
    </w:p>
    <w:p w:rsidR="00A20871" w:rsidRPr="009C5BEA" w:rsidRDefault="00A20871" w:rsidP="009C5BEA">
      <w:pPr>
        <w:pStyle w:val="BodyText"/>
        <w:spacing w:before="103" w:line="211" w:lineRule="auto"/>
        <w:ind w:left="827" w:right="1050"/>
        <w:rPr>
          <w:b/>
          <w:color w:val="414042"/>
        </w:rPr>
      </w:pPr>
    </w:p>
    <w:p w:rsidR="00A20871" w:rsidRPr="009C5BEA" w:rsidRDefault="00A20871" w:rsidP="009C5BEA">
      <w:pPr>
        <w:pStyle w:val="BodyText"/>
        <w:spacing w:before="103" w:line="211" w:lineRule="auto"/>
        <w:ind w:left="827" w:right="1050"/>
        <w:rPr>
          <w:b/>
          <w:color w:val="414042"/>
        </w:rPr>
      </w:pPr>
      <w:r w:rsidRPr="009C5BEA">
        <w:rPr>
          <w:b/>
          <w:color w:val="414042"/>
        </w:rPr>
        <w:t>Achievement or non-achievement of targets was viewed as coming from a deficit-based approach and needs to move to a strength-based approach.</w:t>
      </w:r>
    </w:p>
    <w:p w:rsidR="00B25950" w:rsidRPr="009C5BEA" w:rsidRDefault="00B25950" w:rsidP="009C5BEA">
      <w:pPr>
        <w:pStyle w:val="BodyText"/>
        <w:spacing w:before="103" w:line="211" w:lineRule="auto"/>
        <w:ind w:left="827" w:right="1050"/>
        <w:rPr>
          <w:b/>
          <w:color w:val="414042"/>
        </w:rPr>
      </w:pPr>
    </w:p>
    <w:p w:rsidR="00B25950" w:rsidRPr="009C5BEA" w:rsidRDefault="00B25950" w:rsidP="009C5BEA">
      <w:pPr>
        <w:pStyle w:val="BodyText"/>
        <w:spacing w:before="103" w:line="211" w:lineRule="auto"/>
        <w:ind w:left="827" w:right="1050"/>
        <w:rPr>
          <w:b/>
          <w:color w:val="414042"/>
        </w:rPr>
      </w:pPr>
      <w:r w:rsidRPr="009C5BEA">
        <w:rPr>
          <w:b/>
          <w:color w:val="414042"/>
        </w:rPr>
        <w:t>Targets lose sight of outcomes by counting output. A human rights approach can mean significant progress is made on an individual or community level without ticking the output box. There was</w:t>
      </w:r>
      <w:r w:rsidR="00EC56D0" w:rsidRPr="009C5BEA">
        <w:rPr>
          <w:b/>
          <w:color w:val="414042"/>
        </w:rPr>
        <w:t xml:space="preserve"> </w:t>
      </w:r>
      <w:r w:rsidRPr="009C5BEA">
        <w:rPr>
          <w:b/>
          <w:color w:val="414042"/>
        </w:rPr>
        <w:t>a call throughout the consultations to measure outcomes and celebrate those successes.</w:t>
      </w:r>
    </w:p>
    <w:p w:rsidR="00B25950" w:rsidRPr="009C5BEA" w:rsidRDefault="00B25950" w:rsidP="009C5BEA">
      <w:pPr>
        <w:pStyle w:val="BodyText"/>
        <w:spacing w:before="103" w:line="211" w:lineRule="auto"/>
        <w:ind w:left="827" w:right="1050"/>
        <w:rPr>
          <w:b/>
          <w:color w:val="414042"/>
        </w:rPr>
      </w:pPr>
    </w:p>
    <w:p w:rsidR="00B25950" w:rsidRPr="009C5BEA" w:rsidRDefault="00B25950" w:rsidP="009C5BEA">
      <w:pPr>
        <w:pStyle w:val="BodyText"/>
        <w:spacing w:before="103" w:line="211" w:lineRule="auto"/>
        <w:ind w:left="827" w:right="1050"/>
        <w:rPr>
          <w:b/>
          <w:color w:val="414042"/>
        </w:rPr>
      </w:pPr>
      <w:r w:rsidRPr="009C5BEA">
        <w:rPr>
          <w:b/>
          <w:color w:val="414042"/>
        </w:rPr>
        <w:t>Stakeholders wanted achievable targets, and some suggested having several ‘touch-points’ in the targets which could be measured at interim points, allowing for the target to be reassessed.</w:t>
      </w:r>
    </w:p>
    <w:p w:rsidR="00EC56D0" w:rsidRPr="009C5BEA" w:rsidRDefault="00EC56D0" w:rsidP="009C5BEA">
      <w:pPr>
        <w:pStyle w:val="BodyText"/>
        <w:spacing w:before="103" w:line="211" w:lineRule="auto"/>
        <w:ind w:left="827" w:right="1050"/>
        <w:rPr>
          <w:b/>
          <w:color w:val="414042"/>
        </w:rPr>
      </w:pPr>
    </w:p>
    <w:p w:rsidR="00EE2C67" w:rsidRPr="009C5BEA" w:rsidRDefault="00EE2C67" w:rsidP="009C5BEA">
      <w:pPr>
        <w:pStyle w:val="BodyText"/>
        <w:spacing w:before="103" w:line="211" w:lineRule="auto"/>
        <w:ind w:left="827" w:right="1050"/>
        <w:rPr>
          <w:b/>
          <w:color w:val="414042"/>
        </w:rPr>
      </w:pPr>
      <w:r w:rsidRPr="009C5BEA">
        <w:rPr>
          <w:b/>
          <w:color w:val="414042"/>
        </w:rPr>
        <w:t>Ensuring a greater emphasis on interrogation of the success or failure to achieve targets through applying an action learning approach was suggested as a way of better understanding the outcome and incorporating learnings. This approach aligns with the concept of place-based responses to tackling problems.</w:t>
      </w:r>
    </w:p>
    <w:p w:rsidR="00EE2C67" w:rsidRPr="009C5BEA" w:rsidRDefault="00EE2C67" w:rsidP="009C5BEA">
      <w:pPr>
        <w:pStyle w:val="BodyText"/>
        <w:spacing w:before="103" w:line="211" w:lineRule="auto"/>
        <w:ind w:left="827" w:right="1050"/>
        <w:rPr>
          <w:b/>
          <w:color w:val="414042"/>
        </w:rPr>
      </w:pPr>
    </w:p>
    <w:p w:rsidR="00EE2C67" w:rsidRPr="009C5BEA" w:rsidRDefault="00EE2C67" w:rsidP="009C5BEA">
      <w:pPr>
        <w:pStyle w:val="BodyText"/>
        <w:spacing w:before="103" w:line="211" w:lineRule="auto"/>
        <w:ind w:left="827" w:right="1050"/>
        <w:rPr>
          <w:b/>
          <w:color w:val="414042"/>
        </w:rPr>
      </w:pPr>
      <w:r w:rsidRPr="009C5BEA">
        <w:rPr>
          <w:b/>
          <w:color w:val="414042"/>
        </w:rPr>
        <w:t>It was a core theme of the literature and the consultations that projects be Indigenous-led. This means allowing communities to analyse the issues and set their own targets.</w:t>
      </w:r>
    </w:p>
    <w:p w:rsidR="00EE2C67" w:rsidRPr="009C5BEA" w:rsidRDefault="00EE2C67" w:rsidP="009C5BEA">
      <w:pPr>
        <w:pStyle w:val="BodyText"/>
        <w:spacing w:before="103" w:line="211" w:lineRule="auto"/>
        <w:ind w:left="827" w:right="1050"/>
        <w:rPr>
          <w:b/>
          <w:color w:val="414042"/>
        </w:rPr>
      </w:pPr>
    </w:p>
    <w:p w:rsidR="00EE2C67" w:rsidRPr="009C5BEA" w:rsidRDefault="00EE2C67" w:rsidP="009C5BEA">
      <w:pPr>
        <w:pStyle w:val="BodyText"/>
        <w:spacing w:before="103" w:line="211" w:lineRule="auto"/>
        <w:ind w:left="827" w:right="1050"/>
        <w:rPr>
          <w:b/>
          <w:color w:val="414042"/>
        </w:rPr>
      </w:pPr>
      <w:r w:rsidRPr="009C5BEA">
        <w:rPr>
          <w:b/>
          <w:color w:val="414042"/>
        </w:rPr>
        <w:t>Both the literature and the personal experiences of those in the system support the contention that outcomes are better where there are Indigenous, and community designed and led programs. There is also ample evidence about what constitutes engagement.</w:t>
      </w:r>
    </w:p>
    <w:p w:rsidR="00EE2C67" w:rsidRPr="009C5BEA" w:rsidRDefault="00EE2C67" w:rsidP="009C5BEA">
      <w:pPr>
        <w:pStyle w:val="BodyText"/>
        <w:spacing w:before="103" w:line="211" w:lineRule="auto"/>
        <w:ind w:left="827" w:right="1050"/>
        <w:rPr>
          <w:b/>
          <w:color w:val="414042"/>
        </w:rPr>
      </w:pPr>
    </w:p>
    <w:p w:rsidR="00EE2C67" w:rsidRPr="009C5BEA" w:rsidRDefault="00EE2C67" w:rsidP="009C5BEA">
      <w:pPr>
        <w:pStyle w:val="BodyText"/>
        <w:spacing w:before="103" w:line="211" w:lineRule="auto"/>
        <w:ind w:left="827" w:right="1050"/>
        <w:rPr>
          <w:b/>
          <w:color w:val="414042"/>
        </w:rPr>
      </w:pPr>
      <w:r w:rsidRPr="009C5BEA">
        <w:rPr>
          <w:b/>
          <w:color w:val="414042"/>
        </w:rPr>
        <w:t>Where there has not been an appropriate degree of engagement of Indigenous Australians is in dealing with the relationship between Indigenous and non- Indigenous Australians and government. Closing the Gap in the main is understood by Indigenous Australia to require community and individual empowerment to meet the objectives. There is a need for government to broker better relationships been Aboriginal and non-Aboriginal Australia. For example, there are funds set aside in the NDIS initiative to tackle community attitudes to disability.</w:t>
      </w:r>
    </w:p>
    <w:p w:rsidR="00EE2C67" w:rsidRPr="009C5BEA" w:rsidRDefault="00EE2C67" w:rsidP="009C5BEA">
      <w:pPr>
        <w:pStyle w:val="BodyText"/>
        <w:spacing w:before="103" w:line="211" w:lineRule="auto"/>
        <w:ind w:left="827" w:right="1050"/>
        <w:rPr>
          <w:b/>
          <w:color w:val="414042"/>
        </w:rPr>
      </w:pPr>
    </w:p>
    <w:p w:rsidR="00EE2C67" w:rsidRPr="009C5BEA" w:rsidRDefault="00EE2C67" w:rsidP="009C5BEA">
      <w:pPr>
        <w:pStyle w:val="BodyText"/>
        <w:spacing w:before="103" w:line="211" w:lineRule="auto"/>
        <w:ind w:left="827" w:right="1050"/>
        <w:rPr>
          <w:b/>
          <w:color w:val="414042"/>
        </w:rPr>
        <w:sectPr w:rsidR="00EE2C67" w:rsidRPr="009C5BEA">
          <w:pgSz w:w="11910" w:h="16840"/>
          <w:pgMar w:top="820" w:right="180" w:bottom="380" w:left="420" w:header="0" w:footer="183" w:gutter="0"/>
          <w:cols w:space="720"/>
        </w:sectPr>
      </w:pPr>
      <w:r w:rsidRPr="009C5BEA">
        <w:rPr>
          <w:b/>
          <w:color w:val="414042"/>
        </w:rPr>
        <w:t>The implication for Closing the Gap is that all the things that are barriers to reaching targets need to be addressed – all of the social determinants and the cultural determinants of health, including</w:t>
      </w:r>
      <w:r w:rsidR="00EC56D0" w:rsidRPr="009C5BEA">
        <w:rPr>
          <w:b/>
          <w:color w:val="414042"/>
        </w:rPr>
        <w:t xml:space="preserve"> </w:t>
      </w:r>
      <w:r w:rsidRPr="009C5BEA">
        <w:rPr>
          <w:b/>
          <w:color w:val="414042"/>
        </w:rPr>
        <w:t>connection to family, community, Country, language and culture (positively correlated) and racism (negatively correlated).</w:t>
      </w:r>
    </w:p>
    <w:p w:rsidR="00EC56D0" w:rsidRDefault="00EC56D0">
      <w:pPr>
        <w:rPr>
          <w:b/>
          <w:bCs/>
          <w:color w:val="03626A"/>
          <w:sz w:val="34"/>
          <w:szCs w:val="34"/>
        </w:rPr>
      </w:pPr>
      <w:bookmarkStart w:id="15" w:name="References"/>
      <w:bookmarkStart w:id="16" w:name="_bookmark10"/>
      <w:bookmarkEnd w:id="15"/>
      <w:bookmarkEnd w:id="16"/>
      <w:r>
        <w:rPr>
          <w:color w:val="03626A"/>
        </w:rPr>
        <w:br w:type="page"/>
      </w:r>
    </w:p>
    <w:p w:rsidR="00580ABF" w:rsidRDefault="00E352FF" w:rsidP="00136FBE">
      <w:pPr>
        <w:pStyle w:val="Heading2"/>
      </w:pPr>
      <w:r>
        <w:t>REFERENCES</w:t>
      </w:r>
    </w:p>
    <w:p w:rsidR="00580ABF" w:rsidRDefault="00E352FF">
      <w:pPr>
        <w:spacing w:before="67" w:line="230" w:lineRule="exact"/>
        <w:ind w:left="827"/>
        <w:rPr>
          <w:sz w:val="18"/>
        </w:rPr>
      </w:pPr>
      <w:bookmarkStart w:id="17" w:name="_Hlk5027476181"/>
      <w:bookmarkEnd w:id="17"/>
      <w:r>
        <w:rPr>
          <w:color w:val="191919"/>
          <w:sz w:val="18"/>
        </w:rPr>
        <w:t>Altman,</w:t>
      </w:r>
      <w:r>
        <w:rPr>
          <w:color w:val="191919"/>
          <w:spacing w:val="-5"/>
          <w:sz w:val="18"/>
        </w:rPr>
        <w:t xml:space="preserve"> </w:t>
      </w:r>
      <w:r>
        <w:rPr>
          <w:color w:val="191919"/>
          <w:sz w:val="18"/>
        </w:rPr>
        <w:t>J.,</w:t>
      </w:r>
      <w:r>
        <w:rPr>
          <w:color w:val="191919"/>
          <w:spacing w:val="-5"/>
          <w:sz w:val="18"/>
        </w:rPr>
        <w:t xml:space="preserve"> </w:t>
      </w:r>
      <w:r>
        <w:rPr>
          <w:color w:val="191919"/>
          <w:sz w:val="18"/>
        </w:rPr>
        <w:t>2013.</w:t>
      </w:r>
      <w:r>
        <w:rPr>
          <w:color w:val="191919"/>
          <w:spacing w:val="-4"/>
          <w:sz w:val="18"/>
        </w:rPr>
        <w:t xml:space="preserve"> </w:t>
      </w:r>
      <w:r>
        <w:rPr>
          <w:color w:val="191919"/>
          <w:sz w:val="18"/>
        </w:rPr>
        <w:t>'Evaluation</w:t>
      </w:r>
      <w:r>
        <w:rPr>
          <w:color w:val="191919"/>
          <w:spacing w:val="-5"/>
          <w:sz w:val="18"/>
        </w:rPr>
        <w:t xml:space="preserve"> </w:t>
      </w:r>
      <w:r>
        <w:rPr>
          <w:color w:val="191919"/>
          <w:sz w:val="18"/>
        </w:rPr>
        <w:t>fetishism'</w:t>
      </w:r>
      <w:r>
        <w:rPr>
          <w:color w:val="191919"/>
          <w:spacing w:val="-5"/>
          <w:sz w:val="18"/>
        </w:rPr>
        <w:t xml:space="preserve"> </w:t>
      </w:r>
      <w:r>
        <w:rPr>
          <w:color w:val="191919"/>
          <w:sz w:val="18"/>
        </w:rPr>
        <w:t>is</w:t>
      </w:r>
      <w:r>
        <w:rPr>
          <w:color w:val="191919"/>
          <w:spacing w:val="-5"/>
          <w:sz w:val="18"/>
        </w:rPr>
        <w:t xml:space="preserve"> </w:t>
      </w:r>
      <w:r>
        <w:rPr>
          <w:color w:val="191919"/>
          <w:sz w:val="18"/>
        </w:rPr>
        <w:t>not</w:t>
      </w:r>
      <w:r>
        <w:rPr>
          <w:color w:val="191919"/>
          <w:spacing w:val="-5"/>
          <w:sz w:val="18"/>
        </w:rPr>
        <w:t xml:space="preserve"> </w:t>
      </w:r>
      <w:r>
        <w:rPr>
          <w:color w:val="191919"/>
          <w:sz w:val="18"/>
        </w:rPr>
        <w:t>Closing</w:t>
      </w:r>
      <w:r>
        <w:rPr>
          <w:color w:val="191919"/>
          <w:spacing w:val="-5"/>
          <w:sz w:val="18"/>
        </w:rPr>
        <w:t xml:space="preserve"> </w:t>
      </w:r>
      <w:r>
        <w:rPr>
          <w:color w:val="191919"/>
          <w:sz w:val="18"/>
        </w:rPr>
        <w:t>the</w:t>
      </w:r>
      <w:r>
        <w:rPr>
          <w:color w:val="191919"/>
          <w:spacing w:val="-4"/>
          <w:sz w:val="18"/>
        </w:rPr>
        <w:t xml:space="preserve"> </w:t>
      </w:r>
      <w:r>
        <w:rPr>
          <w:color w:val="191919"/>
          <w:sz w:val="18"/>
        </w:rPr>
        <w:t>Gap.</w:t>
      </w:r>
    </w:p>
    <w:p w:rsidR="00580ABF" w:rsidRDefault="00E352FF">
      <w:pPr>
        <w:spacing w:line="230" w:lineRule="exact"/>
        <w:ind w:left="827"/>
        <w:rPr>
          <w:sz w:val="18"/>
        </w:rPr>
      </w:pPr>
      <w:r>
        <w:rPr>
          <w:i/>
          <w:color w:val="191919"/>
          <w:sz w:val="18"/>
        </w:rPr>
        <w:t>Crikey</w:t>
      </w:r>
      <w:r>
        <w:rPr>
          <w:color w:val="191919"/>
          <w:sz w:val="18"/>
        </w:rPr>
        <w:t>, 30 April.</w:t>
      </w:r>
    </w:p>
    <w:p w:rsidR="00580ABF" w:rsidRDefault="00E352FF">
      <w:pPr>
        <w:spacing w:before="103" w:line="184" w:lineRule="auto"/>
        <w:ind w:left="827" w:right="277"/>
        <w:rPr>
          <w:sz w:val="18"/>
        </w:rPr>
      </w:pPr>
      <w:r>
        <w:rPr>
          <w:color w:val="191919"/>
          <w:sz w:val="18"/>
        </w:rPr>
        <w:t xml:space="preserve">Altman, J., Biddle, N. &amp; Hunter, B., 2008. How Realistic are the Prospects for 'Closing the Gaps' in Socioeconomic Outcomes for Indigenous Australians?. </w:t>
      </w:r>
      <w:r>
        <w:rPr>
          <w:i/>
          <w:color w:val="191919"/>
          <w:sz w:val="18"/>
        </w:rPr>
        <w:t>CAEPR Discussion Paper</w:t>
      </w:r>
      <w:r>
        <w:rPr>
          <w:color w:val="191919"/>
          <w:sz w:val="18"/>
        </w:rPr>
        <w:t>, Volume 287.</w:t>
      </w:r>
    </w:p>
    <w:p w:rsidR="00580ABF" w:rsidRDefault="00E352FF">
      <w:pPr>
        <w:spacing w:before="114" w:line="184" w:lineRule="auto"/>
        <w:ind w:left="827" w:right="211"/>
        <w:rPr>
          <w:i/>
          <w:sz w:val="18"/>
        </w:rPr>
      </w:pPr>
      <w:r>
        <w:rPr>
          <w:color w:val="191919"/>
          <w:sz w:val="18"/>
        </w:rPr>
        <w:t xml:space="preserve">Altman, J. &amp; Hunter, B., 2006. Influencing Indigenous policy making with statistics. In: B. Hunter, ed. </w:t>
      </w:r>
      <w:r>
        <w:rPr>
          <w:i/>
          <w:color w:val="191919"/>
          <w:sz w:val="18"/>
        </w:rPr>
        <w:t>Indigenous Socioeconomic Outcomes: Assessing Recent Evidence.</w:t>
      </w:r>
    </w:p>
    <w:p w:rsidR="00580ABF" w:rsidRDefault="00E352FF">
      <w:pPr>
        <w:spacing w:line="212" w:lineRule="exact"/>
        <w:ind w:left="827"/>
        <w:rPr>
          <w:sz w:val="18"/>
        </w:rPr>
      </w:pPr>
      <w:r>
        <w:rPr>
          <w:color w:val="191919"/>
          <w:sz w:val="18"/>
        </w:rPr>
        <w:t>Canberra: ANU ePress, pp. 311-319.</w:t>
      </w:r>
    </w:p>
    <w:p w:rsidR="00580ABF" w:rsidRDefault="00E352FF">
      <w:pPr>
        <w:spacing w:before="103" w:line="184" w:lineRule="auto"/>
        <w:ind w:left="827"/>
        <w:rPr>
          <w:sz w:val="18"/>
        </w:rPr>
      </w:pPr>
      <w:r>
        <w:rPr>
          <w:color w:val="191919"/>
          <w:sz w:val="18"/>
        </w:rPr>
        <w:t xml:space="preserve">Australian Government, 2014. </w:t>
      </w:r>
      <w:r>
        <w:rPr>
          <w:i/>
          <w:color w:val="191919"/>
          <w:sz w:val="18"/>
        </w:rPr>
        <w:t xml:space="preserve">National Partnership Agreement on Remote Service Delivery Evaluation 2013, </w:t>
      </w:r>
      <w:r>
        <w:rPr>
          <w:color w:val="191919"/>
          <w:sz w:val="18"/>
        </w:rPr>
        <w:t>Canberra: Commonwealth of Australia.</w:t>
      </w:r>
    </w:p>
    <w:p w:rsidR="00580ABF" w:rsidRDefault="00E352FF">
      <w:pPr>
        <w:spacing w:before="114" w:line="184" w:lineRule="auto"/>
        <w:ind w:left="827" w:right="67"/>
        <w:rPr>
          <w:sz w:val="18"/>
        </w:rPr>
      </w:pPr>
      <w:r>
        <w:rPr>
          <w:color w:val="191919"/>
          <w:sz w:val="18"/>
        </w:rPr>
        <w:t xml:space="preserve">Australian Institute of Health and Welfare, 2013. </w:t>
      </w:r>
      <w:r>
        <w:rPr>
          <w:i/>
          <w:color w:val="191919"/>
          <w:sz w:val="18"/>
        </w:rPr>
        <w:t xml:space="preserve">What works to overcome Indigenous disadvantage: Key learnings and gaps in the evidence 2011-2012, </w:t>
      </w:r>
      <w:r>
        <w:rPr>
          <w:color w:val="191919"/>
          <w:sz w:val="18"/>
        </w:rPr>
        <w:t>Canberra: Australian Institute of Health and Welfare.</w:t>
      </w:r>
    </w:p>
    <w:p w:rsidR="00580ABF" w:rsidRDefault="00E352FF">
      <w:pPr>
        <w:spacing w:before="114" w:line="184" w:lineRule="auto"/>
        <w:ind w:left="827" w:right="162"/>
        <w:rPr>
          <w:sz w:val="18"/>
        </w:rPr>
      </w:pPr>
      <w:r>
        <w:rPr>
          <w:color w:val="191919"/>
          <w:sz w:val="18"/>
        </w:rPr>
        <w:t xml:space="preserve">Australian Institute of Health and Welfare, 2015. </w:t>
      </w:r>
      <w:r>
        <w:rPr>
          <w:i/>
          <w:color w:val="191919"/>
          <w:sz w:val="18"/>
        </w:rPr>
        <w:t xml:space="preserve">The health and welfare of Australia’s Aboriginal and Torres Strait Islander, </w:t>
      </w:r>
      <w:r>
        <w:rPr>
          <w:color w:val="191919"/>
          <w:sz w:val="18"/>
        </w:rPr>
        <w:t>Canberra: Australian Institute of Health and Welfare.</w:t>
      </w:r>
    </w:p>
    <w:p w:rsidR="00580ABF" w:rsidRDefault="00E352FF">
      <w:pPr>
        <w:spacing w:before="114" w:line="184" w:lineRule="auto"/>
        <w:ind w:left="827"/>
        <w:rPr>
          <w:sz w:val="18"/>
        </w:rPr>
      </w:pPr>
      <w:r>
        <w:rPr>
          <w:color w:val="191919"/>
          <w:sz w:val="18"/>
        </w:rPr>
        <w:t>Australian Public Service Commission, 2012. Tackling wicked problems: A public policy perspective. 2012 May.</w:t>
      </w:r>
    </w:p>
    <w:p w:rsidR="00580ABF" w:rsidRDefault="00E352FF">
      <w:pPr>
        <w:spacing w:before="114" w:line="184" w:lineRule="auto"/>
        <w:ind w:left="827"/>
        <w:rPr>
          <w:sz w:val="18"/>
        </w:rPr>
      </w:pPr>
      <w:r>
        <w:rPr>
          <w:color w:val="191919"/>
          <w:sz w:val="18"/>
        </w:rPr>
        <w:t xml:space="preserve">Behrendt, L., 2008. Rethinking indigenous policy. </w:t>
      </w:r>
      <w:r>
        <w:rPr>
          <w:i/>
          <w:color w:val="191919"/>
          <w:sz w:val="18"/>
        </w:rPr>
        <w:t>Federal Politics</w:t>
      </w:r>
      <w:r>
        <w:rPr>
          <w:color w:val="191919"/>
          <w:sz w:val="18"/>
        </w:rPr>
        <w:t>, 25 August.</w:t>
      </w:r>
    </w:p>
    <w:p w:rsidR="00580ABF" w:rsidRDefault="00E352FF">
      <w:pPr>
        <w:spacing w:before="114" w:line="184" w:lineRule="auto"/>
        <w:ind w:left="827"/>
        <w:rPr>
          <w:sz w:val="18"/>
        </w:rPr>
      </w:pPr>
      <w:r>
        <w:rPr>
          <w:color w:val="191919"/>
          <w:sz w:val="18"/>
        </w:rPr>
        <w:t xml:space="preserve">Biddle, N. &amp; Markham, </w:t>
      </w:r>
      <w:r>
        <w:rPr>
          <w:color w:val="191919"/>
          <w:spacing w:val="-6"/>
          <w:sz w:val="18"/>
        </w:rPr>
        <w:t xml:space="preserve">F., </w:t>
      </w:r>
      <w:r>
        <w:rPr>
          <w:color w:val="191919"/>
          <w:sz w:val="18"/>
        </w:rPr>
        <w:t>2017a. Census data shows just</w:t>
      </w:r>
      <w:r>
        <w:rPr>
          <w:color w:val="191919"/>
          <w:spacing w:val="-25"/>
          <w:sz w:val="18"/>
        </w:rPr>
        <w:t xml:space="preserve"> </w:t>
      </w:r>
      <w:r>
        <w:rPr>
          <w:color w:val="191919"/>
          <w:sz w:val="18"/>
        </w:rPr>
        <w:t xml:space="preserve">how bad we've been at closing inequality gaps. </w:t>
      </w:r>
      <w:r>
        <w:rPr>
          <w:i/>
          <w:color w:val="191919"/>
          <w:sz w:val="18"/>
        </w:rPr>
        <w:t>The Conversation</w:t>
      </w:r>
      <w:r>
        <w:rPr>
          <w:color w:val="191919"/>
          <w:sz w:val="18"/>
        </w:rPr>
        <w:t xml:space="preserve">, 27 </w:t>
      </w:r>
      <w:r>
        <w:rPr>
          <w:color w:val="191919"/>
          <w:spacing w:val="-4"/>
          <w:sz w:val="18"/>
        </w:rPr>
        <w:t>October.</w:t>
      </w:r>
    </w:p>
    <w:p w:rsidR="00580ABF" w:rsidRDefault="00E352FF">
      <w:pPr>
        <w:spacing w:before="114" w:line="184" w:lineRule="auto"/>
        <w:ind w:left="827" w:right="67"/>
        <w:rPr>
          <w:sz w:val="18"/>
        </w:rPr>
      </w:pPr>
      <w:r>
        <w:rPr>
          <w:color w:val="191919"/>
          <w:sz w:val="18"/>
        </w:rPr>
        <w:t xml:space="preserve">Biddle, N. &amp; Markham, F., 2017b. Radical rethink of Closing the Gap required, despite some progress. </w:t>
      </w:r>
      <w:r>
        <w:rPr>
          <w:i/>
          <w:color w:val="191919"/>
          <w:sz w:val="18"/>
        </w:rPr>
        <w:t>The Conversation</w:t>
      </w:r>
      <w:r>
        <w:rPr>
          <w:color w:val="191919"/>
          <w:sz w:val="18"/>
        </w:rPr>
        <w:t>, 4 December.</w:t>
      </w:r>
    </w:p>
    <w:p w:rsidR="00580ABF" w:rsidRDefault="00E352FF">
      <w:pPr>
        <w:spacing w:before="114" w:line="184" w:lineRule="auto"/>
        <w:ind w:left="827"/>
        <w:rPr>
          <w:sz w:val="18"/>
        </w:rPr>
      </w:pPr>
      <w:r>
        <w:rPr>
          <w:color w:val="191919"/>
          <w:sz w:val="18"/>
        </w:rPr>
        <w:t xml:space="preserve">Calma, T., 2007. </w:t>
      </w:r>
      <w:r>
        <w:rPr>
          <w:i/>
          <w:color w:val="191919"/>
          <w:sz w:val="18"/>
        </w:rPr>
        <w:t xml:space="preserve">What makes good Indigenous Policy - Good, Better, Best - Policy Making for Indigenous Australians. </w:t>
      </w:r>
      <w:r>
        <w:rPr>
          <w:color w:val="191919"/>
          <w:sz w:val="18"/>
        </w:rPr>
        <w:t>s.l., Australian Human Rights Commission.</w:t>
      </w:r>
    </w:p>
    <w:p w:rsidR="00580ABF" w:rsidRDefault="00E352FF">
      <w:pPr>
        <w:spacing w:before="114" w:line="184" w:lineRule="auto"/>
        <w:ind w:left="827" w:right="3"/>
        <w:rPr>
          <w:sz w:val="18"/>
        </w:rPr>
      </w:pPr>
      <w:r>
        <w:rPr>
          <w:color w:val="191919"/>
          <w:sz w:val="18"/>
        </w:rPr>
        <w:t xml:space="preserve">COAG, 2009. </w:t>
      </w:r>
      <w:r>
        <w:rPr>
          <w:i/>
          <w:color w:val="191919"/>
          <w:sz w:val="18"/>
        </w:rPr>
        <w:t>National Indigenous Reform Agreement</w:t>
      </w:r>
      <w:r>
        <w:rPr>
          <w:i/>
          <w:color w:val="191919"/>
          <w:spacing w:val="-28"/>
          <w:sz w:val="18"/>
        </w:rPr>
        <w:t xml:space="preserve"> </w:t>
      </w:r>
      <w:r>
        <w:rPr>
          <w:i/>
          <w:color w:val="191919"/>
          <w:sz w:val="18"/>
        </w:rPr>
        <w:t xml:space="preserve">(Closing the Gap), </w:t>
      </w:r>
      <w:r>
        <w:rPr>
          <w:color w:val="191919"/>
          <w:sz w:val="18"/>
        </w:rPr>
        <w:t>Canberra: Council of Australian</w:t>
      </w:r>
      <w:r>
        <w:rPr>
          <w:color w:val="191919"/>
          <w:spacing w:val="-15"/>
          <w:sz w:val="18"/>
        </w:rPr>
        <w:t xml:space="preserve"> </w:t>
      </w:r>
      <w:r>
        <w:rPr>
          <w:color w:val="191919"/>
          <w:sz w:val="18"/>
        </w:rPr>
        <w:t>Governments.</w:t>
      </w:r>
    </w:p>
    <w:p w:rsidR="00580ABF" w:rsidRDefault="00E352FF">
      <w:pPr>
        <w:spacing w:before="114" w:line="184" w:lineRule="auto"/>
        <w:ind w:left="827"/>
        <w:rPr>
          <w:sz w:val="18"/>
        </w:rPr>
      </w:pPr>
      <w:r>
        <w:rPr>
          <w:color w:val="191919"/>
          <w:sz w:val="18"/>
        </w:rPr>
        <w:t xml:space="preserve">Collins, B., 2016. Indigenous leaders respond to the Closing the Gap progress report. </w:t>
      </w:r>
      <w:r>
        <w:rPr>
          <w:i/>
          <w:color w:val="191919"/>
          <w:sz w:val="18"/>
        </w:rPr>
        <w:t>ABC Premium News</w:t>
      </w:r>
      <w:r>
        <w:rPr>
          <w:color w:val="191919"/>
          <w:sz w:val="18"/>
        </w:rPr>
        <w:t>, 10 February.</w:t>
      </w:r>
    </w:p>
    <w:p w:rsidR="00580ABF" w:rsidRDefault="00E352FF">
      <w:pPr>
        <w:spacing w:before="114" w:line="184" w:lineRule="auto"/>
        <w:ind w:left="827" w:right="186"/>
        <w:rPr>
          <w:sz w:val="18"/>
        </w:rPr>
      </w:pPr>
      <w:r>
        <w:rPr>
          <w:color w:val="191919"/>
          <w:sz w:val="18"/>
        </w:rPr>
        <w:t xml:space="preserve">Cowlishaw, G., 2003. Disappointing Indigenous People: Violence and the Refusal of Help. </w:t>
      </w:r>
      <w:r>
        <w:rPr>
          <w:i/>
          <w:color w:val="191919"/>
          <w:sz w:val="18"/>
        </w:rPr>
        <w:t xml:space="preserve">Public Culture, </w:t>
      </w:r>
      <w:r>
        <w:rPr>
          <w:color w:val="191919"/>
          <w:sz w:val="18"/>
        </w:rPr>
        <w:t>15(1), pp. 103-125.</w:t>
      </w:r>
    </w:p>
    <w:p w:rsidR="00580ABF" w:rsidRDefault="00E352FF">
      <w:pPr>
        <w:spacing w:before="114" w:line="184" w:lineRule="auto"/>
        <w:ind w:left="827"/>
        <w:rPr>
          <w:sz w:val="18"/>
        </w:rPr>
      </w:pPr>
      <w:r>
        <w:rPr>
          <w:color w:val="191919"/>
          <w:sz w:val="18"/>
        </w:rPr>
        <w:t xml:space="preserve">Cox, E., 2014. Closing the Gap: we know what works, so why don't we do it?. </w:t>
      </w:r>
      <w:r>
        <w:rPr>
          <w:i/>
          <w:color w:val="191919"/>
          <w:sz w:val="18"/>
        </w:rPr>
        <w:t>The Conversation</w:t>
      </w:r>
      <w:r>
        <w:rPr>
          <w:color w:val="191919"/>
          <w:sz w:val="18"/>
        </w:rPr>
        <w:t>, 19 February.</w:t>
      </w:r>
    </w:p>
    <w:p w:rsidR="00580ABF" w:rsidRDefault="00E352FF">
      <w:pPr>
        <w:spacing w:before="114" w:line="184" w:lineRule="auto"/>
        <w:ind w:left="827"/>
        <w:rPr>
          <w:sz w:val="18"/>
        </w:rPr>
      </w:pPr>
      <w:r>
        <w:rPr>
          <w:color w:val="191919"/>
          <w:sz w:val="18"/>
        </w:rPr>
        <w:t xml:space="preserve">Davies, K., 2012. Closing the gap, or making it wider? Putting a value on Indigenous jobs. </w:t>
      </w:r>
      <w:r>
        <w:rPr>
          <w:i/>
          <w:color w:val="191919"/>
          <w:sz w:val="18"/>
        </w:rPr>
        <w:t>The Conversation</w:t>
      </w:r>
      <w:r>
        <w:rPr>
          <w:color w:val="191919"/>
          <w:sz w:val="18"/>
        </w:rPr>
        <w:t>, 18 May.</w:t>
      </w:r>
    </w:p>
    <w:p w:rsidR="00580ABF" w:rsidRDefault="00E352FF">
      <w:pPr>
        <w:pStyle w:val="BodyText"/>
        <w:rPr>
          <w:sz w:val="18"/>
        </w:rPr>
      </w:pPr>
      <w:r>
        <w:br w:type="column"/>
      </w:r>
    </w:p>
    <w:p w:rsidR="00580ABF" w:rsidRDefault="00580ABF">
      <w:pPr>
        <w:pStyle w:val="BodyText"/>
        <w:spacing w:before="6"/>
        <w:rPr>
          <w:sz w:val="20"/>
        </w:rPr>
      </w:pPr>
    </w:p>
    <w:p w:rsidR="00580ABF" w:rsidRDefault="00E352FF">
      <w:pPr>
        <w:spacing w:line="184" w:lineRule="auto"/>
        <w:ind w:left="402" w:right="1362"/>
        <w:jc w:val="both"/>
        <w:rPr>
          <w:sz w:val="18"/>
        </w:rPr>
      </w:pPr>
      <w:r>
        <w:rPr>
          <w:color w:val="191919"/>
          <w:sz w:val="18"/>
        </w:rPr>
        <w:t>Department</w:t>
      </w:r>
      <w:r>
        <w:rPr>
          <w:color w:val="191919"/>
          <w:spacing w:val="-4"/>
          <w:sz w:val="18"/>
        </w:rPr>
        <w:t xml:space="preserve"> </w:t>
      </w:r>
      <w:r>
        <w:rPr>
          <w:color w:val="191919"/>
          <w:sz w:val="18"/>
        </w:rPr>
        <w:t>of</w:t>
      </w:r>
      <w:r>
        <w:rPr>
          <w:color w:val="191919"/>
          <w:spacing w:val="-5"/>
          <w:sz w:val="18"/>
        </w:rPr>
        <w:t xml:space="preserve"> </w:t>
      </w:r>
      <w:r>
        <w:rPr>
          <w:color w:val="191919"/>
          <w:sz w:val="18"/>
        </w:rPr>
        <w:t>Health,</w:t>
      </w:r>
      <w:r>
        <w:rPr>
          <w:color w:val="191919"/>
          <w:spacing w:val="-5"/>
          <w:sz w:val="18"/>
        </w:rPr>
        <w:t xml:space="preserve"> </w:t>
      </w:r>
      <w:r>
        <w:rPr>
          <w:color w:val="191919"/>
          <w:sz w:val="18"/>
        </w:rPr>
        <w:t>2015.</w:t>
      </w:r>
      <w:r>
        <w:rPr>
          <w:color w:val="191919"/>
          <w:spacing w:val="-4"/>
          <w:sz w:val="18"/>
        </w:rPr>
        <w:t xml:space="preserve"> </w:t>
      </w:r>
      <w:r>
        <w:rPr>
          <w:i/>
          <w:color w:val="191919"/>
          <w:sz w:val="18"/>
        </w:rPr>
        <w:t>Implementation</w:t>
      </w:r>
      <w:r>
        <w:rPr>
          <w:i/>
          <w:color w:val="191919"/>
          <w:spacing w:val="-5"/>
          <w:sz w:val="18"/>
        </w:rPr>
        <w:t xml:space="preserve"> </w:t>
      </w:r>
      <w:r>
        <w:rPr>
          <w:i/>
          <w:color w:val="191919"/>
          <w:sz w:val="18"/>
        </w:rPr>
        <w:t>Plan</w:t>
      </w:r>
      <w:r>
        <w:rPr>
          <w:i/>
          <w:color w:val="191919"/>
          <w:spacing w:val="-4"/>
          <w:sz w:val="18"/>
        </w:rPr>
        <w:t xml:space="preserve"> </w:t>
      </w:r>
      <w:r>
        <w:rPr>
          <w:i/>
          <w:color w:val="191919"/>
          <w:sz w:val="18"/>
        </w:rPr>
        <w:t>for</w:t>
      </w:r>
      <w:r>
        <w:rPr>
          <w:i/>
          <w:color w:val="191919"/>
          <w:spacing w:val="-5"/>
          <w:sz w:val="18"/>
        </w:rPr>
        <w:t xml:space="preserve"> </w:t>
      </w:r>
      <w:r>
        <w:rPr>
          <w:i/>
          <w:color w:val="191919"/>
          <w:sz w:val="18"/>
        </w:rPr>
        <w:t xml:space="preserve">the National Aboriginal and </w:t>
      </w:r>
      <w:r>
        <w:rPr>
          <w:i/>
          <w:color w:val="191919"/>
          <w:spacing w:val="-4"/>
          <w:sz w:val="18"/>
        </w:rPr>
        <w:t xml:space="preserve">Torres </w:t>
      </w:r>
      <w:r>
        <w:rPr>
          <w:i/>
          <w:color w:val="191919"/>
          <w:sz w:val="18"/>
        </w:rPr>
        <w:t xml:space="preserve">Strait Islander Health Plan 2013 - 2023, </w:t>
      </w:r>
      <w:r>
        <w:rPr>
          <w:color w:val="191919"/>
          <w:sz w:val="18"/>
        </w:rPr>
        <w:t>Canberra: Australian</w:t>
      </w:r>
      <w:r>
        <w:rPr>
          <w:color w:val="191919"/>
          <w:spacing w:val="-9"/>
          <w:sz w:val="18"/>
        </w:rPr>
        <w:t xml:space="preserve"> </w:t>
      </w:r>
      <w:r>
        <w:rPr>
          <w:color w:val="191919"/>
          <w:sz w:val="18"/>
        </w:rPr>
        <w:t>Government.</w:t>
      </w:r>
    </w:p>
    <w:p w:rsidR="00580ABF" w:rsidRDefault="00E352FF">
      <w:pPr>
        <w:spacing w:before="114" w:line="184" w:lineRule="auto"/>
        <w:ind w:left="402" w:right="1043"/>
        <w:rPr>
          <w:sz w:val="18"/>
        </w:rPr>
      </w:pPr>
      <w:r>
        <w:rPr>
          <w:color w:val="191919"/>
          <w:sz w:val="18"/>
        </w:rPr>
        <w:t xml:space="preserve">Department of the Prime Minister and Cabinet, 2017. </w:t>
      </w:r>
      <w:r>
        <w:rPr>
          <w:i/>
          <w:color w:val="191919"/>
          <w:sz w:val="18"/>
        </w:rPr>
        <w:t xml:space="preserve">Closing the Gap: Prime Minister's Report 2017, </w:t>
      </w:r>
      <w:r>
        <w:rPr>
          <w:color w:val="191919"/>
          <w:sz w:val="18"/>
        </w:rPr>
        <w:t>Canberra: Australian Government.</w:t>
      </w:r>
    </w:p>
    <w:p w:rsidR="00580ABF" w:rsidRDefault="00E352FF">
      <w:pPr>
        <w:spacing w:before="114" w:line="184" w:lineRule="auto"/>
        <w:ind w:left="402" w:right="1043"/>
        <w:rPr>
          <w:sz w:val="18"/>
        </w:rPr>
      </w:pPr>
      <w:r>
        <w:rPr>
          <w:color w:val="191919"/>
          <w:sz w:val="18"/>
        </w:rPr>
        <w:t xml:space="preserve">Empowered Communities, 2015. </w:t>
      </w:r>
      <w:r>
        <w:rPr>
          <w:i/>
          <w:color w:val="191919"/>
          <w:sz w:val="18"/>
        </w:rPr>
        <w:t xml:space="preserve">Empowered Communities: Empowered Peoples, </w:t>
      </w:r>
      <w:r>
        <w:rPr>
          <w:color w:val="191919"/>
          <w:sz w:val="18"/>
        </w:rPr>
        <w:t>Sydney: Empowered Communities.</w:t>
      </w:r>
    </w:p>
    <w:p w:rsidR="00580ABF" w:rsidRDefault="00E352FF">
      <w:pPr>
        <w:spacing w:before="114" w:line="184" w:lineRule="auto"/>
        <w:ind w:left="402" w:right="1538"/>
        <w:jc w:val="both"/>
        <w:rPr>
          <w:sz w:val="18"/>
        </w:rPr>
      </w:pPr>
      <w:r>
        <w:rPr>
          <w:color w:val="191919"/>
          <w:sz w:val="18"/>
        </w:rPr>
        <w:t xml:space="preserve">Grattan, M., 2017. The gap of Indigenous disadvantage is being closed too slowly: report. </w:t>
      </w:r>
      <w:r>
        <w:rPr>
          <w:i/>
          <w:color w:val="191919"/>
          <w:sz w:val="18"/>
        </w:rPr>
        <w:t>The Conversation</w:t>
      </w:r>
      <w:r>
        <w:rPr>
          <w:color w:val="191919"/>
          <w:sz w:val="18"/>
        </w:rPr>
        <w:t>,</w:t>
      </w:r>
      <w:r>
        <w:rPr>
          <w:color w:val="191919"/>
          <w:spacing w:val="-27"/>
          <w:sz w:val="18"/>
        </w:rPr>
        <w:t xml:space="preserve"> </w:t>
      </w:r>
      <w:r>
        <w:rPr>
          <w:color w:val="191919"/>
          <w:sz w:val="18"/>
        </w:rPr>
        <w:t>14 February.</w:t>
      </w:r>
    </w:p>
    <w:p w:rsidR="00580ABF" w:rsidRDefault="00E352FF">
      <w:pPr>
        <w:spacing w:before="114" w:line="184" w:lineRule="auto"/>
        <w:ind w:left="402" w:right="1097"/>
        <w:rPr>
          <w:sz w:val="18"/>
        </w:rPr>
      </w:pPr>
      <w:r>
        <w:rPr>
          <w:color w:val="191919"/>
          <w:sz w:val="18"/>
        </w:rPr>
        <w:t xml:space="preserve">Human Rights and Equal Opportunity Commission, 2008. </w:t>
      </w:r>
      <w:r>
        <w:rPr>
          <w:i/>
          <w:color w:val="191919"/>
          <w:sz w:val="18"/>
        </w:rPr>
        <w:t xml:space="preserve">National Indigenous Health Equality Targets: Outcomes from the National Indigenous Health Equality Summit Canberra, March18-20, 2008, </w:t>
      </w:r>
      <w:r>
        <w:rPr>
          <w:color w:val="191919"/>
          <w:sz w:val="18"/>
        </w:rPr>
        <w:t>Sydney: Australian Human Rights Commission.</w:t>
      </w:r>
    </w:p>
    <w:p w:rsidR="00580ABF" w:rsidRDefault="00E352FF">
      <w:pPr>
        <w:spacing w:before="115" w:line="184" w:lineRule="auto"/>
        <w:ind w:left="402" w:right="1043"/>
        <w:rPr>
          <w:sz w:val="18"/>
        </w:rPr>
      </w:pPr>
      <w:r>
        <w:rPr>
          <w:color w:val="191919"/>
          <w:sz w:val="18"/>
        </w:rPr>
        <w:t xml:space="preserve">Humpage, L., 2008. Relegitimating neoliberalism? Performance management and indigenous affairs policy. </w:t>
      </w:r>
      <w:r>
        <w:rPr>
          <w:i/>
          <w:color w:val="191919"/>
          <w:sz w:val="18"/>
        </w:rPr>
        <w:t xml:space="preserve">Policy &amp; Politics, </w:t>
      </w:r>
      <w:r>
        <w:rPr>
          <w:color w:val="191919"/>
          <w:sz w:val="18"/>
        </w:rPr>
        <w:t>36(3), pp. 413-429.</w:t>
      </w:r>
    </w:p>
    <w:p w:rsidR="00580ABF" w:rsidRDefault="00E352FF">
      <w:pPr>
        <w:spacing w:before="114" w:line="184" w:lineRule="auto"/>
        <w:ind w:left="402" w:right="1043"/>
        <w:rPr>
          <w:sz w:val="18"/>
        </w:rPr>
      </w:pPr>
      <w:r>
        <w:rPr>
          <w:color w:val="191919"/>
          <w:sz w:val="18"/>
        </w:rPr>
        <w:t xml:space="preserve">Hunt, J., 2008. Failure, Evidence &amp; New Ideas. </w:t>
      </w:r>
      <w:r>
        <w:rPr>
          <w:i/>
          <w:color w:val="191919"/>
          <w:sz w:val="18"/>
        </w:rPr>
        <w:t>Topical Issue</w:t>
      </w:r>
      <w:r>
        <w:rPr>
          <w:color w:val="191919"/>
          <w:sz w:val="18"/>
        </w:rPr>
        <w:t>, 59(1).</w:t>
      </w:r>
    </w:p>
    <w:p w:rsidR="00580ABF" w:rsidRDefault="00E352FF">
      <w:pPr>
        <w:spacing w:before="114" w:line="184" w:lineRule="auto"/>
        <w:ind w:left="402" w:right="1054"/>
        <w:rPr>
          <w:sz w:val="18"/>
        </w:rPr>
      </w:pPr>
      <w:r>
        <w:rPr>
          <w:color w:val="191919"/>
          <w:sz w:val="18"/>
        </w:rPr>
        <w:t xml:space="preserve">Hunt, J., 2013. </w:t>
      </w:r>
      <w:r>
        <w:rPr>
          <w:i/>
          <w:color w:val="191919"/>
          <w:sz w:val="18"/>
        </w:rPr>
        <w:t xml:space="preserve">Engaging with Indigenous Australia - Exploring the Conditions of Effective Relationships with Aboriginal and Torres Strait Islander Communities, </w:t>
      </w:r>
      <w:r>
        <w:rPr>
          <w:color w:val="191919"/>
          <w:sz w:val="18"/>
        </w:rPr>
        <w:t>Canberra: Australian Institute of Health and Welfare.</w:t>
      </w:r>
    </w:p>
    <w:p w:rsidR="00580ABF" w:rsidRDefault="00E352FF">
      <w:pPr>
        <w:spacing w:before="114" w:line="184" w:lineRule="auto"/>
        <w:ind w:left="402" w:right="1097"/>
        <w:rPr>
          <w:sz w:val="18"/>
        </w:rPr>
      </w:pPr>
      <w:r>
        <w:rPr>
          <w:color w:val="191919"/>
          <w:sz w:val="18"/>
        </w:rPr>
        <w:t xml:space="preserve">National Congress of Australia's First Peoples, 2016. </w:t>
      </w:r>
      <w:r>
        <w:rPr>
          <w:i/>
          <w:color w:val="191919"/>
          <w:sz w:val="18"/>
        </w:rPr>
        <w:t xml:space="preserve">Aboriginal and Torres Strait Islander Peak Organisations Unite: The Redfern Statement, </w:t>
      </w:r>
      <w:r>
        <w:rPr>
          <w:color w:val="191919"/>
          <w:sz w:val="18"/>
        </w:rPr>
        <w:t>Sydney: National Congress of Australia's First Peoples.</w:t>
      </w:r>
    </w:p>
    <w:p w:rsidR="00580ABF" w:rsidRDefault="00E352FF">
      <w:pPr>
        <w:spacing w:before="114" w:line="184" w:lineRule="auto"/>
        <w:ind w:left="402" w:right="1043"/>
        <w:rPr>
          <w:sz w:val="18"/>
        </w:rPr>
      </w:pPr>
      <w:r>
        <w:rPr>
          <w:color w:val="191919"/>
          <w:sz w:val="18"/>
        </w:rPr>
        <w:t xml:space="preserve">Pholi, K., Black, D. &amp; Richards, C., 2009. Is 'Close the Gap' a useful appraoch to improving the health and wellbeing of Indigenous Australians?. </w:t>
      </w:r>
      <w:r>
        <w:rPr>
          <w:i/>
          <w:color w:val="191919"/>
          <w:sz w:val="18"/>
        </w:rPr>
        <w:t xml:space="preserve">Australian Review of Public Affairs, </w:t>
      </w:r>
      <w:r>
        <w:rPr>
          <w:color w:val="191919"/>
          <w:sz w:val="18"/>
        </w:rPr>
        <w:t>9(2), pp. 1-13.</w:t>
      </w:r>
    </w:p>
    <w:p w:rsidR="00580ABF" w:rsidRDefault="00E352FF">
      <w:pPr>
        <w:spacing w:before="115" w:line="184" w:lineRule="auto"/>
        <w:ind w:left="402" w:right="1043"/>
        <w:rPr>
          <w:sz w:val="18"/>
        </w:rPr>
      </w:pPr>
      <w:r>
        <w:rPr>
          <w:color w:val="191919"/>
          <w:sz w:val="18"/>
        </w:rPr>
        <w:t xml:space="preserve">Riddle, S. &amp; Fogarty, B., 2015. Closing the Gap in education report card: needs improvement. </w:t>
      </w:r>
      <w:r>
        <w:rPr>
          <w:i/>
          <w:color w:val="191919"/>
          <w:sz w:val="18"/>
        </w:rPr>
        <w:t>The Conversation</w:t>
      </w:r>
      <w:r>
        <w:rPr>
          <w:color w:val="191919"/>
          <w:sz w:val="18"/>
        </w:rPr>
        <w:t>, 15 February.</w:t>
      </w:r>
    </w:p>
    <w:p w:rsidR="00580ABF" w:rsidRDefault="00E352FF">
      <w:pPr>
        <w:spacing w:before="114" w:line="184" w:lineRule="auto"/>
        <w:ind w:left="402" w:right="1152"/>
        <w:jc w:val="both"/>
        <w:rPr>
          <w:sz w:val="18"/>
        </w:rPr>
      </w:pPr>
      <w:r>
        <w:rPr>
          <w:color w:val="191919"/>
          <w:spacing w:val="-5"/>
          <w:sz w:val="18"/>
        </w:rPr>
        <w:t xml:space="preserve">Taylor, </w:t>
      </w:r>
      <w:r>
        <w:rPr>
          <w:color w:val="191919"/>
          <w:sz w:val="18"/>
        </w:rPr>
        <w:t xml:space="preserve">A. &amp; Barnes, </w:t>
      </w:r>
      <w:r>
        <w:rPr>
          <w:color w:val="191919"/>
          <w:spacing w:val="-7"/>
          <w:sz w:val="18"/>
        </w:rPr>
        <w:t xml:space="preserve">T., </w:t>
      </w:r>
      <w:r>
        <w:rPr>
          <w:color w:val="191919"/>
          <w:sz w:val="18"/>
        </w:rPr>
        <w:t>2013. 'Closing the Gap' in Indigenous life</w:t>
      </w:r>
      <w:r>
        <w:rPr>
          <w:color w:val="191919"/>
          <w:spacing w:val="-6"/>
          <w:sz w:val="18"/>
        </w:rPr>
        <w:t xml:space="preserve"> </w:t>
      </w:r>
      <w:r>
        <w:rPr>
          <w:color w:val="191919"/>
          <w:sz w:val="18"/>
        </w:rPr>
        <w:t>expectancies:</w:t>
      </w:r>
      <w:r>
        <w:rPr>
          <w:color w:val="191919"/>
          <w:spacing w:val="-6"/>
          <w:sz w:val="18"/>
        </w:rPr>
        <w:t xml:space="preserve"> </w:t>
      </w:r>
      <w:r>
        <w:rPr>
          <w:color w:val="191919"/>
          <w:sz w:val="18"/>
        </w:rPr>
        <w:t>what</w:t>
      </w:r>
      <w:r>
        <w:rPr>
          <w:color w:val="191919"/>
          <w:spacing w:val="-5"/>
          <w:sz w:val="18"/>
        </w:rPr>
        <w:t xml:space="preserve"> </w:t>
      </w:r>
      <w:r>
        <w:rPr>
          <w:color w:val="191919"/>
          <w:sz w:val="18"/>
        </w:rPr>
        <w:t>if</w:t>
      </w:r>
      <w:r>
        <w:rPr>
          <w:color w:val="191919"/>
          <w:spacing w:val="-6"/>
          <w:sz w:val="18"/>
        </w:rPr>
        <w:t xml:space="preserve"> </w:t>
      </w:r>
      <w:r>
        <w:rPr>
          <w:color w:val="191919"/>
          <w:sz w:val="18"/>
        </w:rPr>
        <w:t>we</w:t>
      </w:r>
      <w:r>
        <w:rPr>
          <w:color w:val="191919"/>
          <w:spacing w:val="-5"/>
          <w:sz w:val="18"/>
        </w:rPr>
        <w:t xml:space="preserve"> </w:t>
      </w:r>
      <w:r>
        <w:rPr>
          <w:color w:val="191919"/>
          <w:sz w:val="18"/>
        </w:rPr>
        <w:t>succeed?.</w:t>
      </w:r>
      <w:r>
        <w:rPr>
          <w:color w:val="191919"/>
          <w:spacing w:val="-5"/>
          <w:sz w:val="18"/>
        </w:rPr>
        <w:t xml:space="preserve"> </w:t>
      </w:r>
      <w:r>
        <w:rPr>
          <w:i/>
          <w:color w:val="191919"/>
          <w:sz w:val="18"/>
        </w:rPr>
        <w:t>Journal</w:t>
      </w:r>
      <w:r>
        <w:rPr>
          <w:i/>
          <w:color w:val="191919"/>
          <w:spacing w:val="-5"/>
          <w:sz w:val="18"/>
        </w:rPr>
        <w:t xml:space="preserve"> </w:t>
      </w:r>
      <w:r>
        <w:rPr>
          <w:i/>
          <w:color w:val="191919"/>
          <w:sz w:val="18"/>
        </w:rPr>
        <w:t>of</w:t>
      </w:r>
      <w:r>
        <w:rPr>
          <w:i/>
          <w:color w:val="191919"/>
          <w:spacing w:val="-6"/>
          <w:sz w:val="18"/>
        </w:rPr>
        <w:t xml:space="preserve"> </w:t>
      </w:r>
      <w:r>
        <w:rPr>
          <w:i/>
          <w:color w:val="191919"/>
          <w:sz w:val="18"/>
        </w:rPr>
        <w:t xml:space="preserve">Population Research, </w:t>
      </w:r>
      <w:r>
        <w:rPr>
          <w:color w:val="191919"/>
          <w:sz w:val="18"/>
        </w:rPr>
        <w:t>30(2), pp.</w:t>
      </w:r>
      <w:r>
        <w:rPr>
          <w:color w:val="191919"/>
          <w:spacing w:val="-4"/>
          <w:sz w:val="18"/>
        </w:rPr>
        <w:t xml:space="preserve"> </w:t>
      </w:r>
      <w:r>
        <w:rPr>
          <w:color w:val="191919"/>
          <w:sz w:val="18"/>
        </w:rPr>
        <w:t>117-132.</w:t>
      </w:r>
    </w:p>
    <w:p w:rsidR="00580ABF" w:rsidRDefault="00E352FF">
      <w:pPr>
        <w:spacing w:before="114" w:line="184" w:lineRule="auto"/>
        <w:ind w:left="402" w:right="1043"/>
        <w:rPr>
          <w:sz w:val="18"/>
        </w:rPr>
      </w:pPr>
      <w:r>
        <w:rPr>
          <w:color w:val="191919"/>
          <w:sz w:val="18"/>
        </w:rPr>
        <w:t xml:space="preserve">The Auditor-General, 2017. </w:t>
      </w:r>
      <w:r>
        <w:rPr>
          <w:i/>
          <w:color w:val="191919"/>
          <w:sz w:val="18"/>
        </w:rPr>
        <w:t xml:space="preserve">Indigenous Advancement Strategy, </w:t>
      </w:r>
      <w:r>
        <w:rPr>
          <w:color w:val="191919"/>
          <w:sz w:val="18"/>
        </w:rPr>
        <w:t>Canberra: Department of the Prime Minister and Cabinet.</w:t>
      </w:r>
    </w:p>
    <w:p w:rsidR="00580ABF" w:rsidRDefault="00E352FF">
      <w:pPr>
        <w:spacing w:before="114" w:line="184" w:lineRule="auto"/>
        <w:ind w:left="402" w:right="1043"/>
        <w:rPr>
          <w:sz w:val="18"/>
        </w:rPr>
      </w:pPr>
      <w:r>
        <w:rPr>
          <w:color w:val="191919"/>
          <w:sz w:val="18"/>
        </w:rPr>
        <w:t xml:space="preserve">Thorpe, A. A., Sullivan, K. &amp; Rowley, K., 2016. </w:t>
      </w:r>
      <w:r>
        <w:rPr>
          <w:i/>
          <w:color w:val="191919"/>
          <w:sz w:val="18"/>
        </w:rPr>
        <w:t xml:space="preserve">Engaging First Peoples: A review of government engagement methods for developing health policy, </w:t>
      </w:r>
      <w:r>
        <w:rPr>
          <w:color w:val="191919"/>
          <w:sz w:val="18"/>
        </w:rPr>
        <w:t>Melbourne: The Lowitja Institute.</w:t>
      </w:r>
    </w:p>
    <w:p w:rsidR="00580ABF" w:rsidRDefault="00E352FF">
      <w:pPr>
        <w:spacing w:before="114" w:line="184" w:lineRule="auto"/>
        <w:ind w:left="402" w:right="1115"/>
        <w:rPr>
          <w:sz w:val="18"/>
        </w:rPr>
      </w:pPr>
      <w:r>
        <w:rPr>
          <w:color w:val="191919"/>
          <w:sz w:val="18"/>
        </w:rPr>
        <w:t xml:space="preserve">Wright, P. &amp; Lewis, D. P., 2017. </w:t>
      </w:r>
      <w:r>
        <w:rPr>
          <w:i/>
          <w:color w:val="191919"/>
          <w:sz w:val="18"/>
        </w:rPr>
        <w:t xml:space="preserve">Progress and priorities report 2017, </w:t>
      </w:r>
      <w:r>
        <w:rPr>
          <w:color w:val="191919"/>
          <w:sz w:val="18"/>
        </w:rPr>
        <w:t>s.l.: The Close the Gap Campaign Steering Committee.</w:t>
      </w:r>
    </w:p>
    <w:p w:rsidR="00580ABF" w:rsidRDefault="00580ABF">
      <w:pPr>
        <w:spacing w:line="184" w:lineRule="auto"/>
        <w:rPr>
          <w:sz w:val="18"/>
        </w:rPr>
        <w:sectPr w:rsidR="00580ABF">
          <w:type w:val="continuous"/>
          <w:pgSz w:w="11910" w:h="16840"/>
          <w:pgMar w:top="1580" w:right="180" w:bottom="280" w:left="420" w:header="720" w:footer="720" w:gutter="0"/>
          <w:cols w:num="2" w:space="720" w:equalWidth="0">
            <w:col w:w="5307" w:space="40"/>
            <w:col w:w="5963"/>
          </w:cols>
        </w:sectPr>
      </w:pPr>
    </w:p>
    <w:p w:rsidR="00580ABF" w:rsidRDefault="00580ABF" w:rsidP="007622E8">
      <w:pPr>
        <w:pStyle w:val="BodyText"/>
        <w:ind w:left="1134"/>
        <w:rPr>
          <w:sz w:val="20"/>
        </w:rPr>
      </w:pPr>
    </w:p>
    <w:p w:rsidR="00580ABF" w:rsidRDefault="00580ABF" w:rsidP="007622E8">
      <w:pPr>
        <w:pStyle w:val="BodyText"/>
        <w:ind w:left="1134"/>
        <w:rPr>
          <w:sz w:val="20"/>
        </w:rPr>
      </w:pPr>
    </w:p>
    <w:p w:rsidR="00580ABF" w:rsidRDefault="009F3FEF" w:rsidP="007622E8">
      <w:pPr>
        <w:pStyle w:val="BodyText"/>
        <w:ind w:left="1134"/>
        <w:rPr>
          <w:sz w:val="20"/>
        </w:rPr>
      </w:pPr>
      <w:r>
        <w:rPr>
          <w:sz w:val="20"/>
        </w:rPr>
        <w:t xml:space="preserve">MURAWIN </w:t>
      </w:r>
    </w:p>
    <w:p w:rsidR="009F3FEF" w:rsidRDefault="009F3FEF" w:rsidP="007622E8">
      <w:pPr>
        <w:pStyle w:val="BodyText"/>
        <w:ind w:left="1134"/>
        <w:rPr>
          <w:sz w:val="20"/>
        </w:rPr>
      </w:pPr>
      <w:r>
        <w:rPr>
          <w:sz w:val="20"/>
        </w:rPr>
        <w:t>Breaking Cycles, Building Futures</w:t>
      </w:r>
    </w:p>
    <w:p w:rsidR="009F3FEF" w:rsidRDefault="009F3FEF" w:rsidP="007622E8">
      <w:pPr>
        <w:pStyle w:val="BodyText"/>
        <w:ind w:left="1134"/>
        <w:rPr>
          <w:sz w:val="20"/>
        </w:rPr>
      </w:pPr>
      <w:r>
        <w:rPr>
          <w:sz w:val="20"/>
        </w:rPr>
        <w:t>Phone: +61 400 294 331</w:t>
      </w:r>
    </w:p>
    <w:p w:rsidR="009F3FEF" w:rsidRDefault="009F3FEF" w:rsidP="007622E8">
      <w:pPr>
        <w:pStyle w:val="BodyText"/>
        <w:ind w:left="1134"/>
        <w:rPr>
          <w:sz w:val="20"/>
        </w:rPr>
      </w:pPr>
      <w:r>
        <w:rPr>
          <w:sz w:val="20"/>
        </w:rPr>
        <w:t xml:space="preserve">Web: </w:t>
      </w:r>
      <w:r w:rsidRPr="005D3114">
        <w:rPr>
          <w:sz w:val="20"/>
        </w:rPr>
        <w:t>www.murawin.com.au</w:t>
      </w:r>
    </w:p>
    <w:p w:rsidR="009F3FEF" w:rsidRDefault="009F3FEF" w:rsidP="007622E8">
      <w:pPr>
        <w:pStyle w:val="BodyText"/>
        <w:ind w:left="1134"/>
        <w:rPr>
          <w:sz w:val="20"/>
        </w:rPr>
      </w:pPr>
      <w:r>
        <w:rPr>
          <w:sz w:val="20"/>
        </w:rPr>
        <w:t>Linkedin.com/in/carol-vale</w:t>
      </w:r>
    </w:p>
    <w:p w:rsidR="00135913" w:rsidRDefault="00CF2220" w:rsidP="007622E8">
      <w:pPr>
        <w:pStyle w:val="BodyText"/>
        <w:ind w:left="1134"/>
        <w:rPr>
          <w:sz w:val="20"/>
        </w:rPr>
      </w:pPr>
      <w:r>
        <w:rPr>
          <w:sz w:val="20"/>
        </w:rPr>
        <w:t xml:space="preserve">Twitter: </w:t>
      </w:r>
      <w:r w:rsidR="009F3FEF">
        <w:rPr>
          <w:sz w:val="20"/>
        </w:rPr>
        <w:t>@murawin</w:t>
      </w:r>
    </w:p>
    <w:p w:rsidR="00135913" w:rsidRDefault="00135913">
      <w:pPr>
        <w:rPr>
          <w:sz w:val="20"/>
          <w:szCs w:val="19"/>
        </w:rPr>
      </w:pPr>
      <w:r>
        <w:rPr>
          <w:sz w:val="20"/>
        </w:rPr>
        <w:br w:type="page"/>
      </w:r>
    </w:p>
    <w:p w:rsidR="00135913" w:rsidRDefault="00135913" w:rsidP="007622E8">
      <w:pPr>
        <w:pStyle w:val="BodyText"/>
        <w:spacing w:before="8000"/>
        <w:ind w:left="1134"/>
        <w:rPr>
          <w:rFonts w:ascii="Times New Roman"/>
          <w:sz w:val="22"/>
        </w:rPr>
      </w:pPr>
    </w:p>
    <w:p w:rsidR="00216D6B" w:rsidRDefault="00216D6B" w:rsidP="007622E8">
      <w:pPr>
        <w:pStyle w:val="BodyText"/>
        <w:spacing w:before="8000"/>
        <w:ind w:left="1134"/>
        <w:rPr>
          <w:rFonts w:ascii="Times New Roman"/>
          <w:sz w:val="22"/>
        </w:rPr>
      </w:pPr>
    </w:p>
    <w:p w:rsidR="00135913" w:rsidRDefault="00165C12" w:rsidP="007622E8">
      <w:pPr>
        <w:pStyle w:val="Heading2"/>
        <w:ind w:left="1134"/>
      </w:pPr>
      <w:r>
        <w:t xml:space="preserve">Literature Review for Closing </w:t>
      </w:r>
      <w:r w:rsidR="00135913">
        <w:t>the</w:t>
      </w:r>
      <w:r>
        <w:br/>
      </w:r>
      <w:r w:rsidR="00135913">
        <w:t>Gap 10 Year Review</w:t>
      </w:r>
    </w:p>
    <w:p w:rsidR="00135913" w:rsidRDefault="00135913" w:rsidP="007622E8">
      <w:pPr>
        <w:spacing w:before="42" w:after="1000"/>
        <w:ind w:left="1134"/>
        <w:rPr>
          <w:b/>
          <w:sz w:val="28"/>
        </w:rPr>
      </w:pPr>
      <w:r>
        <w:rPr>
          <w:b/>
          <w:color w:val="DA291C"/>
          <w:sz w:val="28"/>
        </w:rPr>
        <w:t>For Murawin Consulting</w:t>
      </w:r>
    </w:p>
    <w:p w:rsidR="00135913" w:rsidRDefault="00135913" w:rsidP="007622E8">
      <w:pPr>
        <w:spacing w:after="800"/>
        <w:ind w:left="1134"/>
      </w:pPr>
      <w:r>
        <w:t>10 January 2018</w:t>
      </w:r>
    </w:p>
    <w:p w:rsidR="00135913" w:rsidRDefault="00135913" w:rsidP="007622E8">
      <w:pPr>
        <w:pStyle w:val="BodyText"/>
        <w:spacing w:before="1600"/>
        <w:ind w:left="1134"/>
      </w:pPr>
    </w:p>
    <w:p w:rsidR="00135913" w:rsidRDefault="00135913" w:rsidP="007622E8">
      <w:pPr>
        <w:pStyle w:val="BodyText"/>
        <w:ind w:left="1134"/>
        <w:rPr>
          <w:sz w:val="22"/>
        </w:rPr>
      </w:pPr>
      <w:r>
        <w:rPr>
          <w:noProof/>
          <w:lang w:val="en-AU" w:eastAsia="en-AU" w:bidi="ar-SA"/>
        </w:rPr>
        <w:drawing>
          <wp:inline distT="0" distB="0" distL="0" distR="0" wp14:anchorId="3CFA2838" wp14:editId="63E5C941">
            <wp:extent cx="1649686" cy="740092"/>
            <wp:effectExtent l="0" t="0" r="8255" b="3175"/>
            <wp:docPr id="3" name="image2.png" descr="CIR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49686" cy="740092"/>
                    </a:xfrm>
                    <a:prstGeom prst="rect">
                      <a:avLst/>
                    </a:prstGeom>
                  </pic:spPr>
                </pic:pic>
              </a:graphicData>
            </a:graphic>
          </wp:inline>
        </w:drawing>
      </w:r>
    </w:p>
    <w:p w:rsidR="00135913" w:rsidRDefault="00135913" w:rsidP="007622E8">
      <w:pPr>
        <w:ind w:left="1134"/>
        <w:sectPr w:rsidR="00135913" w:rsidSect="00880E9F">
          <w:pgSz w:w="11910" w:h="16840"/>
          <w:pgMar w:top="1580" w:right="0" w:bottom="280" w:left="0" w:header="720" w:footer="720" w:gutter="0"/>
          <w:cols w:space="720"/>
        </w:sectPr>
      </w:pPr>
    </w:p>
    <w:p w:rsidR="00135913" w:rsidRDefault="00135913" w:rsidP="007622E8">
      <w:pPr>
        <w:pStyle w:val="BodyText"/>
        <w:spacing w:before="10000"/>
        <w:ind w:left="1134"/>
        <w:rPr>
          <w:sz w:val="12"/>
        </w:rPr>
      </w:pPr>
    </w:p>
    <w:p w:rsidR="00135913" w:rsidRDefault="00135913" w:rsidP="007622E8">
      <w:pPr>
        <w:pStyle w:val="BodyText"/>
        <w:ind w:left="1134"/>
      </w:pPr>
      <w:r>
        <w:rPr>
          <w:noProof/>
          <w:position w:val="26"/>
          <w:lang w:val="en-AU" w:eastAsia="en-AU" w:bidi="ar-SA"/>
        </w:rPr>
        <w:drawing>
          <wp:inline distT="0" distB="0" distL="0" distR="0" wp14:anchorId="0166A573" wp14:editId="59E5D04B">
            <wp:extent cx="1905164" cy="713232"/>
            <wp:effectExtent l="0" t="0" r="0" b="0"/>
            <wp:docPr id="5" name="image3.jpeg" descr="AMS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5" cstate="print"/>
                    <a:stretch>
                      <a:fillRect/>
                    </a:stretch>
                  </pic:blipFill>
                  <pic:spPr>
                    <a:xfrm>
                      <a:off x="0" y="0"/>
                      <a:ext cx="1905164" cy="713232"/>
                    </a:xfrm>
                    <a:prstGeom prst="rect">
                      <a:avLst/>
                    </a:prstGeom>
                  </pic:spPr>
                </pic:pic>
              </a:graphicData>
            </a:graphic>
          </wp:inline>
        </w:drawing>
      </w:r>
      <w:r>
        <w:rPr>
          <w:rFonts w:ascii="Times New Roman"/>
          <w:spacing w:val="78"/>
          <w:position w:val="26"/>
        </w:rPr>
        <w:t xml:space="preserve"> </w:t>
      </w:r>
      <w:r>
        <w:rPr>
          <w:noProof/>
          <w:spacing w:val="78"/>
          <w:lang w:val="en-AU" w:eastAsia="en-AU" w:bidi="ar-SA"/>
        </w:rPr>
        <w:drawing>
          <wp:inline distT="0" distB="0" distL="0" distR="0" wp14:anchorId="6074AAD5" wp14:editId="76CA8DA9">
            <wp:extent cx="657518" cy="1281969"/>
            <wp:effectExtent l="0" t="0" r="0" b="0"/>
            <wp:docPr id="7" name="image4.jpeg" descr="Best Practice Certification AMSRO Market Opinion and Soci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6" cstate="print"/>
                    <a:stretch>
                      <a:fillRect/>
                    </a:stretch>
                  </pic:blipFill>
                  <pic:spPr>
                    <a:xfrm>
                      <a:off x="0" y="0"/>
                      <a:ext cx="657518" cy="1281969"/>
                    </a:xfrm>
                    <a:prstGeom prst="rect">
                      <a:avLst/>
                    </a:prstGeom>
                  </pic:spPr>
                </pic:pic>
              </a:graphicData>
            </a:graphic>
          </wp:inline>
        </w:drawing>
      </w:r>
    </w:p>
    <w:p w:rsidR="00135913" w:rsidRDefault="00135913" w:rsidP="007622E8">
      <w:pPr>
        <w:pStyle w:val="BodyText"/>
        <w:spacing w:before="8"/>
        <w:ind w:left="1134"/>
        <w:rPr>
          <w:sz w:val="13"/>
        </w:rPr>
      </w:pPr>
    </w:p>
    <w:p w:rsidR="00135913" w:rsidRDefault="00135913" w:rsidP="007622E8">
      <w:pPr>
        <w:spacing w:before="62"/>
        <w:ind w:left="1134"/>
        <w:rPr>
          <w:sz w:val="18"/>
        </w:rPr>
      </w:pPr>
      <w:r>
        <w:rPr>
          <w:sz w:val="18"/>
        </w:rPr>
        <w:t>© Cultural &amp; Indigenous Research Centre Australia</w:t>
      </w:r>
    </w:p>
    <w:p w:rsidR="00135913" w:rsidRDefault="00135913" w:rsidP="007622E8">
      <w:pPr>
        <w:pStyle w:val="BodyText"/>
        <w:ind w:left="1134"/>
        <w:rPr>
          <w:sz w:val="18"/>
        </w:rPr>
      </w:pPr>
    </w:p>
    <w:p w:rsidR="00135913" w:rsidRDefault="00135913" w:rsidP="007622E8">
      <w:pPr>
        <w:ind w:left="1134"/>
        <w:rPr>
          <w:sz w:val="18"/>
        </w:rPr>
      </w:pPr>
      <w:r>
        <w:rPr>
          <w:sz w:val="18"/>
        </w:rPr>
        <w:t>Developed by the Cultural &amp; Indigenous Research Centre Australia 2015</w:t>
      </w:r>
    </w:p>
    <w:p w:rsidR="00135913" w:rsidRDefault="00135913" w:rsidP="007622E8">
      <w:pPr>
        <w:pStyle w:val="BodyText"/>
        <w:ind w:left="1134"/>
        <w:rPr>
          <w:sz w:val="18"/>
        </w:rPr>
      </w:pPr>
    </w:p>
    <w:p w:rsidR="00135913" w:rsidRDefault="00135913" w:rsidP="00135913">
      <w:pPr>
        <w:ind w:left="1440"/>
        <w:rPr>
          <w:sz w:val="18"/>
        </w:rPr>
      </w:pPr>
      <w:r>
        <w:rPr>
          <w:sz w:val="18"/>
        </w:rPr>
        <w:t>All research conducted by CIRCA for this project was in compliance with ISO20252</w:t>
      </w:r>
    </w:p>
    <w:p w:rsidR="00135913" w:rsidRDefault="00135913" w:rsidP="00135913">
      <w:pPr>
        <w:rPr>
          <w:sz w:val="18"/>
        </w:rPr>
        <w:sectPr w:rsidR="00135913">
          <w:footerReference w:type="default" r:id="rId37"/>
          <w:pgSz w:w="11910" w:h="16840"/>
          <w:pgMar w:top="1580" w:right="0" w:bottom="980" w:left="0" w:header="0" w:footer="788" w:gutter="0"/>
          <w:pgNumType w:start="1"/>
          <w:cols w:space="720"/>
        </w:sectPr>
      </w:pPr>
    </w:p>
    <w:p w:rsidR="00135913" w:rsidRDefault="00135913" w:rsidP="00880E9F">
      <w:pPr>
        <w:pStyle w:val="Heading3"/>
      </w:pPr>
      <w:r>
        <w:t>Acknowledgements</w:t>
      </w:r>
    </w:p>
    <w:p w:rsidR="00135913" w:rsidRDefault="00135913" w:rsidP="00135913">
      <w:pPr>
        <w:pStyle w:val="BodyText"/>
        <w:spacing w:before="398" w:line="312" w:lineRule="auto"/>
        <w:ind w:left="1440" w:right="1444"/>
        <w:jc w:val="both"/>
      </w:pPr>
      <w:r>
        <w:t>The Cultural and Indigenous Research Centre Australia (CIRCA) wishes to acknowledge Aboriginal and Torres Strait Islander people as the traditional owners of Australia and custodians of the oldest continuous culture in the world, and pay respects to Elders past and present.</w:t>
      </w:r>
    </w:p>
    <w:p w:rsidR="00135913" w:rsidRDefault="00135913" w:rsidP="00135913">
      <w:pPr>
        <w:spacing w:line="312" w:lineRule="auto"/>
        <w:jc w:val="both"/>
        <w:sectPr w:rsidR="00135913">
          <w:pgSz w:w="11910" w:h="16840"/>
          <w:pgMar w:top="1440" w:right="0" w:bottom="980" w:left="0" w:header="0" w:footer="788" w:gutter="0"/>
          <w:cols w:space="720"/>
        </w:sectPr>
      </w:pPr>
    </w:p>
    <w:p w:rsidR="00135913" w:rsidRDefault="00135913" w:rsidP="00880E9F">
      <w:pPr>
        <w:pStyle w:val="Heading3"/>
      </w:pPr>
      <w:r>
        <w:t>Context and</w:t>
      </w:r>
      <w:r>
        <w:rPr>
          <w:spacing w:val="-2"/>
        </w:rPr>
        <w:t xml:space="preserve"> </w:t>
      </w:r>
      <w:r>
        <w:t>methodology</w:t>
      </w:r>
    </w:p>
    <w:p w:rsidR="00135913" w:rsidRDefault="00135913" w:rsidP="007622E8">
      <w:pPr>
        <w:pStyle w:val="BodyText"/>
        <w:spacing w:before="388" w:line="312" w:lineRule="auto"/>
        <w:ind w:left="1440" w:right="1438"/>
        <w:jc w:val="both"/>
      </w:pPr>
      <w:r>
        <w:t>Murawin Consulting commissioned CIRCA to undertake a literature review as part of a project for the Department</w:t>
      </w:r>
      <w:r>
        <w:rPr>
          <w:spacing w:val="-10"/>
        </w:rPr>
        <w:t xml:space="preserve"> </w:t>
      </w:r>
      <w:r>
        <w:t>of</w:t>
      </w:r>
      <w:r>
        <w:rPr>
          <w:spacing w:val="-11"/>
        </w:rPr>
        <w:t xml:space="preserve"> </w:t>
      </w:r>
      <w:r>
        <w:t>Prime</w:t>
      </w:r>
      <w:r>
        <w:rPr>
          <w:spacing w:val="-10"/>
        </w:rPr>
        <w:t xml:space="preserve"> </w:t>
      </w:r>
      <w:r>
        <w:t>Minister</w:t>
      </w:r>
      <w:r>
        <w:rPr>
          <w:spacing w:val="-8"/>
        </w:rPr>
        <w:t xml:space="preserve"> </w:t>
      </w:r>
      <w:r>
        <w:t>and</w:t>
      </w:r>
      <w:r>
        <w:rPr>
          <w:spacing w:val="-11"/>
        </w:rPr>
        <w:t xml:space="preserve"> </w:t>
      </w:r>
      <w:r>
        <w:t>Cabinet</w:t>
      </w:r>
      <w:r>
        <w:rPr>
          <w:spacing w:val="-10"/>
        </w:rPr>
        <w:t xml:space="preserve"> </w:t>
      </w:r>
      <w:r>
        <w:t>to</w:t>
      </w:r>
      <w:r>
        <w:rPr>
          <w:spacing w:val="-10"/>
        </w:rPr>
        <w:t xml:space="preserve"> </w:t>
      </w:r>
      <w:r>
        <w:t>inform</w:t>
      </w:r>
      <w:r>
        <w:rPr>
          <w:spacing w:val="-10"/>
        </w:rPr>
        <w:t xml:space="preserve"> </w:t>
      </w:r>
      <w:r>
        <w:t>the</w:t>
      </w:r>
      <w:r>
        <w:rPr>
          <w:spacing w:val="-11"/>
        </w:rPr>
        <w:t xml:space="preserve"> </w:t>
      </w:r>
      <w:r>
        <w:t>10-year</w:t>
      </w:r>
      <w:r>
        <w:rPr>
          <w:spacing w:val="-10"/>
        </w:rPr>
        <w:t xml:space="preserve"> </w:t>
      </w:r>
      <w:r>
        <w:t>review</w:t>
      </w:r>
      <w:r>
        <w:rPr>
          <w:spacing w:val="-10"/>
        </w:rPr>
        <w:t xml:space="preserve"> </w:t>
      </w:r>
      <w:r>
        <w:t>of</w:t>
      </w:r>
      <w:r>
        <w:rPr>
          <w:spacing w:val="-11"/>
        </w:rPr>
        <w:t xml:space="preserve"> </w:t>
      </w:r>
      <w:r>
        <w:t>Closing</w:t>
      </w:r>
      <w:r>
        <w:rPr>
          <w:spacing w:val="-10"/>
        </w:rPr>
        <w:t xml:space="preserve"> </w:t>
      </w:r>
      <w:r>
        <w:t>the</w:t>
      </w:r>
      <w:r>
        <w:rPr>
          <w:spacing w:val="-11"/>
        </w:rPr>
        <w:t xml:space="preserve"> </w:t>
      </w:r>
      <w:r>
        <w:t>Gap.</w:t>
      </w:r>
      <w:r>
        <w:rPr>
          <w:spacing w:val="-10"/>
        </w:rPr>
        <w:t xml:space="preserve"> </w:t>
      </w:r>
      <w:r>
        <w:t>The</w:t>
      </w:r>
      <w:r>
        <w:rPr>
          <w:spacing w:val="-11"/>
        </w:rPr>
        <w:t xml:space="preserve"> </w:t>
      </w:r>
      <w:r>
        <w:t>overall</w:t>
      </w:r>
      <w:r>
        <w:rPr>
          <w:spacing w:val="-8"/>
        </w:rPr>
        <w:t xml:space="preserve"> </w:t>
      </w:r>
      <w:r>
        <w:t>purpose of</w:t>
      </w:r>
      <w:r>
        <w:rPr>
          <w:spacing w:val="-6"/>
        </w:rPr>
        <w:t xml:space="preserve"> </w:t>
      </w:r>
      <w:r>
        <w:t>this</w:t>
      </w:r>
      <w:r>
        <w:rPr>
          <w:spacing w:val="-3"/>
        </w:rPr>
        <w:t xml:space="preserve"> </w:t>
      </w:r>
      <w:r>
        <w:t>project,</w:t>
      </w:r>
      <w:r>
        <w:rPr>
          <w:spacing w:val="-4"/>
        </w:rPr>
        <w:t xml:space="preserve"> </w:t>
      </w:r>
      <w:r>
        <w:t>of</w:t>
      </w:r>
      <w:r>
        <w:rPr>
          <w:spacing w:val="-5"/>
        </w:rPr>
        <w:t xml:space="preserve"> </w:t>
      </w:r>
      <w:r>
        <w:t>which</w:t>
      </w:r>
      <w:r>
        <w:rPr>
          <w:spacing w:val="-4"/>
        </w:rPr>
        <w:t xml:space="preserve"> </w:t>
      </w:r>
      <w:r>
        <w:t>the</w:t>
      </w:r>
      <w:r>
        <w:rPr>
          <w:spacing w:val="-4"/>
        </w:rPr>
        <w:t xml:space="preserve"> </w:t>
      </w:r>
      <w:r>
        <w:t>literature</w:t>
      </w:r>
      <w:r>
        <w:rPr>
          <w:spacing w:val="-5"/>
        </w:rPr>
        <w:t xml:space="preserve"> </w:t>
      </w:r>
      <w:r>
        <w:t>review</w:t>
      </w:r>
      <w:r>
        <w:rPr>
          <w:spacing w:val="-3"/>
        </w:rPr>
        <w:t xml:space="preserve"> </w:t>
      </w:r>
      <w:r>
        <w:t>is</w:t>
      </w:r>
      <w:r>
        <w:rPr>
          <w:spacing w:val="-3"/>
        </w:rPr>
        <w:t xml:space="preserve"> </w:t>
      </w:r>
      <w:r>
        <w:t>a</w:t>
      </w:r>
      <w:r>
        <w:rPr>
          <w:spacing w:val="-2"/>
        </w:rPr>
        <w:t xml:space="preserve"> </w:t>
      </w:r>
      <w:r>
        <w:t>component,</w:t>
      </w:r>
      <w:r>
        <w:rPr>
          <w:spacing w:val="-3"/>
        </w:rPr>
        <w:t xml:space="preserve"> </w:t>
      </w:r>
      <w:r>
        <w:t>is</w:t>
      </w:r>
      <w:r>
        <w:rPr>
          <w:spacing w:val="-3"/>
        </w:rPr>
        <w:t xml:space="preserve"> </w:t>
      </w:r>
      <w:r>
        <w:t>to</w:t>
      </w:r>
      <w:r>
        <w:rPr>
          <w:spacing w:val="-3"/>
        </w:rPr>
        <w:t xml:space="preserve"> </w:t>
      </w:r>
      <w:r>
        <w:t>provide</w:t>
      </w:r>
      <w:r>
        <w:rPr>
          <w:spacing w:val="-5"/>
        </w:rPr>
        <w:t xml:space="preserve"> </w:t>
      </w:r>
      <w:r>
        <w:t>evidence</w:t>
      </w:r>
      <w:r>
        <w:rPr>
          <w:spacing w:val="-4"/>
        </w:rPr>
        <w:t xml:space="preserve"> </w:t>
      </w:r>
      <w:r>
        <w:t>to</w:t>
      </w:r>
      <w:r>
        <w:rPr>
          <w:spacing w:val="-3"/>
        </w:rPr>
        <w:t xml:space="preserve"> </w:t>
      </w:r>
      <w:r>
        <w:t>assess</w:t>
      </w:r>
      <w:r>
        <w:rPr>
          <w:spacing w:val="-3"/>
        </w:rPr>
        <w:t xml:space="preserve"> </w:t>
      </w:r>
      <w:r>
        <w:t>the</w:t>
      </w:r>
      <w:r>
        <w:rPr>
          <w:spacing w:val="-4"/>
        </w:rPr>
        <w:t xml:space="preserve"> </w:t>
      </w:r>
      <w:r>
        <w:t>effectiveness and appropriateness of the overarching Closing the Gap policy framework including reflecting, acknowledging and reporting on lessons learned. The project is to provide a qualitative analysis of attitudes and reflections on 10 years of the Closing the Gap initiative, including analysis on learning from past success and failure drawing on stakeholder consultations and evidence-based</w:t>
      </w:r>
      <w:r>
        <w:rPr>
          <w:spacing w:val="-1"/>
        </w:rPr>
        <w:t xml:space="preserve"> </w:t>
      </w:r>
      <w:r>
        <w:t>literature.</w:t>
      </w:r>
    </w:p>
    <w:p w:rsidR="00135913" w:rsidRDefault="00135913" w:rsidP="007622E8">
      <w:pPr>
        <w:pStyle w:val="BodyText"/>
        <w:spacing w:before="10"/>
        <w:ind w:left="1440"/>
      </w:pPr>
    </w:p>
    <w:p w:rsidR="00135913" w:rsidRDefault="00135913" w:rsidP="007622E8">
      <w:pPr>
        <w:pStyle w:val="BodyText"/>
        <w:spacing w:line="312" w:lineRule="auto"/>
        <w:ind w:left="1440" w:right="1436"/>
        <w:jc w:val="both"/>
      </w:pPr>
      <w:r>
        <w:t>It was not possible to undertake a systematic review of the literature within the resources available and so a narrative literature review was undertaken during late December 2017 and early January 2018. It involved a review of publicly available literature over the last ten years (including grey and academic literature and high- quality</w:t>
      </w:r>
      <w:r>
        <w:rPr>
          <w:spacing w:val="-10"/>
        </w:rPr>
        <w:t xml:space="preserve"> </w:t>
      </w:r>
      <w:r>
        <w:t>media</w:t>
      </w:r>
      <w:r>
        <w:rPr>
          <w:spacing w:val="-10"/>
        </w:rPr>
        <w:t xml:space="preserve"> </w:t>
      </w:r>
      <w:r>
        <w:t>commentary)</w:t>
      </w:r>
      <w:r>
        <w:rPr>
          <w:spacing w:val="-10"/>
        </w:rPr>
        <w:t xml:space="preserve"> </w:t>
      </w:r>
      <w:r>
        <w:t>about</w:t>
      </w:r>
      <w:r>
        <w:rPr>
          <w:spacing w:val="-10"/>
        </w:rPr>
        <w:t xml:space="preserve"> </w:t>
      </w:r>
      <w:r>
        <w:t>the</w:t>
      </w:r>
      <w:r>
        <w:rPr>
          <w:spacing w:val="-12"/>
        </w:rPr>
        <w:t xml:space="preserve"> </w:t>
      </w:r>
      <w:r>
        <w:t>overall</w:t>
      </w:r>
      <w:r>
        <w:rPr>
          <w:spacing w:val="-10"/>
        </w:rPr>
        <w:t xml:space="preserve"> </w:t>
      </w:r>
      <w:r>
        <w:t>success,</w:t>
      </w:r>
      <w:r>
        <w:rPr>
          <w:spacing w:val="-11"/>
        </w:rPr>
        <w:t xml:space="preserve"> </w:t>
      </w:r>
      <w:r>
        <w:t>progress</w:t>
      </w:r>
      <w:r>
        <w:rPr>
          <w:spacing w:val="-5"/>
        </w:rPr>
        <w:t xml:space="preserve"> </w:t>
      </w:r>
      <w:r>
        <w:t>and</w:t>
      </w:r>
      <w:r>
        <w:rPr>
          <w:spacing w:val="-11"/>
        </w:rPr>
        <w:t xml:space="preserve"> </w:t>
      </w:r>
      <w:r>
        <w:t>appropriateness</w:t>
      </w:r>
      <w:r>
        <w:rPr>
          <w:spacing w:val="-10"/>
        </w:rPr>
        <w:t xml:space="preserve"> </w:t>
      </w:r>
      <w:r>
        <w:t>of</w:t>
      </w:r>
      <w:r>
        <w:rPr>
          <w:spacing w:val="-11"/>
        </w:rPr>
        <w:t xml:space="preserve"> </w:t>
      </w:r>
      <w:r>
        <w:t>the</w:t>
      </w:r>
      <w:r>
        <w:rPr>
          <w:spacing w:val="-10"/>
        </w:rPr>
        <w:t xml:space="preserve"> </w:t>
      </w:r>
      <w:r>
        <w:t>overarching</w:t>
      </w:r>
      <w:r>
        <w:rPr>
          <w:spacing w:val="-10"/>
        </w:rPr>
        <w:t xml:space="preserve"> </w:t>
      </w:r>
      <w:r>
        <w:t>Closing the Gap policy framework. It included literature with a high-level focus on the framework and excluded literature</w:t>
      </w:r>
      <w:r>
        <w:rPr>
          <w:spacing w:val="-3"/>
        </w:rPr>
        <w:t xml:space="preserve"> </w:t>
      </w:r>
      <w:r>
        <w:t>that</w:t>
      </w:r>
      <w:r>
        <w:rPr>
          <w:spacing w:val="-3"/>
        </w:rPr>
        <w:t xml:space="preserve"> </w:t>
      </w:r>
      <w:r>
        <w:t>focused</w:t>
      </w:r>
      <w:r>
        <w:rPr>
          <w:spacing w:val="-3"/>
        </w:rPr>
        <w:t xml:space="preserve"> </w:t>
      </w:r>
      <w:r>
        <w:t>solely</w:t>
      </w:r>
      <w:r>
        <w:rPr>
          <w:spacing w:val="1"/>
        </w:rPr>
        <w:t xml:space="preserve"> </w:t>
      </w:r>
      <w:r>
        <w:t>on</w:t>
      </w:r>
      <w:r>
        <w:rPr>
          <w:spacing w:val="-1"/>
        </w:rPr>
        <w:t xml:space="preserve"> </w:t>
      </w:r>
      <w:r>
        <w:t>specific</w:t>
      </w:r>
      <w:r>
        <w:rPr>
          <w:spacing w:val="-4"/>
        </w:rPr>
        <w:t xml:space="preserve"> </w:t>
      </w:r>
      <w:r>
        <w:t>elements</w:t>
      </w:r>
      <w:r>
        <w:rPr>
          <w:spacing w:val="-1"/>
        </w:rPr>
        <w:t xml:space="preserve"> </w:t>
      </w:r>
      <w:r>
        <w:t>or</w:t>
      </w:r>
      <w:r>
        <w:rPr>
          <w:spacing w:val="-2"/>
        </w:rPr>
        <w:t xml:space="preserve"> </w:t>
      </w:r>
      <w:r>
        <w:t>targets</w:t>
      </w:r>
      <w:r>
        <w:rPr>
          <w:spacing w:val="-1"/>
        </w:rPr>
        <w:t xml:space="preserve"> </w:t>
      </w:r>
      <w:r>
        <w:t>of</w:t>
      </w:r>
      <w:r>
        <w:rPr>
          <w:spacing w:val="-4"/>
        </w:rPr>
        <w:t xml:space="preserve"> </w:t>
      </w:r>
      <w:r>
        <w:t>the</w:t>
      </w:r>
      <w:r>
        <w:rPr>
          <w:spacing w:val="-4"/>
        </w:rPr>
        <w:t xml:space="preserve"> </w:t>
      </w:r>
      <w:r>
        <w:t>overarching Closing</w:t>
      </w:r>
      <w:r>
        <w:rPr>
          <w:spacing w:val="-3"/>
        </w:rPr>
        <w:t xml:space="preserve"> </w:t>
      </w:r>
      <w:r>
        <w:t>the</w:t>
      </w:r>
      <w:r>
        <w:rPr>
          <w:spacing w:val="-3"/>
        </w:rPr>
        <w:t xml:space="preserve"> </w:t>
      </w:r>
      <w:r>
        <w:t>Gap</w:t>
      </w:r>
      <w:r>
        <w:rPr>
          <w:spacing w:val="-1"/>
        </w:rPr>
        <w:t xml:space="preserve"> </w:t>
      </w:r>
      <w:r>
        <w:t>framework.</w:t>
      </w:r>
    </w:p>
    <w:p w:rsidR="00135913" w:rsidRDefault="00135913" w:rsidP="007622E8">
      <w:pPr>
        <w:pStyle w:val="BodyText"/>
        <w:spacing w:before="7"/>
        <w:ind w:left="1440"/>
      </w:pPr>
    </w:p>
    <w:p w:rsidR="00135913" w:rsidRDefault="00135913" w:rsidP="007622E8">
      <w:pPr>
        <w:pStyle w:val="BodyText"/>
        <w:ind w:left="1440"/>
        <w:jc w:val="both"/>
      </w:pPr>
      <w:r>
        <w:t>The literature search included the following elements:</w:t>
      </w:r>
    </w:p>
    <w:p w:rsidR="00135913" w:rsidRDefault="00135913" w:rsidP="007622E8">
      <w:pPr>
        <w:pStyle w:val="BodyText"/>
        <w:spacing w:before="7"/>
        <w:ind w:left="1440"/>
        <w:rPr>
          <w:sz w:val="26"/>
        </w:rPr>
      </w:pPr>
    </w:p>
    <w:p w:rsidR="00135913" w:rsidRDefault="00135913" w:rsidP="007622E8">
      <w:pPr>
        <w:pStyle w:val="ListParagraph"/>
        <w:numPr>
          <w:ilvl w:val="1"/>
          <w:numId w:val="36"/>
        </w:numPr>
        <w:tabs>
          <w:tab w:val="left" w:pos="2160"/>
          <w:tab w:val="left" w:pos="2161"/>
        </w:tabs>
        <w:spacing w:line="240" w:lineRule="auto"/>
        <w:ind w:left="1440" w:firstLine="0"/>
        <w:rPr>
          <w:sz w:val="20"/>
        </w:rPr>
      </w:pPr>
      <w:r>
        <w:rPr>
          <w:sz w:val="20"/>
        </w:rPr>
        <w:t>A broad internet search using key search</w:t>
      </w:r>
      <w:r>
        <w:rPr>
          <w:spacing w:val="-1"/>
          <w:sz w:val="20"/>
        </w:rPr>
        <w:t xml:space="preserve"> </w:t>
      </w:r>
      <w:r>
        <w:rPr>
          <w:sz w:val="20"/>
        </w:rPr>
        <w:t>terms</w:t>
      </w:r>
    </w:p>
    <w:p w:rsidR="00135913" w:rsidRDefault="00135913" w:rsidP="007622E8">
      <w:pPr>
        <w:pStyle w:val="BodyText"/>
        <w:spacing w:before="7"/>
        <w:ind w:left="1440"/>
        <w:rPr>
          <w:sz w:val="26"/>
        </w:rPr>
      </w:pPr>
    </w:p>
    <w:p w:rsidR="00135913" w:rsidRDefault="00135913" w:rsidP="007622E8">
      <w:pPr>
        <w:pStyle w:val="ListParagraph"/>
        <w:numPr>
          <w:ilvl w:val="1"/>
          <w:numId w:val="36"/>
        </w:numPr>
        <w:tabs>
          <w:tab w:val="left" w:pos="2160"/>
          <w:tab w:val="left" w:pos="2161"/>
        </w:tabs>
        <w:spacing w:before="1" w:line="240" w:lineRule="auto"/>
        <w:ind w:left="1440" w:firstLine="0"/>
        <w:rPr>
          <w:sz w:val="20"/>
        </w:rPr>
      </w:pPr>
      <w:r>
        <w:rPr>
          <w:sz w:val="20"/>
        </w:rPr>
        <w:t>A search of relevant websites including, but not limited</w:t>
      </w:r>
      <w:r>
        <w:rPr>
          <w:spacing w:val="-1"/>
          <w:sz w:val="20"/>
        </w:rPr>
        <w:t xml:space="preserve"> </w:t>
      </w:r>
      <w:r>
        <w:rPr>
          <w:sz w:val="20"/>
        </w:rPr>
        <w:t>to:</w:t>
      </w:r>
    </w:p>
    <w:p w:rsidR="00135913" w:rsidRDefault="00135913" w:rsidP="007622E8">
      <w:pPr>
        <w:pStyle w:val="BodyText"/>
        <w:spacing w:before="7"/>
        <w:ind w:left="1440"/>
        <w:rPr>
          <w:sz w:val="25"/>
        </w:rPr>
      </w:pPr>
    </w:p>
    <w:p w:rsidR="00135913" w:rsidRDefault="00135913" w:rsidP="007622E8">
      <w:pPr>
        <w:pStyle w:val="ListParagraph"/>
        <w:numPr>
          <w:ilvl w:val="2"/>
          <w:numId w:val="36"/>
        </w:numPr>
        <w:tabs>
          <w:tab w:val="left" w:pos="2880"/>
        </w:tabs>
        <w:spacing w:line="240" w:lineRule="auto"/>
        <w:ind w:left="1440" w:firstLine="0"/>
        <w:rPr>
          <w:sz w:val="20"/>
        </w:rPr>
      </w:pPr>
      <w:r>
        <w:rPr>
          <w:sz w:val="20"/>
        </w:rPr>
        <w:t>the websites of relevant government</w:t>
      </w:r>
      <w:r>
        <w:rPr>
          <w:spacing w:val="-1"/>
          <w:sz w:val="20"/>
        </w:rPr>
        <w:t xml:space="preserve"> </w:t>
      </w:r>
      <w:r>
        <w:rPr>
          <w:sz w:val="20"/>
        </w:rPr>
        <w:t>departments,</w:t>
      </w:r>
    </w:p>
    <w:p w:rsidR="00135913" w:rsidRDefault="00135913" w:rsidP="007622E8">
      <w:pPr>
        <w:pStyle w:val="BodyText"/>
        <w:tabs>
          <w:tab w:val="left" w:pos="2880"/>
        </w:tabs>
        <w:spacing w:before="1"/>
        <w:ind w:left="1440"/>
        <w:rPr>
          <w:sz w:val="25"/>
        </w:rPr>
      </w:pPr>
    </w:p>
    <w:p w:rsidR="00135913" w:rsidRDefault="00135913" w:rsidP="007622E8">
      <w:pPr>
        <w:pStyle w:val="ListParagraph"/>
        <w:numPr>
          <w:ilvl w:val="2"/>
          <w:numId w:val="36"/>
        </w:numPr>
        <w:tabs>
          <w:tab w:val="left" w:pos="2880"/>
        </w:tabs>
        <w:spacing w:line="240" w:lineRule="auto"/>
        <w:ind w:left="1440" w:firstLine="0"/>
        <w:rPr>
          <w:sz w:val="20"/>
        </w:rPr>
      </w:pPr>
      <w:r>
        <w:rPr>
          <w:sz w:val="20"/>
        </w:rPr>
        <w:t>the Closing the Gap</w:t>
      </w:r>
      <w:r>
        <w:rPr>
          <w:spacing w:val="-1"/>
          <w:sz w:val="20"/>
        </w:rPr>
        <w:t xml:space="preserve"> </w:t>
      </w:r>
      <w:r>
        <w:rPr>
          <w:sz w:val="20"/>
        </w:rPr>
        <w:t>clearinghouse</w:t>
      </w:r>
    </w:p>
    <w:p w:rsidR="00135913" w:rsidRDefault="00135913" w:rsidP="007622E8">
      <w:pPr>
        <w:pStyle w:val="BodyText"/>
        <w:tabs>
          <w:tab w:val="left" w:pos="2880"/>
        </w:tabs>
        <w:spacing w:before="1"/>
        <w:ind w:left="1440"/>
        <w:rPr>
          <w:sz w:val="25"/>
        </w:rPr>
      </w:pPr>
    </w:p>
    <w:p w:rsidR="00135913" w:rsidRDefault="00135913" w:rsidP="007622E8">
      <w:pPr>
        <w:pStyle w:val="ListParagraph"/>
        <w:numPr>
          <w:ilvl w:val="2"/>
          <w:numId w:val="36"/>
        </w:numPr>
        <w:tabs>
          <w:tab w:val="left" w:pos="2880"/>
        </w:tabs>
        <w:spacing w:line="240" w:lineRule="auto"/>
        <w:ind w:left="1440" w:firstLine="0"/>
        <w:rPr>
          <w:sz w:val="20"/>
        </w:rPr>
      </w:pPr>
      <w:r>
        <w:rPr>
          <w:sz w:val="20"/>
        </w:rPr>
        <w:t>Healthinfonet</w:t>
      </w:r>
    </w:p>
    <w:p w:rsidR="00135913" w:rsidRDefault="00135913" w:rsidP="007622E8">
      <w:pPr>
        <w:pStyle w:val="BodyText"/>
        <w:tabs>
          <w:tab w:val="left" w:pos="2880"/>
        </w:tabs>
        <w:spacing w:before="1"/>
        <w:ind w:left="1440"/>
        <w:rPr>
          <w:sz w:val="25"/>
        </w:rPr>
      </w:pPr>
    </w:p>
    <w:p w:rsidR="00135913" w:rsidRDefault="00135913" w:rsidP="007622E8">
      <w:pPr>
        <w:pStyle w:val="ListParagraph"/>
        <w:numPr>
          <w:ilvl w:val="2"/>
          <w:numId w:val="36"/>
        </w:numPr>
        <w:tabs>
          <w:tab w:val="left" w:pos="2880"/>
        </w:tabs>
        <w:spacing w:before="1" w:line="240" w:lineRule="auto"/>
        <w:ind w:left="1440" w:firstLine="0"/>
        <w:rPr>
          <w:sz w:val="20"/>
        </w:rPr>
      </w:pPr>
      <w:r>
        <w:rPr>
          <w:sz w:val="20"/>
        </w:rPr>
        <w:t>the Lowitja</w:t>
      </w:r>
      <w:r>
        <w:rPr>
          <w:spacing w:val="-1"/>
          <w:sz w:val="20"/>
        </w:rPr>
        <w:t xml:space="preserve"> </w:t>
      </w:r>
      <w:r>
        <w:rPr>
          <w:sz w:val="20"/>
        </w:rPr>
        <w:t>Institute</w:t>
      </w:r>
    </w:p>
    <w:p w:rsidR="00135913" w:rsidRDefault="00135913" w:rsidP="007622E8">
      <w:pPr>
        <w:pStyle w:val="BodyText"/>
        <w:tabs>
          <w:tab w:val="left" w:pos="2880"/>
        </w:tabs>
        <w:spacing w:before="3"/>
        <w:ind w:left="1440"/>
        <w:rPr>
          <w:sz w:val="25"/>
        </w:rPr>
      </w:pPr>
    </w:p>
    <w:p w:rsidR="00135913" w:rsidRDefault="00135913" w:rsidP="007622E8">
      <w:pPr>
        <w:pStyle w:val="ListParagraph"/>
        <w:numPr>
          <w:ilvl w:val="2"/>
          <w:numId w:val="36"/>
        </w:numPr>
        <w:tabs>
          <w:tab w:val="left" w:pos="2880"/>
        </w:tabs>
        <w:spacing w:line="240" w:lineRule="auto"/>
        <w:ind w:left="1440" w:firstLine="0"/>
        <w:rPr>
          <w:sz w:val="20"/>
        </w:rPr>
      </w:pPr>
      <w:r>
        <w:rPr>
          <w:sz w:val="20"/>
        </w:rPr>
        <w:t>the Australian Human Rights</w:t>
      </w:r>
      <w:r>
        <w:rPr>
          <w:spacing w:val="1"/>
          <w:sz w:val="20"/>
        </w:rPr>
        <w:t xml:space="preserve"> </w:t>
      </w:r>
      <w:r>
        <w:rPr>
          <w:sz w:val="20"/>
        </w:rPr>
        <w:t>Commission</w:t>
      </w:r>
    </w:p>
    <w:p w:rsidR="00135913" w:rsidRDefault="00135913" w:rsidP="007622E8">
      <w:pPr>
        <w:pStyle w:val="BodyText"/>
        <w:tabs>
          <w:tab w:val="left" w:pos="2880"/>
        </w:tabs>
        <w:spacing w:before="2"/>
        <w:ind w:left="1440"/>
        <w:rPr>
          <w:sz w:val="25"/>
        </w:rPr>
      </w:pPr>
    </w:p>
    <w:p w:rsidR="00135913" w:rsidRDefault="00135913" w:rsidP="007622E8">
      <w:pPr>
        <w:pStyle w:val="ListParagraph"/>
        <w:numPr>
          <w:ilvl w:val="2"/>
          <w:numId w:val="36"/>
        </w:numPr>
        <w:tabs>
          <w:tab w:val="left" w:pos="2880"/>
        </w:tabs>
        <w:spacing w:line="240" w:lineRule="auto"/>
        <w:ind w:left="1440" w:firstLine="0"/>
        <w:rPr>
          <w:sz w:val="20"/>
        </w:rPr>
      </w:pPr>
      <w:r>
        <w:rPr>
          <w:sz w:val="20"/>
        </w:rPr>
        <w:t>the Centre for Aboriginal Economic Policy</w:t>
      </w:r>
      <w:r>
        <w:rPr>
          <w:spacing w:val="3"/>
          <w:sz w:val="20"/>
        </w:rPr>
        <w:t xml:space="preserve"> </w:t>
      </w:r>
      <w:r>
        <w:rPr>
          <w:sz w:val="20"/>
        </w:rPr>
        <w:t>Research</w:t>
      </w:r>
    </w:p>
    <w:p w:rsidR="00135913" w:rsidRDefault="00135913" w:rsidP="007622E8">
      <w:pPr>
        <w:pStyle w:val="BodyText"/>
        <w:tabs>
          <w:tab w:val="left" w:pos="2880"/>
        </w:tabs>
        <w:spacing w:before="1"/>
        <w:ind w:left="1440"/>
        <w:rPr>
          <w:sz w:val="25"/>
        </w:rPr>
      </w:pPr>
    </w:p>
    <w:p w:rsidR="00135913" w:rsidRDefault="00135913" w:rsidP="007622E8">
      <w:pPr>
        <w:pStyle w:val="ListParagraph"/>
        <w:numPr>
          <w:ilvl w:val="2"/>
          <w:numId w:val="36"/>
        </w:numPr>
        <w:tabs>
          <w:tab w:val="left" w:pos="2880"/>
        </w:tabs>
        <w:spacing w:line="240" w:lineRule="auto"/>
        <w:ind w:left="1440" w:firstLine="0"/>
        <w:rPr>
          <w:sz w:val="20"/>
        </w:rPr>
      </w:pPr>
      <w:r>
        <w:rPr>
          <w:sz w:val="20"/>
        </w:rPr>
        <w:t>Australian Policy Online</w:t>
      </w:r>
    </w:p>
    <w:p w:rsidR="00135913" w:rsidRDefault="00135913" w:rsidP="007622E8">
      <w:pPr>
        <w:pStyle w:val="BodyText"/>
        <w:tabs>
          <w:tab w:val="left" w:pos="2880"/>
        </w:tabs>
        <w:spacing w:before="1"/>
        <w:ind w:left="1440"/>
        <w:rPr>
          <w:sz w:val="25"/>
        </w:rPr>
      </w:pPr>
    </w:p>
    <w:p w:rsidR="00135913" w:rsidRDefault="00135913" w:rsidP="007622E8">
      <w:pPr>
        <w:pStyle w:val="ListParagraph"/>
        <w:numPr>
          <w:ilvl w:val="2"/>
          <w:numId w:val="36"/>
        </w:numPr>
        <w:tabs>
          <w:tab w:val="left" w:pos="2880"/>
        </w:tabs>
        <w:spacing w:line="240" w:lineRule="auto"/>
        <w:ind w:left="1440" w:firstLine="0"/>
        <w:rPr>
          <w:sz w:val="20"/>
        </w:rPr>
      </w:pPr>
      <w:r>
        <w:rPr>
          <w:sz w:val="20"/>
        </w:rPr>
        <w:t>National Congress of Australia’s First</w:t>
      </w:r>
      <w:r>
        <w:rPr>
          <w:spacing w:val="-2"/>
          <w:sz w:val="20"/>
        </w:rPr>
        <w:t xml:space="preserve"> </w:t>
      </w:r>
      <w:r>
        <w:rPr>
          <w:sz w:val="20"/>
        </w:rPr>
        <w:t>Peoples</w:t>
      </w:r>
    </w:p>
    <w:p w:rsidR="00135913" w:rsidRDefault="00135913" w:rsidP="007622E8">
      <w:pPr>
        <w:pStyle w:val="BodyText"/>
        <w:tabs>
          <w:tab w:val="left" w:pos="2880"/>
        </w:tabs>
        <w:spacing w:before="3"/>
        <w:ind w:left="1440"/>
        <w:rPr>
          <w:sz w:val="25"/>
        </w:rPr>
      </w:pPr>
    </w:p>
    <w:p w:rsidR="00135913" w:rsidRDefault="00135913" w:rsidP="007622E8">
      <w:pPr>
        <w:pStyle w:val="ListParagraph"/>
        <w:numPr>
          <w:ilvl w:val="2"/>
          <w:numId w:val="36"/>
        </w:numPr>
        <w:tabs>
          <w:tab w:val="left" w:pos="2880"/>
        </w:tabs>
        <w:spacing w:before="1" w:line="240" w:lineRule="auto"/>
        <w:ind w:left="1440" w:firstLine="0"/>
        <w:rPr>
          <w:sz w:val="20"/>
        </w:rPr>
      </w:pPr>
      <w:r>
        <w:rPr>
          <w:sz w:val="20"/>
        </w:rPr>
        <w:t>The</w:t>
      </w:r>
      <w:r>
        <w:rPr>
          <w:spacing w:val="-2"/>
          <w:sz w:val="20"/>
        </w:rPr>
        <w:t xml:space="preserve"> </w:t>
      </w:r>
      <w:r>
        <w:rPr>
          <w:sz w:val="20"/>
        </w:rPr>
        <w:t>Conversation</w:t>
      </w:r>
    </w:p>
    <w:p w:rsidR="00135913" w:rsidRDefault="00135913" w:rsidP="007622E8">
      <w:pPr>
        <w:pStyle w:val="BodyText"/>
        <w:ind w:left="1440"/>
        <w:rPr>
          <w:sz w:val="26"/>
        </w:rPr>
      </w:pPr>
    </w:p>
    <w:p w:rsidR="00135913" w:rsidRDefault="00135913" w:rsidP="007622E8">
      <w:pPr>
        <w:pStyle w:val="ListParagraph"/>
        <w:numPr>
          <w:ilvl w:val="1"/>
          <w:numId w:val="36"/>
        </w:numPr>
        <w:tabs>
          <w:tab w:val="left" w:pos="2160"/>
        </w:tabs>
        <w:spacing w:before="1" w:line="309" w:lineRule="auto"/>
        <w:ind w:left="2127" w:right="1446" w:hanging="687"/>
        <w:rPr>
          <w:sz w:val="20"/>
        </w:rPr>
      </w:pPr>
      <w:r>
        <w:rPr>
          <w:sz w:val="20"/>
        </w:rPr>
        <w:t>A search across the University of Sydney Library collections (print, audiovisual and electronic collections) using</w:t>
      </w:r>
      <w:r>
        <w:rPr>
          <w:spacing w:val="-1"/>
          <w:sz w:val="20"/>
        </w:rPr>
        <w:t xml:space="preserve"> </w:t>
      </w:r>
      <w:r>
        <w:rPr>
          <w:sz w:val="20"/>
        </w:rPr>
        <w:t>CrossSearch</w:t>
      </w:r>
    </w:p>
    <w:p w:rsidR="00135913" w:rsidRDefault="00135913" w:rsidP="007622E8">
      <w:pPr>
        <w:pStyle w:val="BodyText"/>
        <w:tabs>
          <w:tab w:val="left" w:pos="2160"/>
        </w:tabs>
        <w:spacing w:before="11"/>
        <w:ind w:left="2127" w:hanging="687"/>
      </w:pPr>
    </w:p>
    <w:p w:rsidR="00135913" w:rsidRDefault="00135913" w:rsidP="007622E8">
      <w:pPr>
        <w:pStyle w:val="ListParagraph"/>
        <w:numPr>
          <w:ilvl w:val="1"/>
          <w:numId w:val="36"/>
        </w:numPr>
        <w:tabs>
          <w:tab w:val="left" w:pos="2160"/>
        </w:tabs>
        <w:spacing w:before="1" w:line="309" w:lineRule="auto"/>
        <w:ind w:left="2127" w:right="1440" w:hanging="687"/>
        <w:rPr>
          <w:sz w:val="20"/>
        </w:rPr>
      </w:pPr>
      <w:r>
        <w:rPr>
          <w:sz w:val="20"/>
        </w:rPr>
        <w:t>A search of specific academic databases including Informit Online, JSTOR, Proquest Central, Scopus, PubMed, PsychINFO, and Web of</w:t>
      </w:r>
      <w:r>
        <w:rPr>
          <w:spacing w:val="-5"/>
          <w:sz w:val="20"/>
        </w:rPr>
        <w:t xml:space="preserve"> </w:t>
      </w:r>
      <w:r>
        <w:rPr>
          <w:sz w:val="20"/>
        </w:rPr>
        <w:t>Science</w:t>
      </w:r>
    </w:p>
    <w:p w:rsidR="00135913" w:rsidRDefault="00135913" w:rsidP="007622E8">
      <w:pPr>
        <w:spacing w:line="309" w:lineRule="auto"/>
        <w:ind w:left="1440"/>
        <w:rPr>
          <w:sz w:val="20"/>
        </w:rPr>
        <w:sectPr w:rsidR="00135913">
          <w:footerReference w:type="default" r:id="rId38"/>
          <w:pgSz w:w="11910" w:h="16840"/>
          <w:pgMar w:top="1440" w:right="0" w:bottom="980" w:left="0" w:header="0" w:footer="798" w:gutter="0"/>
          <w:pgNumType w:start="1"/>
          <w:cols w:space="720"/>
        </w:sectPr>
      </w:pPr>
    </w:p>
    <w:p w:rsidR="00135913" w:rsidRDefault="00135913" w:rsidP="007622E8">
      <w:pPr>
        <w:pStyle w:val="ListParagraph"/>
        <w:numPr>
          <w:ilvl w:val="1"/>
          <w:numId w:val="36"/>
        </w:numPr>
        <w:tabs>
          <w:tab w:val="left" w:pos="2160"/>
        </w:tabs>
        <w:spacing w:before="93" w:line="240" w:lineRule="auto"/>
        <w:ind w:left="1440" w:firstLine="0"/>
        <w:rPr>
          <w:sz w:val="20"/>
        </w:rPr>
      </w:pPr>
      <w:r>
        <w:rPr>
          <w:sz w:val="20"/>
        </w:rPr>
        <w:t>Additional articles were identified through hand searching reference lists of relevant</w:t>
      </w:r>
      <w:r>
        <w:rPr>
          <w:spacing w:val="-14"/>
          <w:sz w:val="20"/>
        </w:rPr>
        <w:t xml:space="preserve"> </w:t>
      </w:r>
      <w:r>
        <w:rPr>
          <w:sz w:val="20"/>
        </w:rPr>
        <w:t>publications</w:t>
      </w:r>
    </w:p>
    <w:p w:rsidR="00135913" w:rsidRDefault="00135913" w:rsidP="007622E8">
      <w:pPr>
        <w:pStyle w:val="BodyText"/>
        <w:tabs>
          <w:tab w:val="left" w:pos="2160"/>
        </w:tabs>
        <w:spacing w:before="7"/>
        <w:ind w:left="1440"/>
        <w:rPr>
          <w:sz w:val="25"/>
        </w:rPr>
      </w:pPr>
    </w:p>
    <w:p w:rsidR="00135913" w:rsidRDefault="00135913" w:rsidP="007622E8">
      <w:pPr>
        <w:pStyle w:val="BodyText"/>
        <w:tabs>
          <w:tab w:val="left" w:pos="2160"/>
        </w:tabs>
        <w:spacing w:line="312" w:lineRule="auto"/>
        <w:ind w:left="1440" w:right="1439"/>
        <w:jc w:val="both"/>
      </w:pPr>
      <w:r>
        <w:t>Key search terms for the review included “Closing the Gap” “Indigenous” “progress” “appropriateness” “success” “engagement” “facilitators” and “barriers”</w:t>
      </w:r>
    </w:p>
    <w:p w:rsidR="00135913" w:rsidRDefault="00135913" w:rsidP="007622E8">
      <w:pPr>
        <w:pStyle w:val="BodyText"/>
        <w:tabs>
          <w:tab w:val="left" w:pos="2160"/>
        </w:tabs>
        <w:spacing w:before="7"/>
        <w:ind w:left="1440"/>
      </w:pPr>
    </w:p>
    <w:p w:rsidR="00135913" w:rsidRDefault="00135913" w:rsidP="007622E8">
      <w:pPr>
        <w:pStyle w:val="BodyText"/>
        <w:tabs>
          <w:tab w:val="left" w:pos="2160"/>
        </w:tabs>
        <w:spacing w:line="312" w:lineRule="auto"/>
        <w:ind w:left="1440" w:right="1439"/>
        <w:jc w:val="both"/>
      </w:pPr>
      <w:r>
        <w:t>The search generated a limited number of relevant articles and publications and only a very small number of academic journal articles. The search identified a much larger body of literature which focused on progress of specific</w:t>
      </w:r>
      <w:r>
        <w:rPr>
          <w:spacing w:val="-12"/>
        </w:rPr>
        <w:t xml:space="preserve"> </w:t>
      </w:r>
      <w:r>
        <w:t>elements</w:t>
      </w:r>
      <w:r>
        <w:rPr>
          <w:spacing w:val="-10"/>
        </w:rPr>
        <w:t xml:space="preserve"> </w:t>
      </w:r>
      <w:r>
        <w:t>and</w:t>
      </w:r>
      <w:r>
        <w:rPr>
          <w:spacing w:val="-11"/>
        </w:rPr>
        <w:t xml:space="preserve"> </w:t>
      </w:r>
      <w:r>
        <w:t>targets</w:t>
      </w:r>
      <w:r>
        <w:rPr>
          <w:spacing w:val="-12"/>
        </w:rPr>
        <w:t xml:space="preserve"> </w:t>
      </w:r>
      <w:r>
        <w:t>of</w:t>
      </w:r>
      <w:r>
        <w:rPr>
          <w:spacing w:val="-11"/>
        </w:rPr>
        <w:t xml:space="preserve"> </w:t>
      </w:r>
      <w:r>
        <w:t>the</w:t>
      </w:r>
      <w:r>
        <w:rPr>
          <w:spacing w:val="-12"/>
        </w:rPr>
        <w:t xml:space="preserve"> </w:t>
      </w:r>
      <w:r>
        <w:t>overarching</w:t>
      </w:r>
      <w:r>
        <w:rPr>
          <w:spacing w:val="-10"/>
        </w:rPr>
        <w:t xml:space="preserve"> </w:t>
      </w:r>
      <w:r>
        <w:t>Closing</w:t>
      </w:r>
      <w:r>
        <w:rPr>
          <w:spacing w:val="-11"/>
        </w:rPr>
        <w:t xml:space="preserve"> </w:t>
      </w:r>
      <w:r>
        <w:t>the</w:t>
      </w:r>
      <w:r>
        <w:rPr>
          <w:spacing w:val="-9"/>
        </w:rPr>
        <w:t xml:space="preserve"> </w:t>
      </w:r>
      <w:r>
        <w:t>Gap</w:t>
      </w:r>
      <w:r>
        <w:rPr>
          <w:spacing w:val="-10"/>
        </w:rPr>
        <w:t xml:space="preserve"> </w:t>
      </w:r>
      <w:r>
        <w:t>policy</w:t>
      </w:r>
      <w:r>
        <w:rPr>
          <w:spacing w:val="-10"/>
        </w:rPr>
        <w:t xml:space="preserve"> </w:t>
      </w:r>
      <w:r>
        <w:t>framework</w:t>
      </w:r>
      <w:r>
        <w:rPr>
          <w:spacing w:val="-7"/>
        </w:rPr>
        <w:t xml:space="preserve"> </w:t>
      </w:r>
      <w:r>
        <w:t>which</w:t>
      </w:r>
      <w:r>
        <w:rPr>
          <w:spacing w:val="-10"/>
        </w:rPr>
        <w:t xml:space="preserve"> </w:t>
      </w:r>
      <w:r>
        <w:t>was</w:t>
      </w:r>
      <w:r>
        <w:rPr>
          <w:spacing w:val="-9"/>
        </w:rPr>
        <w:t xml:space="preserve"> </w:t>
      </w:r>
      <w:r>
        <w:t>outside</w:t>
      </w:r>
      <w:r>
        <w:rPr>
          <w:spacing w:val="-12"/>
        </w:rPr>
        <w:t xml:space="preserve"> </w:t>
      </w:r>
      <w:r>
        <w:t>the</w:t>
      </w:r>
      <w:r>
        <w:rPr>
          <w:spacing w:val="-11"/>
        </w:rPr>
        <w:t xml:space="preserve"> </w:t>
      </w:r>
      <w:r>
        <w:t xml:space="preserve">scope of this review. The literature search did not identify any recent, systematic reviews of this broader body of literature apart from the 2012 article from the Closing the Gap clearinghouse titled </w:t>
      </w:r>
      <w:r>
        <w:rPr>
          <w:rFonts w:ascii="Arial"/>
          <w:i/>
        </w:rPr>
        <w:t>What works to overcome Indigenous</w:t>
      </w:r>
      <w:r>
        <w:rPr>
          <w:rFonts w:ascii="Arial"/>
          <w:i/>
          <w:spacing w:val="-18"/>
        </w:rPr>
        <w:t xml:space="preserve"> </w:t>
      </w:r>
      <w:r>
        <w:rPr>
          <w:rFonts w:ascii="Arial"/>
          <w:i/>
        </w:rPr>
        <w:t>disadvantage</w:t>
      </w:r>
      <w:r>
        <w:t>.</w:t>
      </w:r>
    </w:p>
    <w:p w:rsidR="00135913" w:rsidRDefault="00135913" w:rsidP="007622E8">
      <w:pPr>
        <w:spacing w:line="312" w:lineRule="auto"/>
        <w:ind w:left="1440"/>
        <w:jc w:val="both"/>
        <w:sectPr w:rsidR="00135913">
          <w:pgSz w:w="11910" w:h="16840"/>
          <w:pgMar w:top="1340" w:right="0" w:bottom="980" w:left="0" w:header="0" w:footer="798" w:gutter="0"/>
          <w:cols w:space="720"/>
        </w:sectPr>
      </w:pPr>
    </w:p>
    <w:p w:rsidR="00135913" w:rsidRDefault="00135913" w:rsidP="007622E8">
      <w:pPr>
        <w:pStyle w:val="Heading3"/>
        <w:ind w:left="1440"/>
      </w:pPr>
      <w:r>
        <w:t>Findings</w:t>
      </w:r>
    </w:p>
    <w:p w:rsidR="00135913" w:rsidRDefault="00135913" w:rsidP="007622E8">
      <w:pPr>
        <w:pStyle w:val="Heading4"/>
        <w:ind w:left="1440"/>
      </w:pPr>
      <w:r>
        <w:t>Background</w:t>
      </w:r>
    </w:p>
    <w:p w:rsidR="00135913" w:rsidRDefault="00135913" w:rsidP="007622E8">
      <w:pPr>
        <w:pStyle w:val="BodyText"/>
        <w:spacing w:before="239" w:line="312" w:lineRule="auto"/>
        <w:ind w:left="1440" w:right="1441"/>
        <w:jc w:val="both"/>
      </w:pPr>
      <w:r>
        <w:t>In December 2007, the Council of Australian Governments (COAG) agreed to a partnership between all levels of government to work with Indigenous communities to achieve the target of Closing the Gap in Indigenous disadvantage.</w:t>
      </w:r>
    </w:p>
    <w:p w:rsidR="00135913" w:rsidRDefault="00135913" w:rsidP="007622E8">
      <w:pPr>
        <w:pStyle w:val="BodyText"/>
        <w:tabs>
          <w:tab w:val="left" w:pos="1985"/>
        </w:tabs>
        <w:spacing w:before="6"/>
        <w:ind w:left="1440"/>
      </w:pPr>
    </w:p>
    <w:p w:rsidR="00135913" w:rsidRDefault="00135913" w:rsidP="007622E8">
      <w:pPr>
        <w:pStyle w:val="BodyText"/>
        <w:tabs>
          <w:tab w:val="left" w:pos="1985"/>
        </w:tabs>
        <w:spacing w:before="1" w:line="312" w:lineRule="auto"/>
        <w:ind w:left="1440" w:right="1435"/>
        <w:jc w:val="both"/>
      </w:pPr>
      <w:r>
        <w:t>The National Indigenous Reform Agreement (Closing the Gap) (NIRA) was established to frame the task of Closing the Gap in Indigenous disadvantage and outlined the objectives, outcomes, outputs, performance indicators, performance benchmarks, roles and responsibilities agreed by COAG.</w:t>
      </w:r>
    </w:p>
    <w:p w:rsidR="00135913" w:rsidRDefault="00135913" w:rsidP="007622E8">
      <w:pPr>
        <w:pStyle w:val="BodyText"/>
        <w:tabs>
          <w:tab w:val="left" w:pos="1985"/>
        </w:tabs>
        <w:spacing w:before="9"/>
        <w:ind w:left="1440"/>
      </w:pPr>
    </w:p>
    <w:p w:rsidR="00135913" w:rsidRDefault="00135913" w:rsidP="007622E8">
      <w:pPr>
        <w:pStyle w:val="BodyText"/>
        <w:tabs>
          <w:tab w:val="left" w:pos="1985"/>
        </w:tabs>
        <w:spacing w:line="312" w:lineRule="auto"/>
        <w:ind w:left="1440" w:right="1443"/>
        <w:jc w:val="both"/>
      </w:pPr>
      <w:r>
        <w:t>To</w:t>
      </w:r>
      <w:r>
        <w:rPr>
          <w:spacing w:val="-6"/>
        </w:rPr>
        <w:t xml:space="preserve"> </w:t>
      </w:r>
      <w:r>
        <w:t>Close</w:t>
      </w:r>
      <w:r>
        <w:rPr>
          <w:spacing w:val="-5"/>
        </w:rPr>
        <w:t xml:space="preserve"> </w:t>
      </w:r>
      <w:r>
        <w:t>the</w:t>
      </w:r>
      <w:r>
        <w:rPr>
          <w:spacing w:val="-6"/>
        </w:rPr>
        <w:t xml:space="preserve"> </w:t>
      </w:r>
      <w:r>
        <w:t>Gap</w:t>
      </w:r>
      <w:r>
        <w:rPr>
          <w:spacing w:val="-4"/>
        </w:rPr>
        <w:t xml:space="preserve"> </w:t>
      </w:r>
      <w:r>
        <w:t>in</w:t>
      </w:r>
      <w:r>
        <w:rPr>
          <w:spacing w:val="-5"/>
        </w:rPr>
        <w:t xml:space="preserve"> </w:t>
      </w:r>
      <w:r>
        <w:t>Indigenous</w:t>
      </w:r>
      <w:r>
        <w:rPr>
          <w:spacing w:val="-3"/>
        </w:rPr>
        <w:t xml:space="preserve"> </w:t>
      </w:r>
      <w:r>
        <w:t>disadvantage</w:t>
      </w:r>
      <w:r>
        <w:rPr>
          <w:spacing w:val="-5"/>
        </w:rPr>
        <w:t xml:space="preserve"> </w:t>
      </w:r>
      <w:r>
        <w:t>under</w:t>
      </w:r>
      <w:r>
        <w:rPr>
          <w:spacing w:val="-4"/>
        </w:rPr>
        <w:t xml:space="preserve"> </w:t>
      </w:r>
      <w:r>
        <w:t>the NIRA,</w:t>
      </w:r>
      <w:r>
        <w:rPr>
          <w:spacing w:val="-5"/>
        </w:rPr>
        <w:t xml:space="preserve"> </w:t>
      </w:r>
      <w:r>
        <w:t>COAG</w:t>
      </w:r>
      <w:r>
        <w:rPr>
          <w:spacing w:val="-4"/>
        </w:rPr>
        <w:t xml:space="preserve"> </w:t>
      </w:r>
      <w:r>
        <w:t>committed</w:t>
      </w:r>
      <w:r>
        <w:rPr>
          <w:spacing w:val="-5"/>
        </w:rPr>
        <w:t xml:space="preserve"> </w:t>
      </w:r>
      <w:r>
        <w:t>to</w:t>
      </w:r>
      <w:r>
        <w:rPr>
          <w:spacing w:val="-5"/>
        </w:rPr>
        <w:t xml:space="preserve"> </w:t>
      </w:r>
      <w:r>
        <w:t>making</w:t>
      </w:r>
      <w:r>
        <w:rPr>
          <w:spacing w:val="-4"/>
        </w:rPr>
        <w:t xml:space="preserve"> </w:t>
      </w:r>
      <w:r>
        <w:t>significant</w:t>
      </w:r>
      <w:r>
        <w:rPr>
          <w:spacing w:val="-5"/>
        </w:rPr>
        <w:t xml:space="preserve"> </w:t>
      </w:r>
      <w:r>
        <w:t>reforms in order to address six specific targets</w:t>
      </w:r>
      <w:r>
        <w:rPr>
          <w:spacing w:val="3"/>
        </w:rPr>
        <w:t xml:space="preserve"> </w:t>
      </w:r>
      <w:r>
        <w:t>(objectives):</w:t>
      </w:r>
    </w:p>
    <w:p w:rsidR="00135913" w:rsidRDefault="00135913" w:rsidP="007622E8">
      <w:pPr>
        <w:pStyle w:val="BodyText"/>
        <w:tabs>
          <w:tab w:val="left" w:pos="1985"/>
        </w:tabs>
        <w:spacing w:before="9"/>
        <w:ind w:left="1440"/>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close the life expectancy gap within a</w:t>
      </w:r>
      <w:r>
        <w:rPr>
          <w:spacing w:val="-2"/>
        </w:rPr>
        <w:t xml:space="preserve"> </w:t>
      </w:r>
      <w:r>
        <w:t>generation</w:t>
      </w:r>
    </w:p>
    <w:p w:rsidR="00135913" w:rsidRDefault="00135913" w:rsidP="007622E8">
      <w:pPr>
        <w:pStyle w:val="BodyText"/>
        <w:tabs>
          <w:tab w:val="left" w:pos="1985"/>
        </w:tabs>
        <w:spacing w:before="8"/>
        <w:ind w:left="1440"/>
        <w:rPr>
          <w:sz w:val="25"/>
        </w:rPr>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halve the gap in mortality rates for Indigenous children under five within a</w:t>
      </w:r>
      <w:r>
        <w:rPr>
          <w:spacing w:val="-2"/>
        </w:rPr>
        <w:t xml:space="preserve"> </w:t>
      </w:r>
      <w:r>
        <w:t>decade</w:t>
      </w:r>
    </w:p>
    <w:p w:rsidR="00135913" w:rsidRDefault="00135913" w:rsidP="007622E8">
      <w:pPr>
        <w:pStyle w:val="BodyText"/>
        <w:tabs>
          <w:tab w:val="left" w:pos="1985"/>
        </w:tabs>
        <w:spacing w:before="7"/>
        <w:ind w:left="1440"/>
        <w:rPr>
          <w:sz w:val="25"/>
        </w:rPr>
      </w:pPr>
    </w:p>
    <w:p w:rsidR="00135913" w:rsidRDefault="00135913" w:rsidP="00567CB3">
      <w:pPr>
        <w:pStyle w:val="BodyText"/>
        <w:tabs>
          <w:tab w:val="left" w:pos="1985"/>
        </w:tabs>
        <w:spacing w:line="312" w:lineRule="auto"/>
        <w:ind w:left="1980" w:right="1444" w:hanging="540"/>
        <w:jc w:val="both"/>
      </w:pPr>
      <w:r>
        <w:rPr>
          <w:rFonts w:ascii="Wingdings 2" w:hAnsi="Wingdings 2"/>
          <w:color w:val="DA291C"/>
        </w:rPr>
        <w:t></w:t>
      </w:r>
      <w:r>
        <w:rPr>
          <w:rFonts w:ascii="Times New Roman" w:hAnsi="Times New Roman"/>
          <w:color w:val="DA291C"/>
        </w:rPr>
        <w:t xml:space="preserve"> </w:t>
      </w:r>
      <w:r w:rsidR="00567CB3">
        <w:rPr>
          <w:rFonts w:ascii="Times New Roman" w:hAnsi="Times New Roman"/>
          <w:color w:val="DA291C"/>
        </w:rPr>
        <w:tab/>
      </w:r>
      <w:r>
        <w:t xml:space="preserve">ensure all Indigenous four years olds in remote communities have access to early childhood </w:t>
      </w:r>
      <w:r>
        <w:rPr>
          <w:spacing w:val="-32"/>
        </w:rPr>
        <w:t xml:space="preserve">education </w:t>
      </w:r>
      <w:r>
        <w:t>within</w:t>
      </w:r>
      <w:r>
        <w:rPr>
          <w:spacing w:val="-3"/>
        </w:rPr>
        <w:t xml:space="preserve"> </w:t>
      </w:r>
      <w:r>
        <w:t>five</w:t>
      </w:r>
      <w:r>
        <w:rPr>
          <w:spacing w:val="-6"/>
        </w:rPr>
        <w:t xml:space="preserve"> </w:t>
      </w:r>
      <w:r>
        <w:t>years.</w:t>
      </w:r>
      <w:r>
        <w:rPr>
          <w:spacing w:val="-4"/>
        </w:rPr>
        <w:t xml:space="preserve"> </w:t>
      </w:r>
      <w:r>
        <w:t>In</w:t>
      </w:r>
      <w:r>
        <w:rPr>
          <w:spacing w:val="-5"/>
        </w:rPr>
        <w:t xml:space="preserve"> </w:t>
      </w:r>
      <w:r>
        <w:t>December</w:t>
      </w:r>
      <w:r>
        <w:rPr>
          <w:spacing w:val="-5"/>
        </w:rPr>
        <w:t xml:space="preserve"> </w:t>
      </w:r>
      <w:r>
        <w:t>2015,</w:t>
      </w:r>
      <w:r>
        <w:rPr>
          <w:spacing w:val="-4"/>
        </w:rPr>
        <w:t xml:space="preserve"> </w:t>
      </w:r>
      <w:r>
        <w:t>COAG</w:t>
      </w:r>
      <w:r>
        <w:rPr>
          <w:spacing w:val="-6"/>
        </w:rPr>
        <w:t xml:space="preserve"> </w:t>
      </w:r>
      <w:r>
        <w:t>revised</w:t>
      </w:r>
      <w:r>
        <w:rPr>
          <w:spacing w:val="-6"/>
        </w:rPr>
        <w:t xml:space="preserve"> </w:t>
      </w:r>
      <w:r>
        <w:t>this</w:t>
      </w:r>
      <w:r>
        <w:rPr>
          <w:spacing w:val="-3"/>
        </w:rPr>
        <w:t xml:space="preserve"> </w:t>
      </w:r>
      <w:r>
        <w:t>target,</w:t>
      </w:r>
      <w:r>
        <w:rPr>
          <w:spacing w:val="-5"/>
        </w:rPr>
        <w:t xml:space="preserve"> </w:t>
      </w:r>
      <w:r>
        <w:t>aiming</w:t>
      </w:r>
      <w:r>
        <w:rPr>
          <w:spacing w:val="-3"/>
        </w:rPr>
        <w:t xml:space="preserve"> </w:t>
      </w:r>
      <w:r>
        <w:t>for</w:t>
      </w:r>
      <w:r>
        <w:rPr>
          <w:spacing w:val="-4"/>
        </w:rPr>
        <w:t xml:space="preserve"> </w:t>
      </w:r>
      <w:r>
        <w:t>95</w:t>
      </w:r>
      <w:r>
        <w:rPr>
          <w:spacing w:val="-5"/>
        </w:rPr>
        <w:t xml:space="preserve"> </w:t>
      </w:r>
      <w:r>
        <w:t>per</w:t>
      </w:r>
      <w:r>
        <w:rPr>
          <w:spacing w:val="-2"/>
        </w:rPr>
        <w:t xml:space="preserve"> </w:t>
      </w:r>
      <w:r>
        <w:t>cent</w:t>
      </w:r>
      <w:r>
        <w:rPr>
          <w:spacing w:val="-3"/>
        </w:rPr>
        <w:t xml:space="preserve"> </w:t>
      </w:r>
      <w:r>
        <w:t>of</w:t>
      </w:r>
      <w:r>
        <w:rPr>
          <w:spacing w:val="-4"/>
        </w:rPr>
        <w:t xml:space="preserve"> </w:t>
      </w:r>
      <w:r>
        <w:t>all</w:t>
      </w:r>
      <w:r>
        <w:rPr>
          <w:spacing w:val="-6"/>
        </w:rPr>
        <w:t xml:space="preserve"> </w:t>
      </w:r>
      <w:r>
        <w:t>Indigenous four-year-olds to be enrolled in early childhood education by</w:t>
      </w:r>
      <w:r>
        <w:rPr>
          <w:spacing w:val="-5"/>
        </w:rPr>
        <w:t xml:space="preserve"> </w:t>
      </w:r>
      <w:r>
        <w:t>2025.</w:t>
      </w:r>
    </w:p>
    <w:p w:rsidR="00135913" w:rsidRDefault="00135913" w:rsidP="007622E8">
      <w:pPr>
        <w:pStyle w:val="BodyText"/>
        <w:tabs>
          <w:tab w:val="left" w:pos="1985"/>
        </w:tabs>
        <w:spacing w:before="9"/>
        <w:ind w:left="1440"/>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halve the gap for Indigenous students in reading, writing and numeracy within a</w:t>
      </w:r>
      <w:r>
        <w:rPr>
          <w:spacing w:val="-4"/>
        </w:rPr>
        <w:t xml:space="preserve"> </w:t>
      </w:r>
      <w:r>
        <w:t>decade</w:t>
      </w:r>
    </w:p>
    <w:p w:rsidR="00135913" w:rsidRDefault="00135913" w:rsidP="007622E8">
      <w:pPr>
        <w:pStyle w:val="BodyText"/>
        <w:tabs>
          <w:tab w:val="left" w:pos="1985"/>
        </w:tabs>
        <w:spacing w:before="8"/>
        <w:ind w:left="1440"/>
        <w:rPr>
          <w:sz w:val="25"/>
        </w:rPr>
      </w:pPr>
    </w:p>
    <w:p w:rsidR="00135913" w:rsidRDefault="00135913" w:rsidP="00567CB3">
      <w:pPr>
        <w:pStyle w:val="BodyText"/>
        <w:tabs>
          <w:tab w:val="left" w:pos="1985"/>
          <w:tab w:val="left" w:pos="2148"/>
        </w:tabs>
        <w:spacing w:line="312" w:lineRule="auto"/>
        <w:ind w:left="1980" w:right="1440" w:hanging="540"/>
      </w:pPr>
      <w:r>
        <w:rPr>
          <w:rFonts w:ascii="Wingdings 2" w:hAnsi="Wingdings 2"/>
          <w:color w:val="DA291C"/>
        </w:rPr>
        <w:t></w:t>
      </w:r>
      <w:r>
        <w:rPr>
          <w:rFonts w:ascii="Wingdings 2" w:hAnsi="Wingdings 2"/>
          <w:color w:val="DA291C"/>
        </w:rPr>
        <w:tab/>
      </w:r>
      <w:r>
        <w:t>halving</w:t>
      </w:r>
      <w:r>
        <w:rPr>
          <w:spacing w:val="-10"/>
        </w:rPr>
        <w:t xml:space="preserve"> </w:t>
      </w:r>
      <w:r>
        <w:t>the</w:t>
      </w:r>
      <w:r>
        <w:rPr>
          <w:spacing w:val="-11"/>
        </w:rPr>
        <w:t xml:space="preserve"> </w:t>
      </w:r>
      <w:r>
        <w:t>gap</w:t>
      </w:r>
      <w:r>
        <w:rPr>
          <w:spacing w:val="-10"/>
        </w:rPr>
        <w:t xml:space="preserve"> </w:t>
      </w:r>
      <w:r>
        <w:t>for</w:t>
      </w:r>
      <w:r>
        <w:rPr>
          <w:spacing w:val="-10"/>
        </w:rPr>
        <w:t xml:space="preserve"> </w:t>
      </w:r>
      <w:r>
        <w:t>Indigenous</w:t>
      </w:r>
      <w:r>
        <w:rPr>
          <w:spacing w:val="-8"/>
        </w:rPr>
        <w:t xml:space="preserve"> </w:t>
      </w:r>
      <w:r>
        <w:t>people</w:t>
      </w:r>
      <w:r>
        <w:rPr>
          <w:spacing w:val="-11"/>
        </w:rPr>
        <w:t xml:space="preserve"> </w:t>
      </w:r>
      <w:r>
        <w:t>aged</w:t>
      </w:r>
      <w:r>
        <w:rPr>
          <w:spacing w:val="-11"/>
        </w:rPr>
        <w:t xml:space="preserve"> </w:t>
      </w:r>
      <w:r>
        <w:t>20-24</w:t>
      </w:r>
      <w:r>
        <w:rPr>
          <w:spacing w:val="-10"/>
        </w:rPr>
        <w:t xml:space="preserve"> </w:t>
      </w:r>
      <w:r>
        <w:t>in</w:t>
      </w:r>
      <w:r>
        <w:rPr>
          <w:spacing w:val="-7"/>
        </w:rPr>
        <w:t xml:space="preserve"> </w:t>
      </w:r>
      <w:r>
        <w:t>Year</w:t>
      </w:r>
      <w:r>
        <w:rPr>
          <w:spacing w:val="-9"/>
        </w:rPr>
        <w:t xml:space="preserve"> </w:t>
      </w:r>
      <w:r>
        <w:t>12</w:t>
      </w:r>
      <w:r>
        <w:rPr>
          <w:spacing w:val="-10"/>
        </w:rPr>
        <w:t xml:space="preserve"> </w:t>
      </w:r>
      <w:r>
        <w:t>attainment</w:t>
      </w:r>
      <w:r>
        <w:rPr>
          <w:spacing w:val="-9"/>
        </w:rPr>
        <w:t xml:space="preserve"> </w:t>
      </w:r>
      <w:r>
        <w:t>or</w:t>
      </w:r>
      <w:r>
        <w:rPr>
          <w:spacing w:val="-10"/>
        </w:rPr>
        <w:t xml:space="preserve"> </w:t>
      </w:r>
      <w:r>
        <w:t>equivalent</w:t>
      </w:r>
      <w:r>
        <w:rPr>
          <w:spacing w:val="-10"/>
        </w:rPr>
        <w:t xml:space="preserve"> </w:t>
      </w:r>
      <w:r>
        <w:t>attainment</w:t>
      </w:r>
      <w:r>
        <w:rPr>
          <w:spacing w:val="-9"/>
        </w:rPr>
        <w:t xml:space="preserve"> </w:t>
      </w:r>
      <w:r>
        <w:t>rates by 2020;</w:t>
      </w:r>
      <w:r>
        <w:rPr>
          <w:spacing w:val="-1"/>
        </w:rPr>
        <w:t xml:space="preserve"> </w:t>
      </w:r>
      <w:r>
        <w:t>and</w:t>
      </w:r>
    </w:p>
    <w:p w:rsidR="00135913" w:rsidRDefault="00135913" w:rsidP="007622E8">
      <w:pPr>
        <w:pStyle w:val="BodyText"/>
        <w:tabs>
          <w:tab w:val="left" w:pos="1985"/>
        </w:tabs>
        <w:spacing w:before="7"/>
        <w:ind w:left="1440"/>
      </w:pPr>
    </w:p>
    <w:p w:rsidR="00135913" w:rsidRDefault="00135913" w:rsidP="00567CB3">
      <w:pPr>
        <w:pStyle w:val="BodyText"/>
        <w:tabs>
          <w:tab w:val="left" w:pos="1985"/>
          <w:tab w:val="left" w:pos="2148"/>
        </w:tabs>
        <w:spacing w:line="314" w:lineRule="auto"/>
        <w:ind w:left="1980" w:right="1440" w:hanging="540"/>
      </w:pPr>
      <w:r>
        <w:rPr>
          <w:rFonts w:ascii="Wingdings 2" w:hAnsi="Wingdings 2"/>
          <w:color w:val="DA291C"/>
        </w:rPr>
        <w:t></w:t>
      </w:r>
      <w:r>
        <w:rPr>
          <w:rFonts w:ascii="Wingdings 2" w:hAnsi="Wingdings 2"/>
          <w:color w:val="DA291C"/>
        </w:rPr>
        <w:tab/>
      </w:r>
      <w:r>
        <w:t>halve the gap in employment outcomes between Indigenous and non-Indigenous Australians within a decade (COAG,</w:t>
      </w:r>
      <w:r>
        <w:rPr>
          <w:spacing w:val="-1"/>
        </w:rPr>
        <w:t xml:space="preserve"> </w:t>
      </w:r>
      <w:r>
        <w:t>2009).</w:t>
      </w:r>
    </w:p>
    <w:p w:rsidR="00135913" w:rsidRDefault="00135913" w:rsidP="007622E8">
      <w:pPr>
        <w:pStyle w:val="BodyText"/>
        <w:tabs>
          <w:tab w:val="left" w:pos="1985"/>
        </w:tabs>
        <w:spacing w:before="4"/>
        <w:ind w:left="1440"/>
      </w:pPr>
    </w:p>
    <w:p w:rsidR="00135913" w:rsidRDefault="00135913" w:rsidP="007622E8">
      <w:pPr>
        <w:pStyle w:val="BodyText"/>
        <w:tabs>
          <w:tab w:val="left" w:pos="1985"/>
        </w:tabs>
        <w:ind w:left="1440"/>
        <w:jc w:val="both"/>
      </w:pPr>
      <w:r>
        <w:t>In May 2014, COAG agreed to a seventh target to close the gap in school attendance by the end of 2018.</w:t>
      </w:r>
    </w:p>
    <w:p w:rsidR="00135913" w:rsidRDefault="00135913" w:rsidP="007622E8">
      <w:pPr>
        <w:pStyle w:val="BodyText"/>
        <w:tabs>
          <w:tab w:val="left" w:pos="1985"/>
        </w:tabs>
        <w:spacing w:before="8"/>
        <w:ind w:left="1440"/>
        <w:rPr>
          <w:sz w:val="25"/>
        </w:rPr>
      </w:pPr>
    </w:p>
    <w:p w:rsidR="00135913" w:rsidRDefault="00135913" w:rsidP="007622E8">
      <w:pPr>
        <w:pStyle w:val="BodyText"/>
        <w:tabs>
          <w:tab w:val="left" w:pos="1985"/>
        </w:tabs>
        <w:ind w:left="1440"/>
        <w:jc w:val="both"/>
      </w:pPr>
      <w:r>
        <w:t>To support the targets, COAG recognised the need for long-term, generational commitment across a range of</w:t>
      </w:r>
    </w:p>
    <w:p w:rsidR="00135913" w:rsidRDefault="00135913" w:rsidP="007622E8">
      <w:pPr>
        <w:pStyle w:val="BodyText"/>
        <w:tabs>
          <w:tab w:val="left" w:pos="1985"/>
        </w:tabs>
        <w:spacing w:before="73"/>
        <w:ind w:left="1440"/>
        <w:jc w:val="both"/>
      </w:pPr>
      <w:r>
        <w:t>strategic and integrated policy platforms (called ‘Building Blocks’), outlined below:</w:t>
      </w:r>
    </w:p>
    <w:p w:rsidR="00135913" w:rsidRDefault="00135913" w:rsidP="007622E8">
      <w:pPr>
        <w:pStyle w:val="BodyText"/>
        <w:tabs>
          <w:tab w:val="left" w:pos="1985"/>
        </w:tabs>
        <w:spacing w:before="10"/>
        <w:ind w:left="1440"/>
        <w:rPr>
          <w:sz w:val="25"/>
        </w:rPr>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Early</w:t>
      </w:r>
      <w:r>
        <w:rPr>
          <w:spacing w:val="-1"/>
        </w:rPr>
        <w:t xml:space="preserve"> </w:t>
      </w:r>
      <w:r>
        <w:t>Childhood</w:t>
      </w:r>
    </w:p>
    <w:p w:rsidR="00135913" w:rsidRDefault="00135913" w:rsidP="007622E8">
      <w:pPr>
        <w:pStyle w:val="BodyText"/>
        <w:tabs>
          <w:tab w:val="left" w:pos="1985"/>
        </w:tabs>
        <w:spacing w:before="7"/>
        <w:ind w:left="1440"/>
        <w:rPr>
          <w:sz w:val="25"/>
        </w:rPr>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Schooling</w:t>
      </w:r>
    </w:p>
    <w:p w:rsidR="00135913" w:rsidRDefault="00135913" w:rsidP="007622E8">
      <w:pPr>
        <w:pStyle w:val="BodyText"/>
        <w:tabs>
          <w:tab w:val="left" w:pos="1985"/>
        </w:tabs>
        <w:spacing w:before="8"/>
        <w:ind w:left="1440"/>
        <w:rPr>
          <w:sz w:val="25"/>
        </w:rPr>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Health</w:t>
      </w:r>
    </w:p>
    <w:p w:rsidR="00135913" w:rsidRDefault="00135913" w:rsidP="007622E8">
      <w:pPr>
        <w:pStyle w:val="BodyText"/>
        <w:tabs>
          <w:tab w:val="left" w:pos="1985"/>
        </w:tabs>
        <w:spacing w:before="7"/>
        <w:ind w:left="1440"/>
        <w:rPr>
          <w:sz w:val="25"/>
        </w:rPr>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Economic</w:t>
      </w:r>
      <w:r>
        <w:rPr>
          <w:spacing w:val="-2"/>
        </w:rPr>
        <w:t xml:space="preserve"> </w:t>
      </w:r>
      <w:r>
        <w:t>Participation</w:t>
      </w:r>
    </w:p>
    <w:p w:rsidR="00135913" w:rsidRDefault="00135913" w:rsidP="007622E8">
      <w:pPr>
        <w:pStyle w:val="BodyText"/>
        <w:tabs>
          <w:tab w:val="left" w:pos="1985"/>
        </w:tabs>
        <w:spacing w:before="10"/>
        <w:ind w:left="1440"/>
        <w:rPr>
          <w:sz w:val="25"/>
        </w:rPr>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Healthy</w:t>
      </w:r>
      <w:r>
        <w:rPr>
          <w:spacing w:val="-1"/>
        </w:rPr>
        <w:t xml:space="preserve"> </w:t>
      </w:r>
      <w:r>
        <w:t>Homes</w:t>
      </w:r>
    </w:p>
    <w:p w:rsidR="00135913" w:rsidRDefault="00135913" w:rsidP="007622E8">
      <w:pPr>
        <w:pStyle w:val="BodyText"/>
        <w:tabs>
          <w:tab w:val="left" w:pos="1985"/>
        </w:tabs>
        <w:spacing w:before="8"/>
        <w:ind w:left="1440"/>
        <w:rPr>
          <w:sz w:val="25"/>
        </w:rPr>
      </w:pPr>
    </w:p>
    <w:p w:rsidR="00135913" w:rsidRDefault="00135913" w:rsidP="007622E8">
      <w:pPr>
        <w:pStyle w:val="BodyText"/>
        <w:tabs>
          <w:tab w:val="left" w:pos="1985"/>
          <w:tab w:val="left" w:pos="2148"/>
        </w:tabs>
        <w:ind w:left="1440"/>
      </w:pPr>
      <w:r>
        <w:rPr>
          <w:rFonts w:ascii="Wingdings 2" w:hAnsi="Wingdings 2"/>
          <w:color w:val="DA291C"/>
        </w:rPr>
        <w:t></w:t>
      </w:r>
      <w:r>
        <w:rPr>
          <w:rFonts w:ascii="Wingdings 2" w:hAnsi="Wingdings 2"/>
          <w:color w:val="DA291C"/>
        </w:rPr>
        <w:tab/>
      </w:r>
      <w:r>
        <w:t>Safe Communities;</w:t>
      </w:r>
      <w:r>
        <w:rPr>
          <w:spacing w:val="-3"/>
        </w:rPr>
        <w:t xml:space="preserve"> </w:t>
      </w:r>
      <w:r>
        <w:t>and</w:t>
      </w:r>
    </w:p>
    <w:p w:rsidR="00135913" w:rsidRDefault="00135913" w:rsidP="00135913">
      <w:pPr>
        <w:sectPr w:rsidR="00135913">
          <w:pgSz w:w="11910" w:h="16840"/>
          <w:pgMar w:top="1440" w:right="0" w:bottom="980" w:left="0" w:header="0" w:footer="798" w:gutter="0"/>
          <w:cols w:space="720"/>
        </w:sectPr>
      </w:pPr>
    </w:p>
    <w:p w:rsidR="00135913" w:rsidRDefault="00135913" w:rsidP="007622E8">
      <w:pPr>
        <w:pStyle w:val="BodyText"/>
        <w:tabs>
          <w:tab w:val="left" w:pos="2148"/>
        </w:tabs>
        <w:spacing w:before="61"/>
        <w:ind w:left="1788"/>
      </w:pPr>
      <w:r>
        <w:rPr>
          <w:rFonts w:ascii="Wingdings 2" w:hAnsi="Wingdings 2"/>
          <w:color w:val="DA291C"/>
        </w:rPr>
        <w:t></w:t>
      </w:r>
      <w:r>
        <w:rPr>
          <w:rFonts w:ascii="Wingdings 2" w:hAnsi="Wingdings 2"/>
          <w:color w:val="DA291C"/>
        </w:rPr>
        <w:tab/>
      </w:r>
      <w:r>
        <w:t>Governance and Leadership (COAG, 2009).</w:t>
      </w:r>
    </w:p>
    <w:p w:rsidR="00135913" w:rsidRDefault="00135913" w:rsidP="007622E8">
      <w:pPr>
        <w:pStyle w:val="BodyText"/>
        <w:tabs>
          <w:tab w:val="left" w:pos="2148"/>
        </w:tabs>
        <w:spacing w:before="7"/>
        <w:ind w:left="1788"/>
        <w:rPr>
          <w:sz w:val="25"/>
        </w:rPr>
      </w:pPr>
    </w:p>
    <w:p w:rsidR="00135913" w:rsidRDefault="00135913" w:rsidP="007622E8">
      <w:pPr>
        <w:pStyle w:val="BodyText"/>
        <w:tabs>
          <w:tab w:val="left" w:pos="2148"/>
        </w:tabs>
        <w:spacing w:line="312" w:lineRule="auto"/>
        <w:ind w:left="1788" w:right="1451"/>
        <w:jc w:val="both"/>
      </w:pPr>
      <w:r>
        <w:t>In the context of the Building Blocks framework, COAG then agreed to commence the task of addressing Indigenous disadvantage across a number of components including:</w:t>
      </w:r>
    </w:p>
    <w:p w:rsidR="00135913" w:rsidRDefault="00135913" w:rsidP="007622E8">
      <w:pPr>
        <w:pStyle w:val="BodyText"/>
        <w:tabs>
          <w:tab w:val="left" w:pos="2148"/>
        </w:tabs>
        <w:spacing w:before="9"/>
        <w:ind w:left="1788"/>
      </w:pPr>
    </w:p>
    <w:p w:rsidR="00135913" w:rsidRDefault="00135913" w:rsidP="007622E8">
      <w:pPr>
        <w:pStyle w:val="BodyText"/>
        <w:numPr>
          <w:ilvl w:val="2"/>
          <w:numId w:val="30"/>
        </w:numPr>
        <w:tabs>
          <w:tab w:val="left" w:pos="2148"/>
        </w:tabs>
        <w:spacing w:before="1" w:line="312" w:lineRule="auto"/>
        <w:ind w:right="1442"/>
        <w:jc w:val="both"/>
      </w:pPr>
      <w:r>
        <w:t>National  Partnership  agreements  including  Remote  Indigenous  Service   Delivery,   Indigenous   Economic Participation, Indigenous Early Childhood Development, Indigenous Health, Remote Indigenous Housing, Remote Indigenous Public Internet Access</w:t>
      </w:r>
    </w:p>
    <w:p w:rsidR="00135913" w:rsidRDefault="00135913" w:rsidP="007622E8">
      <w:pPr>
        <w:pStyle w:val="BodyText"/>
        <w:tabs>
          <w:tab w:val="left" w:pos="2148"/>
        </w:tabs>
        <w:spacing w:before="6"/>
        <w:ind w:left="1788"/>
      </w:pPr>
    </w:p>
    <w:p w:rsidR="00135913" w:rsidRDefault="00135913" w:rsidP="007622E8">
      <w:pPr>
        <w:pStyle w:val="BodyText"/>
        <w:tabs>
          <w:tab w:val="left" w:pos="2148"/>
        </w:tabs>
        <w:ind w:left="1788"/>
      </w:pPr>
      <w:r>
        <w:rPr>
          <w:rFonts w:ascii="Wingdings 2" w:hAnsi="Wingdings 2"/>
          <w:color w:val="DA291C"/>
        </w:rPr>
        <w:t></w:t>
      </w:r>
      <w:r>
        <w:rPr>
          <w:rFonts w:ascii="Wingdings 2" w:hAnsi="Wingdings 2"/>
          <w:color w:val="DA291C"/>
        </w:rPr>
        <w:tab/>
      </w:r>
      <w:r>
        <w:t>a National Urban and Regional Service Delivery</w:t>
      </w:r>
      <w:r>
        <w:rPr>
          <w:spacing w:val="-2"/>
        </w:rPr>
        <w:t xml:space="preserve"> </w:t>
      </w:r>
      <w:r>
        <w:t>Strategy</w:t>
      </w:r>
    </w:p>
    <w:p w:rsidR="00135913" w:rsidRDefault="00135913" w:rsidP="007622E8">
      <w:pPr>
        <w:pStyle w:val="BodyText"/>
        <w:tabs>
          <w:tab w:val="left" w:pos="2148"/>
        </w:tabs>
        <w:spacing w:before="10"/>
        <w:ind w:left="1788"/>
        <w:rPr>
          <w:sz w:val="25"/>
        </w:rPr>
      </w:pPr>
    </w:p>
    <w:p w:rsidR="00135913" w:rsidRDefault="00135913" w:rsidP="007622E8">
      <w:pPr>
        <w:pStyle w:val="BodyText"/>
        <w:numPr>
          <w:ilvl w:val="2"/>
          <w:numId w:val="30"/>
        </w:numPr>
        <w:tabs>
          <w:tab w:val="left" w:pos="2148"/>
        </w:tabs>
        <w:spacing w:line="312" w:lineRule="auto"/>
        <w:ind w:right="1439"/>
        <w:jc w:val="both"/>
      </w:pPr>
      <w:r>
        <w:t xml:space="preserve">a focus on achievement of outcomes  – including Indigenous outcomes  – through the </w:t>
      </w:r>
      <w:r>
        <w:rPr>
          <w:spacing w:val="-26"/>
        </w:rPr>
        <w:t>renegotiated</w:t>
      </w:r>
      <w:r>
        <w:rPr>
          <w:spacing w:val="-12"/>
        </w:rPr>
        <w:t xml:space="preserve"> </w:t>
      </w:r>
      <w:r>
        <w:t>National Agreements, and mainstream National Partnership</w:t>
      </w:r>
      <w:r>
        <w:rPr>
          <w:spacing w:val="-4"/>
        </w:rPr>
        <w:t xml:space="preserve"> </w:t>
      </w:r>
      <w:r>
        <w:t>agreements</w:t>
      </w:r>
    </w:p>
    <w:p w:rsidR="00135913" w:rsidRDefault="00135913" w:rsidP="007622E8">
      <w:pPr>
        <w:pStyle w:val="BodyText"/>
        <w:tabs>
          <w:tab w:val="left" w:pos="2148"/>
        </w:tabs>
        <w:spacing w:before="7"/>
        <w:ind w:left="1788"/>
      </w:pPr>
    </w:p>
    <w:p w:rsidR="00135913" w:rsidRDefault="00135913" w:rsidP="007622E8">
      <w:pPr>
        <w:pStyle w:val="BodyText"/>
        <w:numPr>
          <w:ilvl w:val="2"/>
          <w:numId w:val="30"/>
        </w:numPr>
        <w:tabs>
          <w:tab w:val="left" w:pos="2148"/>
        </w:tabs>
        <w:spacing w:line="312" w:lineRule="auto"/>
        <w:ind w:right="1436"/>
        <w:jc w:val="both"/>
      </w:pPr>
      <w:r>
        <w:t xml:space="preserve">enhanced reporting arrangements that included indicators disaggregated by Indigenous and </w:t>
      </w:r>
      <w:r>
        <w:rPr>
          <w:spacing w:val="-67"/>
        </w:rPr>
        <w:t>non-</w:t>
      </w:r>
      <w:r>
        <w:rPr>
          <w:spacing w:val="83"/>
        </w:rPr>
        <w:t xml:space="preserve"> </w:t>
      </w:r>
      <w:r>
        <w:t>Indigenous status, objectives, outcomes, outputs, performance indicators, and performance benchmarks to assess progress in Closing the Gap in Indigenous disadvantage</w:t>
      </w:r>
    </w:p>
    <w:p w:rsidR="00135913" w:rsidRDefault="00135913" w:rsidP="007622E8">
      <w:pPr>
        <w:pStyle w:val="BodyText"/>
        <w:tabs>
          <w:tab w:val="left" w:pos="2148"/>
        </w:tabs>
        <w:spacing w:before="9"/>
        <w:ind w:left="1788"/>
      </w:pPr>
    </w:p>
    <w:p w:rsidR="00135913" w:rsidRDefault="00135913" w:rsidP="007622E8">
      <w:pPr>
        <w:pStyle w:val="BodyText"/>
        <w:tabs>
          <w:tab w:val="left" w:pos="2148"/>
        </w:tabs>
        <w:ind w:left="1788"/>
      </w:pPr>
      <w:r>
        <w:rPr>
          <w:rFonts w:ascii="Wingdings 2" w:hAnsi="Wingdings 2"/>
          <w:color w:val="DA291C"/>
        </w:rPr>
        <w:t></w:t>
      </w:r>
      <w:r>
        <w:rPr>
          <w:rFonts w:ascii="Wingdings 2" w:hAnsi="Wingdings 2"/>
          <w:color w:val="DA291C"/>
        </w:rPr>
        <w:tab/>
      </w:r>
      <w:r>
        <w:t>A</w:t>
      </w:r>
      <w:r>
        <w:rPr>
          <w:spacing w:val="-7"/>
        </w:rPr>
        <w:t xml:space="preserve"> </w:t>
      </w:r>
      <w:r>
        <w:t>National</w:t>
      </w:r>
      <w:r>
        <w:rPr>
          <w:spacing w:val="-8"/>
        </w:rPr>
        <w:t xml:space="preserve"> </w:t>
      </w:r>
      <w:r>
        <w:t>Framework</w:t>
      </w:r>
      <w:r>
        <w:rPr>
          <w:spacing w:val="-9"/>
        </w:rPr>
        <w:t xml:space="preserve"> </w:t>
      </w:r>
      <w:r>
        <w:t>for</w:t>
      </w:r>
      <w:r>
        <w:rPr>
          <w:spacing w:val="-7"/>
        </w:rPr>
        <w:t xml:space="preserve"> </w:t>
      </w:r>
      <w:r>
        <w:t>Reporting</w:t>
      </w:r>
      <w:r>
        <w:rPr>
          <w:spacing w:val="-8"/>
        </w:rPr>
        <w:t xml:space="preserve"> </w:t>
      </w:r>
      <w:r>
        <w:t>Expenditure</w:t>
      </w:r>
      <w:r>
        <w:rPr>
          <w:spacing w:val="-8"/>
        </w:rPr>
        <w:t xml:space="preserve"> </w:t>
      </w:r>
      <w:r>
        <w:t>on</w:t>
      </w:r>
      <w:r>
        <w:rPr>
          <w:spacing w:val="-8"/>
        </w:rPr>
        <w:t xml:space="preserve"> </w:t>
      </w:r>
      <w:r>
        <w:t>Services</w:t>
      </w:r>
      <w:r>
        <w:rPr>
          <w:spacing w:val="-6"/>
        </w:rPr>
        <w:t xml:space="preserve"> </w:t>
      </w:r>
      <w:r>
        <w:t>to</w:t>
      </w:r>
      <w:r>
        <w:rPr>
          <w:spacing w:val="-8"/>
        </w:rPr>
        <w:t xml:space="preserve"> </w:t>
      </w:r>
      <w:r>
        <w:t>Indigenous</w:t>
      </w:r>
      <w:r>
        <w:rPr>
          <w:spacing w:val="-7"/>
        </w:rPr>
        <w:t xml:space="preserve"> </w:t>
      </w:r>
      <w:r>
        <w:t>Australians (COAG,</w:t>
      </w:r>
      <w:r>
        <w:rPr>
          <w:spacing w:val="-8"/>
        </w:rPr>
        <w:t xml:space="preserve"> </w:t>
      </w:r>
      <w:r>
        <w:t>2009).</w:t>
      </w:r>
    </w:p>
    <w:p w:rsidR="00135913" w:rsidRDefault="00135913" w:rsidP="007622E8">
      <w:pPr>
        <w:pStyle w:val="BodyText"/>
        <w:tabs>
          <w:tab w:val="left" w:pos="2148"/>
        </w:tabs>
        <w:spacing w:before="11"/>
        <w:ind w:left="1788"/>
      </w:pPr>
    </w:p>
    <w:p w:rsidR="00135913" w:rsidRDefault="00135913" w:rsidP="007622E8">
      <w:pPr>
        <w:pStyle w:val="Heading4"/>
        <w:tabs>
          <w:tab w:val="left" w:pos="2148"/>
        </w:tabs>
        <w:ind w:left="1788"/>
      </w:pPr>
      <w:r>
        <w:t>Progress to date on Closing the Gap</w:t>
      </w:r>
      <w:r>
        <w:rPr>
          <w:spacing w:val="-7"/>
        </w:rPr>
        <w:t xml:space="preserve"> </w:t>
      </w:r>
      <w:r>
        <w:t>targets</w:t>
      </w:r>
    </w:p>
    <w:p w:rsidR="00135913" w:rsidRDefault="00135913" w:rsidP="007622E8">
      <w:pPr>
        <w:pStyle w:val="BodyText"/>
        <w:tabs>
          <w:tab w:val="left" w:pos="2148"/>
        </w:tabs>
        <w:spacing w:before="240" w:line="312" w:lineRule="auto"/>
        <w:ind w:left="1788" w:right="1441"/>
        <w:jc w:val="both"/>
      </w:pPr>
      <w:r>
        <w:t>The</w:t>
      </w:r>
      <w:r>
        <w:rPr>
          <w:spacing w:val="-11"/>
        </w:rPr>
        <w:t xml:space="preserve"> </w:t>
      </w:r>
      <w:r>
        <w:t>annual</w:t>
      </w:r>
      <w:r>
        <w:rPr>
          <w:spacing w:val="-10"/>
        </w:rPr>
        <w:t xml:space="preserve"> </w:t>
      </w:r>
      <w:r>
        <w:t>Prime</w:t>
      </w:r>
      <w:r>
        <w:rPr>
          <w:spacing w:val="-10"/>
        </w:rPr>
        <w:t xml:space="preserve"> </w:t>
      </w:r>
      <w:r>
        <w:t>Minister’s</w:t>
      </w:r>
      <w:r>
        <w:rPr>
          <w:spacing w:val="-9"/>
        </w:rPr>
        <w:t xml:space="preserve"> </w:t>
      </w:r>
      <w:r>
        <w:t>Closing</w:t>
      </w:r>
      <w:r>
        <w:rPr>
          <w:spacing w:val="-9"/>
        </w:rPr>
        <w:t xml:space="preserve"> </w:t>
      </w:r>
      <w:r>
        <w:t>the</w:t>
      </w:r>
      <w:r>
        <w:rPr>
          <w:spacing w:val="-10"/>
        </w:rPr>
        <w:t xml:space="preserve"> </w:t>
      </w:r>
      <w:r>
        <w:t>Gap</w:t>
      </w:r>
      <w:r>
        <w:rPr>
          <w:spacing w:val="-10"/>
        </w:rPr>
        <w:t xml:space="preserve"> </w:t>
      </w:r>
      <w:r>
        <w:t>report</w:t>
      </w:r>
      <w:r>
        <w:rPr>
          <w:spacing w:val="-9"/>
        </w:rPr>
        <w:t xml:space="preserve"> </w:t>
      </w:r>
      <w:r>
        <w:t>and</w:t>
      </w:r>
      <w:r>
        <w:rPr>
          <w:spacing w:val="-11"/>
        </w:rPr>
        <w:t xml:space="preserve"> </w:t>
      </w:r>
      <w:r>
        <w:t>the</w:t>
      </w:r>
      <w:r>
        <w:rPr>
          <w:spacing w:val="-9"/>
        </w:rPr>
        <w:t xml:space="preserve"> </w:t>
      </w:r>
      <w:r>
        <w:t>Productivity</w:t>
      </w:r>
      <w:r>
        <w:rPr>
          <w:spacing w:val="-9"/>
        </w:rPr>
        <w:t xml:space="preserve"> </w:t>
      </w:r>
      <w:r>
        <w:t>Commission’s</w:t>
      </w:r>
      <w:r>
        <w:rPr>
          <w:spacing w:val="-9"/>
        </w:rPr>
        <w:t xml:space="preserve"> </w:t>
      </w:r>
      <w:r>
        <w:t>Overcoming</w:t>
      </w:r>
      <w:r>
        <w:rPr>
          <w:spacing w:val="-10"/>
        </w:rPr>
        <w:t xml:space="preserve"> </w:t>
      </w:r>
      <w:r>
        <w:t>Indigenous Disadvantage reports are the key, public sources of evidence of progress of the Closing the Gap initiative and specifically progress against the seven</w:t>
      </w:r>
      <w:r>
        <w:rPr>
          <w:spacing w:val="2"/>
        </w:rPr>
        <w:t xml:space="preserve"> </w:t>
      </w:r>
      <w:r>
        <w:t>targets.</w:t>
      </w:r>
    </w:p>
    <w:p w:rsidR="00135913" w:rsidRDefault="00135913" w:rsidP="007622E8">
      <w:pPr>
        <w:pStyle w:val="BodyText"/>
        <w:tabs>
          <w:tab w:val="left" w:pos="2148"/>
        </w:tabs>
        <w:spacing w:before="9"/>
        <w:ind w:left="1788"/>
      </w:pPr>
    </w:p>
    <w:p w:rsidR="00135913" w:rsidRDefault="00135913" w:rsidP="007622E8">
      <w:pPr>
        <w:pStyle w:val="BodyText"/>
        <w:tabs>
          <w:tab w:val="left" w:pos="2148"/>
        </w:tabs>
        <w:spacing w:line="312" w:lineRule="auto"/>
        <w:ind w:left="1788" w:right="1437"/>
        <w:jc w:val="both"/>
      </w:pPr>
      <w:r>
        <w:t>The Prime Minister’s report is produced annually and provides detailed analysis of progress against the seven targets as well as commentary on key policy initiatives implemented to address these targets and case studies of programs or initiatives that have contributed to progress against the targets. In his introduction to the 2017 report,</w:t>
      </w:r>
      <w:r>
        <w:rPr>
          <w:spacing w:val="-7"/>
        </w:rPr>
        <w:t xml:space="preserve"> </w:t>
      </w:r>
      <w:r>
        <w:t>the</w:t>
      </w:r>
      <w:r>
        <w:rPr>
          <w:spacing w:val="-7"/>
        </w:rPr>
        <w:t xml:space="preserve"> </w:t>
      </w:r>
      <w:r>
        <w:t>Prime</w:t>
      </w:r>
      <w:r>
        <w:rPr>
          <w:spacing w:val="-5"/>
        </w:rPr>
        <w:t xml:space="preserve"> </w:t>
      </w:r>
      <w:r>
        <w:t>Minister</w:t>
      </w:r>
      <w:r>
        <w:rPr>
          <w:spacing w:val="-4"/>
        </w:rPr>
        <w:t xml:space="preserve"> </w:t>
      </w:r>
      <w:r>
        <w:t>concluded</w:t>
      </w:r>
      <w:r>
        <w:rPr>
          <w:spacing w:val="-8"/>
        </w:rPr>
        <w:t xml:space="preserve"> </w:t>
      </w:r>
      <w:r>
        <w:t>that</w:t>
      </w:r>
      <w:r>
        <w:rPr>
          <w:spacing w:val="-4"/>
        </w:rPr>
        <w:t xml:space="preserve"> </w:t>
      </w:r>
      <w:r>
        <w:t>“while</w:t>
      </w:r>
      <w:r>
        <w:rPr>
          <w:spacing w:val="-7"/>
        </w:rPr>
        <w:t xml:space="preserve"> </w:t>
      </w:r>
      <w:r>
        <w:t>many</w:t>
      </w:r>
      <w:r>
        <w:rPr>
          <w:spacing w:val="-7"/>
        </w:rPr>
        <w:t xml:space="preserve"> </w:t>
      </w:r>
      <w:r>
        <w:t>successes</w:t>
      </w:r>
      <w:r>
        <w:rPr>
          <w:spacing w:val="-6"/>
        </w:rPr>
        <w:t xml:space="preserve"> </w:t>
      </w:r>
      <w:r>
        <w:t>are</w:t>
      </w:r>
      <w:r>
        <w:rPr>
          <w:spacing w:val="-4"/>
        </w:rPr>
        <w:t xml:space="preserve"> </w:t>
      </w:r>
      <w:r>
        <w:t>being</w:t>
      </w:r>
      <w:r>
        <w:rPr>
          <w:spacing w:val="-8"/>
        </w:rPr>
        <w:t xml:space="preserve"> </w:t>
      </w:r>
      <w:r>
        <w:t>achieved</w:t>
      </w:r>
      <w:r>
        <w:rPr>
          <w:spacing w:val="-8"/>
        </w:rPr>
        <w:t xml:space="preserve"> </w:t>
      </w:r>
      <w:r>
        <w:t>locally,</w:t>
      </w:r>
      <w:r>
        <w:rPr>
          <w:spacing w:val="-6"/>
        </w:rPr>
        <w:t xml:space="preserve"> </w:t>
      </w:r>
      <w:r>
        <w:t>as</w:t>
      </w:r>
      <w:r>
        <w:rPr>
          <w:spacing w:val="-7"/>
        </w:rPr>
        <w:t xml:space="preserve"> </w:t>
      </w:r>
      <w:r>
        <w:t>a</w:t>
      </w:r>
      <w:r>
        <w:rPr>
          <w:spacing w:val="-6"/>
        </w:rPr>
        <w:t xml:space="preserve"> </w:t>
      </w:r>
      <w:r>
        <w:t>nation,</w:t>
      </w:r>
      <w:r>
        <w:rPr>
          <w:spacing w:val="-6"/>
        </w:rPr>
        <w:t xml:space="preserve"> </w:t>
      </w:r>
      <w:r>
        <w:t>we</w:t>
      </w:r>
      <w:r>
        <w:rPr>
          <w:spacing w:val="-8"/>
        </w:rPr>
        <w:t xml:space="preserve"> </w:t>
      </w:r>
      <w:r>
        <w:t>are only on track to meet one of the seven Closing the Gap targets this year” (Department of the Prime Minister and Cabinet, 2017, p. 4). The Prime Minister’s report (2017) found that the target to halve the gap in Year 12 attainment by 2020 is on</w:t>
      </w:r>
      <w:r>
        <w:rPr>
          <w:spacing w:val="5"/>
        </w:rPr>
        <w:t xml:space="preserve"> </w:t>
      </w:r>
      <w:r>
        <w:t>track.</w:t>
      </w:r>
    </w:p>
    <w:p w:rsidR="00135913" w:rsidRDefault="00135913" w:rsidP="007622E8">
      <w:pPr>
        <w:pStyle w:val="BodyText"/>
        <w:tabs>
          <w:tab w:val="left" w:pos="2148"/>
        </w:tabs>
        <w:spacing w:before="7"/>
        <w:ind w:left="1788"/>
      </w:pPr>
    </w:p>
    <w:p w:rsidR="00135913" w:rsidRDefault="00135913" w:rsidP="007622E8">
      <w:pPr>
        <w:pStyle w:val="BodyText"/>
        <w:tabs>
          <w:tab w:val="left" w:pos="2148"/>
        </w:tabs>
        <w:spacing w:line="312" w:lineRule="auto"/>
        <w:ind w:left="1788" w:right="1438"/>
        <w:jc w:val="both"/>
      </w:pPr>
      <w:r>
        <w:t>While the report presents evidence of improvements over time for indicators relating to the remaining six targets these improvements were not sufficient to ensure that they were on track. Furthermore, the results demonstrate</w:t>
      </w:r>
      <w:r>
        <w:rPr>
          <w:spacing w:val="-12"/>
        </w:rPr>
        <w:t xml:space="preserve"> </w:t>
      </w:r>
      <w:r>
        <w:t>substantial</w:t>
      </w:r>
      <w:r>
        <w:rPr>
          <w:spacing w:val="-11"/>
        </w:rPr>
        <w:t xml:space="preserve"> </w:t>
      </w:r>
      <w:r>
        <w:t>variations</w:t>
      </w:r>
      <w:r>
        <w:rPr>
          <w:spacing w:val="-10"/>
        </w:rPr>
        <w:t xml:space="preserve"> </w:t>
      </w:r>
      <w:r>
        <w:t>in</w:t>
      </w:r>
      <w:r>
        <w:rPr>
          <w:spacing w:val="-11"/>
        </w:rPr>
        <w:t xml:space="preserve"> </w:t>
      </w:r>
      <w:r>
        <w:t>progress</w:t>
      </w:r>
      <w:r>
        <w:rPr>
          <w:spacing w:val="-10"/>
        </w:rPr>
        <w:t xml:space="preserve"> </w:t>
      </w:r>
      <w:r>
        <w:t>for</w:t>
      </w:r>
      <w:r>
        <w:rPr>
          <w:spacing w:val="-11"/>
        </w:rPr>
        <w:t xml:space="preserve"> </w:t>
      </w:r>
      <w:r>
        <w:t>some</w:t>
      </w:r>
      <w:r>
        <w:rPr>
          <w:spacing w:val="-12"/>
        </w:rPr>
        <w:t xml:space="preserve"> </w:t>
      </w:r>
      <w:r>
        <w:t>of</w:t>
      </w:r>
      <w:r>
        <w:rPr>
          <w:spacing w:val="-12"/>
        </w:rPr>
        <w:t xml:space="preserve"> </w:t>
      </w:r>
      <w:r>
        <w:t>the</w:t>
      </w:r>
      <w:r>
        <w:rPr>
          <w:spacing w:val="-12"/>
        </w:rPr>
        <w:t xml:space="preserve"> </w:t>
      </w:r>
      <w:r>
        <w:t>indicators</w:t>
      </w:r>
      <w:r>
        <w:rPr>
          <w:spacing w:val="-10"/>
        </w:rPr>
        <w:t xml:space="preserve"> </w:t>
      </w:r>
      <w:r>
        <w:t>by</w:t>
      </w:r>
      <w:r>
        <w:rPr>
          <w:spacing w:val="-11"/>
        </w:rPr>
        <w:t xml:space="preserve"> </w:t>
      </w:r>
      <w:r>
        <w:t>jurisdiction</w:t>
      </w:r>
      <w:r>
        <w:rPr>
          <w:spacing w:val="-11"/>
        </w:rPr>
        <w:t xml:space="preserve"> </w:t>
      </w:r>
      <w:r>
        <w:t>and</w:t>
      </w:r>
      <w:r>
        <w:rPr>
          <w:spacing w:val="-12"/>
        </w:rPr>
        <w:t xml:space="preserve"> </w:t>
      </w:r>
      <w:r>
        <w:t>by</w:t>
      </w:r>
      <w:r>
        <w:rPr>
          <w:spacing w:val="-10"/>
        </w:rPr>
        <w:t xml:space="preserve"> </w:t>
      </w:r>
      <w:r>
        <w:t>remoteness.</w:t>
      </w:r>
      <w:r>
        <w:rPr>
          <w:spacing w:val="-11"/>
        </w:rPr>
        <w:t xml:space="preserve"> </w:t>
      </w:r>
      <w:r>
        <w:t>For most of the targets there was a significant disparity in progress between areas depending on remoteness. For example, in 2016 the attendance rate for Indigenous students was 86.9 percent in inner regional areas compared to 66.4 per cent in very remote areas and 84 per cent of all Indigenous students in major city areas met or exceeded the national minimum standards for Year 5 numeracy, double the 42 per cent of students in very remote areas (Department of the Prime Minister and Cabinet,</w:t>
      </w:r>
      <w:r>
        <w:rPr>
          <w:spacing w:val="-6"/>
        </w:rPr>
        <w:t xml:space="preserve"> </w:t>
      </w:r>
      <w:r>
        <w:t>2017).</w:t>
      </w:r>
    </w:p>
    <w:p w:rsidR="00135913" w:rsidRDefault="00135913" w:rsidP="007622E8">
      <w:pPr>
        <w:pStyle w:val="BodyText"/>
        <w:tabs>
          <w:tab w:val="left" w:pos="2148"/>
        </w:tabs>
        <w:spacing w:before="8"/>
        <w:ind w:left="1788"/>
      </w:pPr>
    </w:p>
    <w:p w:rsidR="00135913" w:rsidRDefault="00135913" w:rsidP="007622E8">
      <w:pPr>
        <w:pStyle w:val="BodyText"/>
        <w:tabs>
          <w:tab w:val="left" w:pos="2148"/>
        </w:tabs>
        <w:spacing w:line="314" w:lineRule="auto"/>
        <w:ind w:left="1788" w:right="1440"/>
        <w:jc w:val="both"/>
      </w:pPr>
      <w:r>
        <w:t>The Prime Minister’s report presents examples of policies and programs which have demonstrated success in working to improve progress against the targets. Some of these include:</w:t>
      </w:r>
    </w:p>
    <w:p w:rsidR="00135913" w:rsidRDefault="00135913" w:rsidP="00135913">
      <w:pPr>
        <w:spacing w:line="314" w:lineRule="auto"/>
        <w:jc w:val="both"/>
        <w:sectPr w:rsidR="00135913">
          <w:pgSz w:w="11910" w:h="16840"/>
          <w:pgMar w:top="1360" w:right="0" w:bottom="980" w:left="0" w:header="0" w:footer="798" w:gutter="0"/>
          <w:cols w:space="720"/>
        </w:sectPr>
      </w:pPr>
    </w:p>
    <w:p w:rsidR="00135913" w:rsidRDefault="00135913" w:rsidP="007622E8">
      <w:pPr>
        <w:pStyle w:val="BodyText"/>
        <w:tabs>
          <w:tab w:val="left" w:pos="2127"/>
          <w:tab w:val="left" w:pos="2410"/>
        </w:tabs>
        <w:spacing w:before="61" w:line="312" w:lineRule="auto"/>
        <w:ind w:left="2148" w:right="1449" w:hanging="360"/>
      </w:pPr>
      <w:r>
        <w:rPr>
          <w:rFonts w:ascii="Wingdings 2" w:hAnsi="Wingdings 2"/>
          <w:color w:val="DA291C"/>
        </w:rPr>
        <w:t></w:t>
      </w:r>
      <w:r>
        <w:rPr>
          <w:rFonts w:ascii="Wingdings 2" w:hAnsi="Wingdings 2"/>
          <w:color w:val="DA291C"/>
        </w:rPr>
        <w:tab/>
      </w:r>
      <w:r>
        <w:t>The National Framework for Health Services for Aboriginal and Torres Strait Islander Children and Families</w:t>
      </w:r>
    </w:p>
    <w:p w:rsidR="00135913" w:rsidRDefault="00135913" w:rsidP="007622E8">
      <w:pPr>
        <w:pStyle w:val="BodyText"/>
        <w:tabs>
          <w:tab w:val="left" w:pos="2127"/>
          <w:tab w:val="left" w:pos="2410"/>
        </w:tabs>
        <w:spacing w:before="7"/>
        <w:ind w:left="2148" w:hanging="360"/>
      </w:pPr>
    </w:p>
    <w:p w:rsidR="00135913" w:rsidRDefault="00135913" w:rsidP="007622E8">
      <w:pPr>
        <w:pStyle w:val="BodyText"/>
        <w:tabs>
          <w:tab w:val="left" w:pos="2127"/>
          <w:tab w:val="left" w:pos="2410"/>
        </w:tabs>
        <w:ind w:left="2148" w:hanging="360"/>
      </w:pPr>
      <w:r>
        <w:rPr>
          <w:rFonts w:ascii="Wingdings 2" w:hAnsi="Wingdings 2"/>
          <w:color w:val="DA291C"/>
        </w:rPr>
        <w:t></w:t>
      </w:r>
      <w:r>
        <w:rPr>
          <w:rFonts w:ascii="Wingdings 2" w:hAnsi="Wingdings 2"/>
          <w:color w:val="DA291C"/>
        </w:rPr>
        <w:tab/>
      </w:r>
      <w:r>
        <w:t>Aboriginal and Torres Strait Islander Partnership forums in each State and Territory</w:t>
      </w:r>
    </w:p>
    <w:p w:rsidR="00135913" w:rsidRDefault="00135913" w:rsidP="007622E8">
      <w:pPr>
        <w:pStyle w:val="BodyText"/>
        <w:tabs>
          <w:tab w:val="left" w:pos="2127"/>
          <w:tab w:val="left" w:pos="2410"/>
        </w:tabs>
        <w:spacing w:before="9"/>
        <w:ind w:left="2148" w:hanging="360"/>
        <w:rPr>
          <w:sz w:val="25"/>
        </w:rPr>
      </w:pPr>
    </w:p>
    <w:p w:rsidR="00135913" w:rsidRDefault="00135913" w:rsidP="007622E8">
      <w:pPr>
        <w:pStyle w:val="BodyText"/>
        <w:tabs>
          <w:tab w:val="left" w:pos="2127"/>
          <w:tab w:val="left" w:pos="2410"/>
        </w:tabs>
        <w:spacing w:before="1" w:line="312" w:lineRule="auto"/>
        <w:ind w:left="2148" w:right="1449" w:hanging="360"/>
      </w:pPr>
      <w:r>
        <w:rPr>
          <w:rFonts w:ascii="Wingdings 2" w:hAnsi="Wingdings 2"/>
          <w:color w:val="DA291C"/>
        </w:rPr>
        <w:t></w:t>
      </w:r>
      <w:r>
        <w:rPr>
          <w:rFonts w:ascii="Wingdings 2" w:hAnsi="Wingdings 2"/>
          <w:color w:val="DA291C"/>
        </w:rPr>
        <w:tab/>
      </w:r>
      <w:r>
        <w:t>The Remote School Attendance Strategy which has shown improvements in the schools selected for the</w:t>
      </w:r>
      <w:r>
        <w:rPr>
          <w:spacing w:val="-2"/>
        </w:rPr>
        <w:t xml:space="preserve"> </w:t>
      </w:r>
      <w:r>
        <w:t>program</w:t>
      </w:r>
    </w:p>
    <w:p w:rsidR="00135913" w:rsidRDefault="00135913" w:rsidP="007622E8">
      <w:pPr>
        <w:pStyle w:val="BodyText"/>
        <w:tabs>
          <w:tab w:val="left" w:pos="2127"/>
          <w:tab w:val="left" w:pos="2410"/>
        </w:tabs>
        <w:spacing w:before="6"/>
        <w:ind w:left="2148" w:hanging="360"/>
      </w:pPr>
    </w:p>
    <w:p w:rsidR="00135913" w:rsidRDefault="00135913" w:rsidP="007622E8">
      <w:pPr>
        <w:pStyle w:val="BodyText"/>
        <w:tabs>
          <w:tab w:val="left" w:pos="2127"/>
          <w:tab w:val="left" w:pos="2410"/>
        </w:tabs>
        <w:spacing w:before="1" w:line="312" w:lineRule="auto"/>
        <w:ind w:left="2148" w:right="1443" w:hanging="360"/>
      </w:pPr>
      <w:r>
        <w:rPr>
          <w:rFonts w:ascii="Wingdings 2" w:hAnsi="Wingdings 2"/>
          <w:color w:val="DA291C"/>
        </w:rPr>
        <w:t></w:t>
      </w:r>
      <w:r>
        <w:rPr>
          <w:rFonts w:ascii="Wingdings 2" w:hAnsi="Wingdings 2"/>
          <w:color w:val="DA291C"/>
        </w:rPr>
        <w:tab/>
      </w:r>
      <w:r>
        <w:t>The</w:t>
      </w:r>
      <w:r>
        <w:rPr>
          <w:spacing w:val="-10"/>
        </w:rPr>
        <w:t xml:space="preserve"> </w:t>
      </w:r>
      <w:r>
        <w:t>Indigenous</w:t>
      </w:r>
      <w:r>
        <w:rPr>
          <w:spacing w:val="-7"/>
        </w:rPr>
        <w:t xml:space="preserve"> </w:t>
      </w:r>
      <w:r>
        <w:t>Procurement</w:t>
      </w:r>
      <w:r>
        <w:rPr>
          <w:spacing w:val="-7"/>
        </w:rPr>
        <w:t xml:space="preserve"> </w:t>
      </w:r>
      <w:r>
        <w:t>Policy</w:t>
      </w:r>
      <w:r>
        <w:rPr>
          <w:spacing w:val="-8"/>
        </w:rPr>
        <w:t xml:space="preserve"> </w:t>
      </w:r>
      <w:r>
        <w:t>with</w:t>
      </w:r>
      <w:r>
        <w:rPr>
          <w:spacing w:val="-8"/>
        </w:rPr>
        <w:t xml:space="preserve"> </w:t>
      </w:r>
      <w:r>
        <w:t>$284.2</w:t>
      </w:r>
      <w:r>
        <w:rPr>
          <w:spacing w:val="-8"/>
        </w:rPr>
        <w:t xml:space="preserve"> </w:t>
      </w:r>
      <w:r>
        <w:t>million</w:t>
      </w:r>
      <w:r>
        <w:rPr>
          <w:spacing w:val="-9"/>
        </w:rPr>
        <w:t xml:space="preserve"> </w:t>
      </w:r>
      <w:r>
        <w:t>in</w:t>
      </w:r>
      <w:r>
        <w:rPr>
          <w:spacing w:val="-7"/>
        </w:rPr>
        <w:t xml:space="preserve"> </w:t>
      </w:r>
      <w:r>
        <w:t>contracts</w:t>
      </w:r>
      <w:r>
        <w:rPr>
          <w:spacing w:val="-6"/>
        </w:rPr>
        <w:t xml:space="preserve"> </w:t>
      </w:r>
      <w:r>
        <w:t>reported</w:t>
      </w:r>
      <w:r>
        <w:rPr>
          <w:spacing w:val="-10"/>
        </w:rPr>
        <w:t xml:space="preserve"> </w:t>
      </w:r>
      <w:r>
        <w:t>to</w:t>
      </w:r>
      <w:r>
        <w:rPr>
          <w:spacing w:val="-8"/>
        </w:rPr>
        <w:t xml:space="preserve"> </w:t>
      </w:r>
      <w:r>
        <w:t>have</w:t>
      </w:r>
      <w:r>
        <w:rPr>
          <w:spacing w:val="-9"/>
        </w:rPr>
        <w:t xml:space="preserve"> </w:t>
      </w:r>
      <w:r>
        <w:t>been</w:t>
      </w:r>
      <w:r>
        <w:rPr>
          <w:spacing w:val="-7"/>
        </w:rPr>
        <w:t xml:space="preserve"> </w:t>
      </w:r>
      <w:r>
        <w:t>awarded</w:t>
      </w:r>
      <w:r>
        <w:rPr>
          <w:spacing w:val="-9"/>
        </w:rPr>
        <w:t xml:space="preserve"> </w:t>
      </w:r>
      <w:r>
        <w:t>to 493 Indigenous businesses in the first</w:t>
      </w:r>
      <w:r>
        <w:rPr>
          <w:spacing w:val="3"/>
        </w:rPr>
        <w:t xml:space="preserve"> </w:t>
      </w:r>
      <w:r>
        <w:t>year</w:t>
      </w:r>
    </w:p>
    <w:p w:rsidR="00135913" w:rsidRDefault="00135913" w:rsidP="007622E8">
      <w:pPr>
        <w:pStyle w:val="BodyText"/>
        <w:tabs>
          <w:tab w:val="left" w:pos="2127"/>
          <w:tab w:val="left" w:pos="2410"/>
        </w:tabs>
        <w:spacing w:before="9"/>
        <w:ind w:left="2148" w:hanging="360"/>
      </w:pPr>
    </w:p>
    <w:p w:rsidR="00135913" w:rsidRDefault="00135913" w:rsidP="007622E8">
      <w:pPr>
        <w:pStyle w:val="BodyText"/>
        <w:tabs>
          <w:tab w:val="left" w:pos="2127"/>
          <w:tab w:val="left" w:pos="2410"/>
        </w:tabs>
        <w:ind w:left="2148" w:hanging="360"/>
      </w:pPr>
      <w:r>
        <w:rPr>
          <w:rFonts w:ascii="Wingdings 2" w:hAnsi="Wingdings 2"/>
          <w:color w:val="DA291C"/>
        </w:rPr>
        <w:t></w:t>
      </w:r>
      <w:r>
        <w:rPr>
          <w:rFonts w:ascii="Wingdings 2" w:hAnsi="Wingdings 2"/>
          <w:color w:val="DA291C"/>
        </w:rPr>
        <w:tab/>
      </w:r>
      <w:r>
        <w:t>The Empowered Communities initiative (Department of the Prime Minister and Cabinet,</w:t>
      </w:r>
      <w:r>
        <w:rPr>
          <w:spacing w:val="-4"/>
        </w:rPr>
        <w:t xml:space="preserve"> </w:t>
      </w:r>
      <w:r>
        <w:t>2017).</w:t>
      </w:r>
    </w:p>
    <w:p w:rsidR="00135913" w:rsidRDefault="00135913" w:rsidP="007622E8">
      <w:pPr>
        <w:pStyle w:val="BodyText"/>
        <w:tabs>
          <w:tab w:val="left" w:pos="2127"/>
          <w:tab w:val="left" w:pos="2410"/>
        </w:tabs>
        <w:spacing w:before="8"/>
        <w:ind w:left="2148" w:hanging="360"/>
        <w:rPr>
          <w:sz w:val="25"/>
        </w:rPr>
      </w:pPr>
    </w:p>
    <w:p w:rsidR="00135913" w:rsidRDefault="00567CB3" w:rsidP="00567CB3">
      <w:pPr>
        <w:pStyle w:val="BodyText"/>
        <w:tabs>
          <w:tab w:val="left" w:pos="2127"/>
          <w:tab w:val="left" w:pos="2410"/>
        </w:tabs>
        <w:spacing w:line="312" w:lineRule="auto"/>
        <w:ind w:left="1800" w:right="1436" w:hanging="360"/>
        <w:jc w:val="both"/>
      </w:pPr>
      <w:r>
        <w:tab/>
      </w:r>
      <w:r w:rsidR="00135913">
        <w:t>The</w:t>
      </w:r>
      <w:r w:rsidR="00135913">
        <w:rPr>
          <w:spacing w:val="-12"/>
        </w:rPr>
        <w:t xml:space="preserve"> </w:t>
      </w:r>
      <w:r w:rsidR="00135913">
        <w:t>Productivity</w:t>
      </w:r>
      <w:r w:rsidR="00135913">
        <w:rPr>
          <w:spacing w:val="-9"/>
        </w:rPr>
        <w:t xml:space="preserve"> </w:t>
      </w:r>
      <w:r w:rsidR="00135913">
        <w:t>Commission’s</w:t>
      </w:r>
      <w:r w:rsidR="00135913">
        <w:rPr>
          <w:spacing w:val="-9"/>
        </w:rPr>
        <w:t xml:space="preserve"> </w:t>
      </w:r>
      <w:r w:rsidR="00135913">
        <w:t>Overcoming</w:t>
      </w:r>
      <w:r w:rsidR="00135913">
        <w:rPr>
          <w:spacing w:val="-10"/>
        </w:rPr>
        <w:t xml:space="preserve"> </w:t>
      </w:r>
      <w:r w:rsidR="00135913">
        <w:t>Indigenous</w:t>
      </w:r>
      <w:r w:rsidR="00135913">
        <w:rPr>
          <w:spacing w:val="-9"/>
        </w:rPr>
        <w:t xml:space="preserve"> </w:t>
      </w:r>
      <w:r w:rsidR="00135913">
        <w:t>Disadvantage</w:t>
      </w:r>
      <w:r w:rsidR="00135913">
        <w:rPr>
          <w:spacing w:val="-7"/>
        </w:rPr>
        <w:t xml:space="preserve"> </w:t>
      </w:r>
      <w:r w:rsidR="00135913">
        <w:t>(OID)</w:t>
      </w:r>
      <w:r w:rsidR="00135913">
        <w:rPr>
          <w:spacing w:val="-9"/>
        </w:rPr>
        <w:t xml:space="preserve"> </w:t>
      </w:r>
      <w:r w:rsidR="00135913">
        <w:t>reports</w:t>
      </w:r>
      <w:r w:rsidR="00135913">
        <w:rPr>
          <w:spacing w:val="-9"/>
        </w:rPr>
        <w:t xml:space="preserve"> </w:t>
      </w:r>
      <w:r w:rsidR="00135913">
        <w:t>have</w:t>
      </w:r>
      <w:r w:rsidR="00135913">
        <w:rPr>
          <w:spacing w:val="-11"/>
        </w:rPr>
        <w:t xml:space="preserve"> </w:t>
      </w:r>
      <w:r w:rsidR="00135913">
        <w:t>been</w:t>
      </w:r>
      <w:r w:rsidR="00135913">
        <w:rPr>
          <w:spacing w:val="-10"/>
        </w:rPr>
        <w:t xml:space="preserve"> </w:t>
      </w:r>
      <w:r w:rsidR="00135913">
        <w:t>published</w:t>
      </w:r>
      <w:r w:rsidR="00135913">
        <w:rPr>
          <w:spacing w:val="-11"/>
        </w:rPr>
        <w:t xml:space="preserve"> </w:t>
      </w:r>
      <w:r w:rsidR="00135913">
        <w:t>every 2-3 years since 2003. These reports commenced prior to the NIRA when In April 2002, COAG commissioned a Steering Committee to produce a regular report against key indicators of Indigenous disadvantage. The Steering Committee is advised by a working group made up of representatives from all Australian governments, the National Congress of Australia's First Peoples, the Australian Bureau of Statistics and the Australian Institute of Health and Welfare. For the 2009 report, the Steering Committee worked with jurisdictions and COAG committees to align the OID report with the COAG targets and NIRA and has been amended to reflect any subsequent changes to the targets (SCRGSP,</w:t>
      </w:r>
      <w:r w:rsidR="00135913">
        <w:rPr>
          <w:spacing w:val="4"/>
        </w:rPr>
        <w:t xml:space="preserve"> </w:t>
      </w:r>
      <w:r w:rsidR="00135913">
        <w:t>2016).</w:t>
      </w:r>
    </w:p>
    <w:p w:rsidR="00135913" w:rsidRDefault="00135913" w:rsidP="007622E8">
      <w:pPr>
        <w:pStyle w:val="BodyText"/>
        <w:tabs>
          <w:tab w:val="left" w:pos="2127"/>
          <w:tab w:val="left" w:pos="2410"/>
        </w:tabs>
        <w:spacing w:before="8"/>
        <w:ind w:left="2148" w:hanging="360"/>
      </w:pPr>
    </w:p>
    <w:p w:rsidR="00135913" w:rsidRDefault="00567CB3" w:rsidP="00567CB3">
      <w:pPr>
        <w:pStyle w:val="BodyText"/>
        <w:tabs>
          <w:tab w:val="left" w:pos="2127"/>
          <w:tab w:val="left" w:pos="2410"/>
        </w:tabs>
        <w:spacing w:before="1" w:line="312" w:lineRule="auto"/>
        <w:ind w:left="1800" w:right="1438" w:hanging="360"/>
        <w:jc w:val="both"/>
      </w:pPr>
      <w:r>
        <w:tab/>
      </w:r>
      <w:r w:rsidR="00135913">
        <w:t>The OID report measures the wellbeing of Australia's Indigenous peoples. It provides detailed analysis of the progress of indicators against the seven Closing the Gap targets but also presents analysis of data against a broader range of indicators of health and wellbeing such as early child development, education and training, healthy lives, economic participation, home environment, and safe and supportive communities. The report also includes case studies of policies and programs that have been demonstrated to have made a difference to the health and wellbeing of Aboriginal and Torres Strait Islander peoples (SCRGSP, 2016).</w:t>
      </w:r>
    </w:p>
    <w:p w:rsidR="00135913" w:rsidRDefault="00135913" w:rsidP="007622E8">
      <w:pPr>
        <w:pStyle w:val="BodyText"/>
        <w:tabs>
          <w:tab w:val="left" w:pos="2127"/>
          <w:tab w:val="left" w:pos="2410"/>
        </w:tabs>
        <w:spacing w:before="6"/>
        <w:ind w:left="2148" w:hanging="360"/>
      </w:pPr>
    </w:p>
    <w:p w:rsidR="00135913" w:rsidRDefault="00567CB3" w:rsidP="00567CB3">
      <w:pPr>
        <w:pStyle w:val="BodyText"/>
        <w:tabs>
          <w:tab w:val="left" w:pos="2127"/>
          <w:tab w:val="left" w:pos="2410"/>
        </w:tabs>
        <w:spacing w:before="1" w:line="312" w:lineRule="auto"/>
        <w:ind w:left="1800" w:right="1444" w:hanging="360"/>
        <w:jc w:val="both"/>
      </w:pPr>
      <w:r>
        <w:tab/>
      </w:r>
      <w:r w:rsidR="00135913">
        <w:t>These reports provide the basis of the data analysis presented in the Prime Minister’s reports but also present data on a range of indicators which are not covered in these reports. Much of this additional data also shows limited progress and in some cases worsening of outcomes over the past decade for example:</w:t>
      </w:r>
    </w:p>
    <w:p w:rsidR="00135913" w:rsidRDefault="00135913" w:rsidP="007622E8">
      <w:pPr>
        <w:pStyle w:val="BodyText"/>
        <w:tabs>
          <w:tab w:val="left" w:pos="2127"/>
          <w:tab w:val="left" w:pos="2410"/>
        </w:tabs>
        <w:spacing w:before="9"/>
        <w:ind w:left="2148" w:hanging="360"/>
      </w:pPr>
    </w:p>
    <w:p w:rsidR="00135913" w:rsidRDefault="00135913" w:rsidP="007622E8">
      <w:pPr>
        <w:pStyle w:val="BodyText"/>
        <w:tabs>
          <w:tab w:val="left" w:pos="2127"/>
          <w:tab w:val="left" w:pos="2410"/>
        </w:tabs>
        <w:spacing w:line="312" w:lineRule="auto"/>
        <w:ind w:left="2148" w:right="1440" w:hanging="360"/>
      </w:pPr>
      <w:r>
        <w:rPr>
          <w:rFonts w:ascii="Wingdings 2" w:hAnsi="Wingdings 2"/>
          <w:color w:val="DA291C"/>
        </w:rPr>
        <w:t></w:t>
      </w:r>
      <w:r>
        <w:rPr>
          <w:rFonts w:ascii="Wingdings 2" w:hAnsi="Wingdings 2"/>
          <w:color w:val="DA291C"/>
        </w:rPr>
        <w:tab/>
      </w:r>
      <w:r>
        <w:t>Rates of family and community violence were unchanged between 2002 and 2014-15 (around 22 per cent)</w:t>
      </w:r>
      <w:r>
        <w:rPr>
          <w:spacing w:val="-2"/>
        </w:rPr>
        <w:t xml:space="preserve"> </w:t>
      </w:r>
      <w:r>
        <w:t>and</w:t>
      </w:r>
      <w:r>
        <w:rPr>
          <w:spacing w:val="-2"/>
        </w:rPr>
        <w:t xml:space="preserve"> </w:t>
      </w:r>
      <w:r>
        <w:t>high</w:t>
      </w:r>
      <w:r>
        <w:rPr>
          <w:spacing w:val="-3"/>
        </w:rPr>
        <w:t xml:space="preserve"> </w:t>
      </w:r>
      <w:r>
        <w:t>risk</w:t>
      </w:r>
      <w:r>
        <w:rPr>
          <w:spacing w:val="-2"/>
        </w:rPr>
        <w:t xml:space="preserve"> </w:t>
      </w:r>
      <w:r>
        <w:t>long-term</w:t>
      </w:r>
      <w:r>
        <w:rPr>
          <w:spacing w:val="1"/>
        </w:rPr>
        <w:t xml:space="preserve"> </w:t>
      </w:r>
      <w:r>
        <w:t>alcohol</w:t>
      </w:r>
      <w:r>
        <w:rPr>
          <w:spacing w:val="-3"/>
        </w:rPr>
        <w:t xml:space="preserve"> </w:t>
      </w:r>
      <w:r>
        <w:t>use</w:t>
      </w:r>
      <w:r>
        <w:rPr>
          <w:spacing w:val="-3"/>
        </w:rPr>
        <w:t xml:space="preserve"> </w:t>
      </w:r>
      <w:r>
        <w:t>in</w:t>
      </w:r>
      <w:r>
        <w:rPr>
          <w:spacing w:val="-3"/>
        </w:rPr>
        <w:t xml:space="preserve"> </w:t>
      </w:r>
      <w:r>
        <w:t>2014-15</w:t>
      </w:r>
      <w:r>
        <w:rPr>
          <w:spacing w:val="-2"/>
        </w:rPr>
        <w:t xml:space="preserve"> </w:t>
      </w:r>
      <w:r>
        <w:t>was similar</w:t>
      </w:r>
      <w:r>
        <w:rPr>
          <w:spacing w:val="-1"/>
        </w:rPr>
        <w:t xml:space="preserve"> </w:t>
      </w:r>
      <w:r>
        <w:t>to</w:t>
      </w:r>
      <w:r>
        <w:rPr>
          <w:spacing w:val="-3"/>
        </w:rPr>
        <w:t xml:space="preserve"> </w:t>
      </w:r>
      <w:r>
        <w:t>2002</w:t>
      </w:r>
      <w:r>
        <w:rPr>
          <w:spacing w:val="-3"/>
        </w:rPr>
        <w:t xml:space="preserve"> </w:t>
      </w:r>
      <w:r>
        <w:t>(although</w:t>
      </w:r>
      <w:r>
        <w:rPr>
          <w:spacing w:val="-3"/>
        </w:rPr>
        <w:t xml:space="preserve"> </w:t>
      </w:r>
      <w:r>
        <w:t>lower</w:t>
      </w:r>
      <w:r>
        <w:rPr>
          <w:spacing w:val="1"/>
        </w:rPr>
        <w:t xml:space="preserve"> </w:t>
      </w:r>
      <w:r>
        <w:t>than</w:t>
      </w:r>
      <w:r>
        <w:rPr>
          <w:spacing w:val="-3"/>
        </w:rPr>
        <w:t xml:space="preserve"> </w:t>
      </w:r>
      <w:r>
        <w:t>2008)</w:t>
      </w:r>
    </w:p>
    <w:p w:rsidR="00135913" w:rsidRDefault="00135913" w:rsidP="007622E8">
      <w:pPr>
        <w:pStyle w:val="BodyText"/>
        <w:tabs>
          <w:tab w:val="left" w:pos="2127"/>
          <w:tab w:val="left" w:pos="2410"/>
        </w:tabs>
        <w:spacing w:before="9"/>
        <w:ind w:left="2148" w:hanging="360"/>
      </w:pPr>
    </w:p>
    <w:p w:rsidR="00135913" w:rsidRDefault="00135913" w:rsidP="007622E8">
      <w:pPr>
        <w:pStyle w:val="BodyText"/>
        <w:tabs>
          <w:tab w:val="left" w:pos="2127"/>
          <w:tab w:val="left" w:pos="2410"/>
        </w:tabs>
        <w:spacing w:line="312" w:lineRule="auto"/>
        <w:ind w:left="2148" w:right="1449" w:hanging="360"/>
      </w:pPr>
      <w:r>
        <w:rPr>
          <w:rFonts w:ascii="Wingdings 2" w:hAnsi="Wingdings 2"/>
          <w:color w:val="DA291C"/>
        </w:rPr>
        <w:t></w:t>
      </w:r>
      <w:r>
        <w:rPr>
          <w:rFonts w:ascii="Wingdings 2" w:hAnsi="Wingdings 2"/>
          <w:color w:val="DA291C"/>
        </w:rPr>
        <w:tab/>
      </w:r>
      <w:r>
        <w:t>The proportions of people learning and speaking Indigenous languages remained unchanged from 2008 to 2014-15</w:t>
      </w:r>
    </w:p>
    <w:p w:rsidR="00135913" w:rsidRDefault="00135913" w:rsidP="007622E8">
      <w:pPr>
        <w:pStyle w:val="BodyText"/>
        <w:tabs>
          <w:tab w:val="left" w:pos="2127"/>
          <w:tab w:val="left" w:pos="2410"/>
        </w:tabs>
        <w:spacing w:before="7"/>
        <w:ind w:left="2148" w:hanging="360"/>
      </w:pPr>
    </w:p>
    <w:p w:rsidR="00135913" w:rsidRDefault="00135913" w:rsidP="007622E8">
      <w:pPr>
        <w:pStyle w:val="BodyText"/>
        <w:tabs>
          <w:tab w:val="left" w:pos="2127"/>
          <w:tab w:val="left" w:pos="2410"/>
        </w:tabs>
        <w:spacing w:line="312" w:lineRule="auto"/>
        <w:ind w:left="2148" w:right="1441" w:hanging="360"/>
        <w:jc w:val="both"/>
      </w:pPr>
      <w:r>
        <w:rPr>
          <w:rFonts w:ascii="Wingdings 2" w:hAnsi="Wingdings 2"/>
          <w:color w:val="DA291C"/>
        </w:rPr>
        <w:t></w:t>
      </w:r>
      <w:r>
        <w:rPr>
          <w:rFonts w:ascii="Times New Roman" w:hAnsi="Times New Roman"/>
          <w:color w:val="DA291C"/>
        </w:rPr>
        <w:t xml:space="preserve"> </w:t>
      </w:r>
      <w:r w:rsidR="00567CB3">
        <w:rPr>
          <w:rFonts w:ascii="Times New Roman" w:hAnsi="Times New Roman"/>
          <w:color w:val="DA291C"/>
        </w:rPr>
        <w:tab/>
      </w:r>
      <w:r>
        <w:t xml:space="preserve">The proportion of adults reporting high-levels of psychological distress increased from 27 per </w:t>
      </w:r>
      <w:r>
        <w:rPr>
          <w:spacing w:val="-20"/>
        </w:rPr>
        <w:t xml:space="preserve">cent </w:t>
      </w:r>
      <w:r>
        <w:rPr>
          <w:spacing w:val="-77"/>
        </w:rPr>
        <w:t>in</w:t>
      </w:r>
      <w:r>
        <w:rPr>
          <w:spacing w:val="14"/>
        </w:rPr>
        <w:t xml:space="preserve"> </w:t>
      </w:r>
      <w:r>
        <w:t>2004-05</w:t>
      </w:r>
      <w:r>
        <w:rPr>
          <w:spacing w:val="-5"/>
        </w:rPr>
        <w:t xml:space="preserve"> </w:t>
      </w:r>
      <w:r>
        <w:t>to</w:t>
      </w:r>
      <w:r>
        <w:rPr>
          <w:spacing w:val="-5"/>
        </w:rPr>
        <w:t xml:space="preserve"> </w:t>
      </w:r>
      <w:r>
        <w:t>33</w:t>
      </w:r>
      <w:r>
        <w:rPr>
          <w:spacing w:val="-4"/>
        </w:rPr>
        <w:t xml:space="preserve"> </w:t>
      </w:r>
      <w:r>
        <w:t>per</w:t>
      </w:r>
      <w:r>
        <w:rPr>
          <w:spacing w:val="-5"/>
        </w:rPr>
        <w:t xml:space="preserve"> </w:t>
      </w:r>
      <w:r>
        <w:t>cent</w:t>
      </w:r>
      <w:r>
        <w:rPr>
          <w:spacing w:val="-5"/>
        </w:rPr>
        <w:t xml:space="preserve"> </w:t>
      </w:r>
      <w:r>
        <w:t>in</w:t>
      </w:r>
      <w:r>
        <w:rPr>
          <w:spacing w:val="-3"/>
        </w:rPr>
        <w:t xml:space="preserve"> </w:t>
      </w:r>
      <w:r>
        <w:t>2014-15,</w:t>
      </w:r>
      <w:r>
        <w:rPr>
          <w:spacing w:val="-5"/>
        </w:rPr>
        <w:t xml:space="preserve"> </w:t>
      </w:r>
      <w:r>
        <w:t>and</w:t>
      </w:r>
      <w:r>
        <w:rPr>
          <w:spacing w:val="-6"/>
        </w:rPr>
        <w:t xml:space="preserve"> </w:t>
      </w:r>
      <w:r>
        <w:t>hospitalisations</w:t>
      </w:r>
      <w:r>
        <w:rPr>
          <w:spacing w:val="-2"/>
        </w:rPr>
        <w:t xml:space="preserve"> </w:t>
      </w:r>
      <w:r>
        <w:t>for</w:t>
      </w:r>
      <w:r>
        <w:rPr>
          <w:spacing w:val="-5"/>
        </w:rPr>
        <w:t xml:space="preserve"> </w:t>
      </w:r>
      <w:r>
        <w:t>self-harm</w:t>
      </w:r>
      <w:r>
        <w:rPr>
          <w:spacing w:val="-2"/>
        </w:rPr>
        <w:t xml:space="preserve"> </w:t>
      </w:r>
      <w:r>
        <w:t>increased</w:t>
      </w:r>
      <w:r>
        <w:rPr>
          <w:spacing w:val="-4"/>
        </w:rPr>
        <w:t xml:space="preserve"> </w:t>
      </w:r>
      <w:r>
        <w:t>by</w:t>
      </w:r>
      <w:r>
        <w:rPr>
          <w:spacing w:val="-4"/>
        </w:rPr>
        <w:t xml:space="preserve"> </w:t>
      </w:r>
      <w:r>
        <w:t>56</w:t>
      </w:r>
      <w:r>
        <w:rPr>
          <w:spacing w:val="-4"/>
        </w:rPr>
        <w:t xml:space="preserve"> </w:t>
      </w:r>
      <w:r>
        <w:t>per</w:t>
      </w:r>
      <w:r>
        <w:rPr>
          <w:spacing w:val="-2"/>
        </w:rPr>
        <w:t xml:space="preserve"> </w:t>
      </w:r>
      <w:r>
        <w:t>cent</w:t>
      </w:r>
      <w:r>
        <w:rPr>
          <w:spacing w:val="-5"/>
        </w:rPr>
        <w:t xml:space="preserve"> </w:t>
      </w:r>
      <w:r>
        <w:t>over</w:t>
      </w:r>
      <w:r>
        <w:rPr>
          <w:spacing w:val="-2"/>
        </w:rPr>
        <w:t xml:space="preserve"> </w:t>
      </w:r>
      <w:r>
        <w:t>this period (SCRGSP, 2016).</w:t>
      </w:r>
    </w:p>
    <w:p w:rsidR="00135913" w:rsidRDefault="00135913" w:rsidP="007622E8">
      <w:pPr>
        <w:pStyle w:val="BodyText"/>
        <w:tabs>
          <w:tab w:val="left" w:pos="2127"/>
          <w:tab w:val="left" w:pos="2410"/>
        </w:tabs>
        <w:spacing w:before="9"/>
        <w:ind w:left="2148" w:hanging="360"/>
      </w:pPr>
    </w:p>
    <w:p w:rsidR="00135913" w:rsidRDefault="00567CB3" w:rsidP="00567CB3">
      <w:pPr>
        <w:pStyle w:val="BodyText"/>
        <w:tabs>
          <w:tab w:val="left" w:pos="2127"/>
          <w:tab w:val="left" w:pos="2410"/>
        </w:tabs>
        <w:spacing w:line="312" w:lineRule="auto"/>
        <w:ind w:left="1800" w:right="1435" w:hanging="360"/>
        <w:jc w:val="both"/>
      </w:pPr>
      <w:r>
        <w:tab/>
      </w:r>
      <w:r w:rsidR="00135913">
        <w:t>The 2016 OID report (SCRGSP, 2016) identifies a number of promising case studies of policies and programs that</w:t>
      </w:r>
      <w:r w:rsidR="00135913">
        <w:rPr>
          <w:spacing w:val="-12"/>
        </w:rPr>
        <w:t xml:space="preserve"> </w:t>
      </w:r>
      <w:r w:rsidR="00135913">
        <w:t>have</w:t>
      </w:r>
      <w:r w:rsidR="00135913">
        <w:rPr>
          <w:spacing w:val="-13"/>
        </w:rPr>
        <w:t xml:space="preserve"> </w:t>
      </w:r>
      <w:r w:rsidR="00135913">
        <w:t>demonstrated</w:t>
      </w:r>
      <w:r w:rsidR="00135913">
        <w:rPr>
          <w:spacing w:val="-12"/>
        </w:rPr>
        <w:t xml:space="preserve"> </w:t>
      </w:r>
      <w:r w:rsidR="00135913">
        <w:t>success</w:t>
      </w:r>
      <w:r w:rsidR="00135913">
        <w:rPr>
          <w:spacing w:val="-11"/>
        </w:rPr>
        <w:t xml:space="preserve"> </w:t>
      </w:r>
      <w:r w:rsidR="00135913">
        <w:t>in</w:t>
      </w:r>
      <w:r w:rsidR="00135913">
        <w:rPr>
          <w:spacing w:val="-11"/>
        </w:rPr>
        <w:t xml:space="preserve"> </w:t>
      </w:r>
      <w:r w:rsidR="00135913">
        <w:t>improving</w:t>
      </w:r>
      <w:r w:rsidR="00135913">
        <w:rPr>
          <w:spacing w:val="-12"/>
        </w:rPr>
        <w:t xml:space="preserve"> </w:t>
      </w:r>
      <w:r w:rsidR="00135913">
        <w:t>outcomes</w:t>
      </w:r>
      <w:r w:rsidR="00135913">
        <w:rPr>
          <w:spacing w:val="-11"/>
        </w:rPr>
        <w:t xml:space="preserve"> </w:t>
      </w:r>
      <w:r w:rsidR="00135913">
        <w:t>for</w:t>
      </w:r>
      <w:r w:rsidR="00135913">
        <w:rPr>
          <w:spacing w:val="-10"/>
        </w:rPr>
        <w:t xml:space="preserve"> </w:t>
      </w:r>
      <w:r w:rsidR="00135913">
        <w:t>Aboriginal</w:t>
      </w:r>
      <w:r w:rsidR="00135913">
        <w:rPr>
          <w:spacing w:val="-11"/>
        </w:rPr>
        <w:t xml:space="preserve"> </w:t>
      </w:r>
      <w:r w:rsidR="00135913">
        <w:t>and</w:t>
      </w:r>
      <w:r w:rsidR="00135913">
        <w:rPr>
          <w:spacing w:val="-13"/>
        </w:rPr>
        <w:t xml:space="preserve"> </w:t>
      </w:r>
      <w:r w:rsidR="00135913">
        <w:t>Torres</w:t>
      </w:r>
      <w:r w:rsidR="00135913">
        <w:rPr>
          <w:spacing w:val="-10"/>
        </w:rPr>
        <w:t xml:space="preserve"> </w:t>
      </w:r>
      <w:r w:rsidR="00135913">
        <w:t>Strait</w:t>
      </w:r>
      <w:r w:rsidR="00135913">
        <w:rPr>
          <w:spacing w:val="-12"/>
        </w:rPr>
        <w:t xml:space="preserve"> </w:t>
      </w:r>
      <w:r w:rsidR="00135913">
        <w:t>Islander</w:t>
      </w:r>
      <w:r w:rsidR="00135913">
        <w:rPr>
          <w:spacing w:val="-11"/>
        </w:rPr>
        <w:t xml:space="preserve"> </w:t>
      </w:r>
      <w:r w:rsidR="00135913">
        <w:t>peoples.</w:t>
      </w:r>
      <w:r w:rsidR="00135913">
        <w:rPr>
          <w:spacing w:val="-11"/>
        </w:rPr>
        <w:t xml:space="preserve"> </w:t>
      </w:r>
      <w:r w:rsidR="00135913">
        <w:t>Some</w:t>
      </w:r>
    </w:p>
    <w:p w:rsidR="00135913" w:rsidRDefault="00135913" w:rsidP="00135913">
      <w:pPr>
        <w:spacing w:line="312" w:lineRule="auto"/>
        <w:jc w:val="both"/>
        <w:sectPr w:rsidR="00135913">
          <w:pgSz w:w="11910" w:h="16840"/>
          <w:pgMar w:top="1360" w:right="0" w:bottom="980" w:left="0" w:header="0" w:footer="798" w:gutter="0"/>
          <w:cols w:space="720"/>
        </w:sectPr>
      </w:pPr>
    </w:p>
    <w:p w:rsidR="00135913" w:rsidRDefault="00135913" w:rsidP="007622E8">
      <w:pPr>
        <w:pStyle w:val="BodyText"/>
        <w:spacing w:before="41" w:line="312" w:lineRule="auto"/>
        <w:ind w:left="1440" w:right="1444"/>
        <w:jc w:val="both"/>
      </w:pPr>
      <w:r>
        <w:t>of the initiatives listed in the report which have been formally evaluated and have demonstrated success include:</w:t>
      </w:r>
    </w:p>
    <w:p w:rsidR="00135913" w:rsidRDefault="00135913" w:rsidP="007622E8">
      <w:pPr>
        <w:pStyle w:val="BodyText"/>
        <w:spacing w:before="7"/>
        <w:ind w:left="1440"/>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Introduction of low aromatic fuel to reduce the harmful, risky health behaviour of petrol</w:t>
      </w:r>
      <w:r>
        <w:rPr>
          <w:spacing w:val="-12"/>
        </w:rPr>
        <w:t xml:space="preserve"> </w:t>
      </w:r>
      <w:r>
        <w:t>sniffing</w:t>
      </w:r>
    </w:p>
    <w:p w:rsidR="00135913" w:rsidRDefault="00135913" w:rsidP="007622E8">
      <w:pPr>
        <w:pStyle w:val="BodyText"/>
        <w:spacing w:before="9"/>
        <w:ind w:left="1440"/>
        <w:rPr>
          <w:sz w:val="25"/>
        </w:rPr>
      </w:pPr>
    </w:p>
    <w:p w:rsidR="00135913" w:rsidRDefault="00135913" w:rsidP="007622E8">
      <w:pPr>
        <w:pStyle w:val="BodyText"/>
        <w:tabs>
          <w:tab w:val="left" w:pos="2148"/>
        </w:tabs>
        <w:spacing w:before="1"/>
        <w:ind w:left="1440"/>
      </w:pPr>
      <w:r>
        <w:rPr>
          <w:rFonts w:ascii="Wingdings 2" w:hAnsi="Wingdings 2"/>
          <w:color w:val="DA291C"/>
        </w:rPr>
        <w:t></w:t>
      </w:r>
      <w:r>
        <w:rPr>
          <w:rFonts w:ascii="Wingdings 2" w:hAnsi="Wingdings 2"/>
          <w:color w:val="DA291C"/>
        </w:rPr>
        <w:tab/>
      </w:r>
      <w:r>
        <w:t>A number of literacy and numeracy programs for</w:t>
      </w:r>
      <w:r>
        <w:rPr>
          <w:spacing w:val="5"/>
        </w:rPr>
        <w:t xml:space="preserve"> </w:t>
      </w:r>
      <w:r>
        <w:t>children</w:t>
      </w:r>
    </w:p>
    <w:p w:rsidR="00135913" w:rsidRDefault="00135913" w:rsidP="007622E8">
      <w:pPr>
        <w:pStyle w:val="BodyText"/>
        <w:spacing w:before="7"/>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Australian Indigenous Mentoring Experience (AIME)</w:t>
      </w:r>
      <w:r>
        <w:rPr>
          <w:spacing w:val="-1"/>
        </w:rPr>
        <w:t xml:space="preserve"> </w:t>
      </w:r>
      <w:r>
        <w:t>Program</w:t>
      </w:r>
    </w:p>
    <w:p w:rsidR="00135913" w:rsidRDefault="00135913" w:rsidP="007622E8">
      <w:pPr>
        <w:pStyle w:val="BodyText"/>
        <w:spacing w:before="7"/>
        <w:ind w:left="1440"/>
        <w:rPr>
          <w:sz w:val="25"/>
        </w:rPr>
      </w:pPr>
    </w:p>
    <w:p w:rsidR="00135913" w:rsidRDefault="00135913" w:rsidP="007622E8">
      <w:pPr>
        <w:pStyle w:val="BodyText"/>
        <w:tabs>
          <w:tab w:val="left" w:pos="2148"/>
        </w:tabs>
        <w:spacing w:before="1"/>
        <w:ind w:left="1440"/>
      </w:pPr>
      <w:r>
        <w:rPr>
          <w:rFonts w:ascii="Wingdings 2" w:hAnsi="Wingdings 2"/>
          <w:color w:val="DA291C"/>
        </w:rPr>
        <w:t></w:t>
      </w:r>
      <w:r>
        <w:rPr>
          <w:rFonts w:ascii="Wingdings 2" w:hAnsi="Wingdings 2"/>
          <w:color w:val="DA291C"/>
        </w:rPr>
        <w:tab/>
      </w:r>
      <w:r>
        <w:t>The Working on Country</w:t>
      </w:r>
      <w:r>
        <w:rPr>
          <w:spacing w:val="-1"/>
        </w:rPr>
        <w:t xml:space="preserve"> </w:t>
      </w:r>
      <w:r>
        <w:t>Program</w:t>
      </w:r>
    </w:p>
    <w:p w:rsidR="00135913" w:rsidRDefault="00135913" w:rsidP="007622E8">
      <w:pPr>
        <w:pStyle w:val="BodyText"/>
        <w:spacing w:before="7"/>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Aboriginal Midwifery Access</w:t>
      </w:r>
      <w:r>
        <w:rPr>
          <w:spacing w:val="3"/>
        </w:rPr>
        <w:t xml:space="preserve"> </w:t>
      </w:r>
      <w:r>
        <w:t>Program</w:t>
      </w:r>
    </w:p>
    <w:p w:rsidR="00135913" w:rsidRDefault="00135913" w:rsidP="007622E8">
      <w:pPr>
        <w:pStyle w:val="BodyText"/>
        <w:spacing w:before="10"/>
        <w:ind w:left="1440"/>
        <w:rPr>
          <w:sz w:val="25"/>
        </w:rPr>
      </w:pPr>
    </w:p>
    <w:p w:rsidR="00135913" w:rsidRDefault="00135913" w:rsidP="007622E8">
      <w:pPr>
        <w:pStyle w:val="BodyText"/>
        <w:tabs>
          <w:tab w:val="left" w:pos="2148"/>
        </w:tabs>
        <w:spacing w:before="1"/>
        <w:ind w:left="1440"/>
      </w:pPr>
      <w:r>
        <w:rPr>
          <w:rFonts w:ascii="Wingdings 2" w:hAnsi="Wingdings 2"/>
          <w:color w:val="DA291C"/>
        </w:rPr>
        <w:t></w:t>
      </w:r>
      <w:r>
        <w:rPr>
          <w:rFonts w:ascii="Wingdings 2" w:hAnsi="Wingdings 2"/>
          <w:color w:val="DA291C"/>
        </w:rPr>
        <w:tab/>
      </w:r>
      <w:r>
        <w:t>Healthy for Life</w:t>
      </w:r>
      <w:r>
        <w:rPr>
          <w:spacing w:val="-2"/>
        </w:rPr>
        <w:t xml:space="preserve"> </w:t>
      </w:r>
      <w:r>
        <w:t>program</w:t>
      </w:r>
    </w:p>
    <w:p w:rsidR="00135913" w:rsidRDefault="00135913" w:rsidP="007622E8">
      <w:pPr>
        <w:pStyle w:val="BodyText"/>
        <w:spacing w:before="7"/>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Care for Kids’ Ears campaign</w:t>
      </w:r>
    </w:p>
    <w:p w:rsidR="00135913" w:rsidRDefault="00135913" w:rsidP="007622E8">
      <w:pPr>
        <w:pStyle w:val="BodyText"/>
        <w:spacing w:before="7"/>
        <w:ind w:left="1440"/>
        <w:rPr>
          <w:sz w:val="25"/>
        </w:rPr>
      </w:pPr>
    </w:p>
    <w:p w:rsidR="00135913" w:rsidRDefault="00135913" w:rsidP="007622E8">
      <w:pPr>
        <w:pStyle w:val="BodyText"/>
        <w:tabs>
          <w:tab w:val="left" w:pos="2148"/>
        </w:tabs>
        <w:spacing w:before="1"/>
        <w:ind w:left="1440"/>
      </w:pPr>
      <w:r>
        <w:rPr>
          <w:rFonts w:ascii="Wingdings 2" w:hAnsi="Wingdings 2"/>
          <w:color w:val="DA291C"/>
        </w:rPr>
        <w:t></w:t>
      </w:r>
      <w:r>
        <w:rPr>
          <w:rFonts w:ascii="Wingdings 2" w:hAnsi="Wingdings 2"/>
          <w:color w:val="DA291C"/>
        </w:rPr>
        <w:tab/>
      </w:r>
      <w:r>
        <w:t>Home Interaction Program for Parents and Youngsters</w:t>
      </w:r>
      <w:r>
        <w:rPr>
          <w:spacing w:val="-1"/>
        </w:rPr>
        <w:t xml:space="preserve"> </w:t>
      </w:r>
      <w:r>
        <w:t>(HIPPY)</w:t>
      </w:r>
    </w:p>
    <w:p w:rsidR="00135913" w:rsidRDefault="00135913" w:rsidP="007622E8">
      <w:pPr>
        <w:pStyle w:val="BodyText"/>
        <w:spacing w:before="10"/>
        <w:ind w:left="1440"/>
      </w:pPr>
    </w:p>
    <w:p w:rsidR="00135913" w:rsidRDefault="00135913" w:rsidP="007622E8">
      <w:pPr>
        <w:pStyle w:val="Heading4"/>
        <w:ind w:left="1440"/>
      </w:pPr>
      <w:r>
        <w:t>Close the Gap Campaign and the Redfern</w:t>
      </w:r>
      <w:r>
        <w:rPr>
          <w:spacing w:val="-8"/>
        </w:rPr>
        <w:t xml:space="preserve"> </w:t>
      </w:r>
      <w:r>
        <w:t>Statement</w:t>
      </w:r>
    </w:p>
    <w:p w:rsidR="00135913" w:rsidRDefault="00135913" w:rsidP="007622E8">
      <w:pPr>
        <w:pStyle w:val="BodyText"/>
        <w:spacing w:before="239" w:line="312" w:lineRule="auto"/>
        <w:ind w:left="1440" w:right="1444"/>
        <w:jc w:val="both"/>
      </w:pPr>
      <w:r>
        <w:t>Since 2006, a group of key organisations and peak bodies have been working together on the Close the Gap social justice campaign that aims to achieve health equality (measured as life expectancy equality) for Aboriginal and Torres Strait Islander people by 2030. The campaign began as the National Indigenous Health Equality Campaign, which was formed in March 2006 by these organisations:</w:t>
      </w:r>
    </w:p>
    <w:p w:rsidR="00135913" w:rsidRDefault="00135913" w:rsidP="007622E8">
      <w:pPr>
        <w:pStyle w:val="BodyText"/>
        <w:spacing w:before="9"/>
        <w:ind w:left="1440"/>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Human Rights and Equal Opportunity</w:t>
      </w:r>
      <w:r>
        <w:rPr>
          <w:spacing w:val="-1"/>
        </w:rPr>
        <w:t xml:space="preserve"> </w:t>
      </w:r>
      <w:r>
        <w:t>Commission</w:t>
      </w:r>
    </w:p>
    <w:p w:rsidR="00135913" w:rsidRDefault="00135913" w:rsidP="007622E8">
      <w:pPr>
        <w:pStyle w:val="BodyText"/>
        <w:spacing w:before="7"/>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National Aboriginal Community Controlled Health Organisation</w:t>
      </w:r>
      <w:r>
        <w:rPr>
          <w:spacing w:val="-2"/>
        </w:rPr>
        <w:t xml:space="preserve"> </w:t>
      </w:r>
      <w:r>
        <w:t>(NACCHO)</w:t>
      </w:r>
    </w:p>
    <w:p w:rsidR="00135913" w:rsidRDefault="00135913" w:rsidP="007622E8">
      <w:pPr>
        <w:pStyle w:val="BodyText"/>
        <w:spacing w:before="10"/>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Australian Indigenous Doctors’ Association</w:t>
      </w:r>
      <w:r>
        <w:rPr>
          <w:spacing w:val="-1"/>
        </w:rPr>
        <w:t xml:space="preserve"> </w:t>
      </w:r>
      <w:r>
        <w:t>(AIDA)</w:t>
      </w:r>
    </w:p>
    <w:p w:rsidR="00135913" w:rsidRDefault="00135913" w:rsidP="007622E8">
      <w:pPr>
        <w:pStyle w:val="BodyText"/>
        <w:spacing w:before="7"/>
        <w:ind w:left="1440"/>
        <w:rPr>
          <w:sz w:val="25"/>
        </w:rPr>
      </w:pPr>
    </w:p>
    <w:p w:rsidR="00135913" w:rsidRDefault="00135913" w:rsidP="007622E8">
      <w:pPr>
        <w:pStyle w:val="BodyText"/>
        <w:tabs>
          <w:tab w:val="left" w:pos="2148"/>
        </w:tabs>
        <w:spacing w:before="1"/>
        <w:ind w:left="1440"/>
      </w:pPr>
      <w:r>
        <w:rPr>
          <w:rFonts w:ascii="Wingdings 2" w:hAnsi="Wingdings 2"/>
          <w:color w:val="DA291C"/>
        </w:rPr>
        <w:t></w:t>
      </w:r>
      <w:r>
        <w:rPr>
          <w:rFonts w:ascii="Wingdings 2" w:hAnsi="Wingdings 2"/>
          <w:color w:val="DA291C"/>
        </w:rPr>
        <w:tab/>
      </w:r>
      <w:r>
        <w:t>Congress of Aboriginal and Torres Strait Islander Nurses and Midwives</w:t>
      </w:r>
      <w:r>
        <w:rPr>
          <w:spacing w:val="-6"/>
        </w:rPr>
        <w:t xml:space="preserve"> </w:t>
      </w:r>
      <w:r>
        <w:t>(CATSINaM)</w:t>
      </w:r>
    </w:p>
    <w:p w:rsidR="00135913" w:rsidRDefault="00135913" w:rsidP="007622E8">
      <w:pPr>
        <w:pStyle w:val="BodyText"/>
        <w:spacing w:before="8"/>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Indigenous Dentists' Association of Australia</w:t>
      </w:r>
      <w:r>
        <w:rPr>
          <w:spacing w:val="-2"/>
        </w:rPr>
        <w:t xml:space="preserve"> </w:t>
      </w:r>
      <w:r>
        <w:t>(IDAA)</w:t>
      </w:r>
    </w:p>
    <w:p w:rsidR="00135913" w:rsidRDefault="00135913" w:rsidP="007622E8">
      <w:pPr>
        <w:pStyle w:val="BodyText"/>
        <w:spacing w:before="7"/>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Oxfam Australia</w:t>
      </w:r>
    </w:p>
    <w:p w:rsidR="00135913" w:rsidRDefault="00135913" w:rsidP="007622E8">
      <w:pPr>
        <w:pStyle w:val="BodyText"/>
        <w:spacing w:before="10"/>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Australians for Native Title and Reconciliation</w:t>
      </w:r>
      <w:r>
        <w:rPr>
          <w:spacing w:val="-4"/>
        </w:rPr>
        <w:t xml:space="preserve"> </w:t>
      </w:r>
      <w:r>
        <w:t>(ANTaR).</w:t>
      </w:r>
    </w:p>
    <w:p w:rsidR="00135913" w:rsidRDefault="00135913" w:rsidP="007622E8">
      <w:pPr>
        <w:pStyle w:val="BodyText"/>
        <w:spacing w:before="7"/>
        <w:ind w:left="1440"/>
        <w:rPr>
          <w:sz w:val="25"/>
        </w:rPr>
      </w:pPr>
    </w:p>
    <w:p w:rsidR="00135913" w:rsidRDefault="00135913" w:rsidP="007622E8">
      <w:pPr>
        <w:pStyle w:val="BodyText"/>
        <w:spacing w:before="1" w:line="312" w:lineRule="auto"/>
        <w:ind w:left="1440" w:right="1433"/>
        <w:jc w:val="both"/>
      </w:pPr>
      <w:r>
        <w:t>A Steering Committee was established to help guide the development of the campaign. A coalition of more than 40 Aboriginal and Torres Strait Islander and non-Indigenous health organisations and human rights organisations became involved in the campaign (Human Rights and Equal Opportunity Commission, 2008). Since 2010 the Steering Committee has produced an annual ‘Shadow’ report (more recently called Progress and Priorities report) which provides the Committee’s own analysis of progress against the COAG targets and sets out future priorities for the Government and other stakeholders.</w:t>
      </w:r>
    </w:p>
    <w:p w:rsidR="00135913" w:rsidRDefault="00135913" w:rsidP="00135913">
      <w:pPr>
        <w:spacing w:line="312" w:lineRule="auto"/>
        <w:jc w:val="both"/>
        <w:sectPr w:rsidR="00135913">
          <w:pgSz w:w="11910" w:h="16840"/>
          <w:pgMar w:top="1380" w:right="0" w:bottom="980" w:left="0" w:header="0" w:footer="798" w:gutter="0"/>
          <w:cols w:space="720"/>
        </w:sectPr>
      </w:pPr>
    </w:p>
    <w:p w:rsidR="00135913" w:rsidRDefault="00135913" w:rsidP="007622E8">
      <w:pPr>
        <w:pStyle w:val="BodyText"/>
        <w:spacing w:before="41" w:line="312" w:lineRule="auto"/>
        <w:ind w:left="1440" w:right="1436"/>
        <w:jc w:val="both"/>
      </w:pPr>
      <w:r>
        <w:t>The</w:t>
      </w:r>
      <w:r>
        <w:rPr>
          <w:spacing w:val="-5"/>
        </w:rPr>
        <w:t xml:space="preserve"> </w:t>
      </w:r>
      <w:r>
        <w:t>latest</w:t>
      </w:r>
      <w:r>
        <w:rPr>
          <w:spacing w:val="-3"/>
        </w:rPr>
        <w:t xml:space="preserve"> </w:t>
      </w:r>
      <w:r>
        <w:t>report</w:t>
      </w:r>
      <w:r>
        <w:rPr>
          <w:spacing w:val="-3"/>
        </w:rPr>
        <w:t xml:space="preserve"> </w:t>
      </w:r>
      <w:r>
        <w:t>reflects</w:t>
      </w:r>
      <w:r>
        <w:rPr>
          <w:spacing w:val="-2"/>
        </w:rPr>
        <w:t xml:space="preserve"> </w:t>
      </w:r>
      <w:r>
        <w:t>on</w:t>
      </w:r>
      <w:r>
        <w:rPr>
          <w:spacing w:val="-4"/>
        </w:rPr>
        <w:t xml:space="preserve"> </w:t>
      </w:r>
      <w:r>
        <w:t>10</w:t>
      </w:r>
      <w:r>
        <w:rPr>
          <w:spacing w:val="-3"/>
        </w:rPr>
        <w:t xml:space="preserve"> </w:t>
      </w:r>
      <w:r>
        <w:t>years</w:t>
      </w:r>
      <w:r>
        <w:rPr>
          <w:spacing w:val="-4"/>
        </w:rPr>
        <w:t xml:space="preserve"> </w:t>
      </w:r>
      <w:r>
        <w:t>of</w:t>
      </w:r>
      <w:r>
        <w:rPr>
          <w:spacing w:val="-6"/>
        </w:rPr>
        <w:t xml:space="preserve"> </w:t>
      </w:r>
      <w:r>
        <w:t>the</w:t>
      </w:r>
      <w:r>
        <w:rPr>
          <w:spacing w:val="-4"/>
        </w:rPr>
        <w:t xml:space="preserve"> </w:t>
      </w:r>
      <w:r>
        <w:t>COAG</w:t>
      </w:r>
      <w:r>
        <w:rPr>
          <w:spacing w:val="-4"/>
        </w:rPr>
        <w:t xml:space="preserve"> </w:t>
      </w:r>
      <w:r>
        <w:t>targets</w:t>
      </w:r>
      <w:r>
        <w:rPr>
          <w:spacing w:val="-5"/>
        </w:rPr>
        <w:t xml:space="preserve"> </w:t>
      </w:r>
      <w:r>
        <w:t>and</w:t>
      </w:r>
      <w:r>
        <w:rPr>
          <w:spacing w:val="-4"/>
        </w:rPr>
        <w:t xml:space="preserve"> </w:t>
      </w:r>
      <w:r>
        <w:t>sets</w:t>
      </w:r>
      <w:r>
        <w:rPr>
          <w:spacing w:val="-3"/>
        </w:rPr>
        <w:t xml:space="preserve"> </w:t>
      </w:r>
      <w:r>
        <w:t>out</w:t>
      </w:r>
      <w:r>
        <w:rPr>
          <w:spacing w:val="-3"/>
        </w:rPr>
        <w:t xml:space="preserve"> </w:t>
      </w:r>
      <w:r>
        <w:t>a</w:t>
      </w:r>
      <w:r>
        <w:rPr>
          <w:spacing w:val="-4"/>
        </w:rPr>
        <w:t xml:space="preserve"> </w:t>
      </w:r>
      <w:r>
        <w:t>number</w:t>
      </w:r>
      <w:r>
        <w:rPr>
          <w:spacing w:val="-3"/>
        </w:rPr>
        <w:t xml:space="preserve"> </w:t>
      </w:r>
      <w:r>
        <w:t>of</w:t>
      </w:r>
      <w:r>
        <w:rPr>
          <w:spacing w:val="-5"/>
        </w:rPr>
        <w:t xml:space="preserve"> </w:t>
      </w:r>
      <w:r>
        <w:t>recommendations</w:t>
      </w:r>
      <w:r>
        <w:rPr>
          <w:spacing w:val="-3"/>
        </w:rPr>
        <w:t xml:space="preserve"> </w:t>
      </w:r>
      <w:r>
        <w:t>that</w:t>
      </w:r>
      <w:r>
        <w:rPr>
          <w:spacing w:val="-3"/>
        </w:rPr>
        <w:t xml:space="preserve"> </w:t>
      </w:r>
      <w:r>
        <w:t>the Committee believes would be required to improve outcomes for Aboriginal and Torres Strait Islander peoples in the future. The report very much reflects the sentiments and proposals that were set out in the Redfern Statement released in June 2016 by a group of Aboriginal and Torres Strait Islander peak organisations. Specifically, the Redfern Statement urges the Government</w:t>
      </w:r>
      <w:r>
        <w:rPr>
          <w:spacing w:val="4"/>
        </w:rPr>
        <w:t xml:space="preserve"> </w:t>
      </w:r>
      <w:r>
        <w:t>to:</w:t>
      </w:r>
    </w:p>
    <w:p w:rsidR="00135913" w:rsidRDefault="00135913" w:rsidP="007622E8">
      <w:pPr>
        <w:pStyle w:val="BodyText"/>
        <w:spacing w:before="7"/>
        <w:ind w:left="1440"/>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commit to resourcing Aboriginal and Torres Strait Islander led</w:t>
      </w:r>
      <w:r>
        <w:rPr>
          <w:spacing w:val="-4"/>
        </w:rPr>
        <w:t xml:space="preserve"> </w:t>
      </w:r>
      <w:r>
        <w:t>solutions</w:t>
      </w:r>
    </w:p>
    <w:p w:rsidR="00135913" w:rsidRDefault="00135913" w:rsidP="007622E8">
      <w:pPr>
        <w:pStyle w:val="BodyText"/>
        <w:tabs>
          <w:tab w:val="left" w:pos="2148"/>
        </w:tabs>
        <w:spacing w:before="8"/>
        <w:ind w:left="1440"/>
        <w:rPr>
          <w:sz w:val="25"/>
        </w:rPr>
      </w:pPr>
    </w:p>
    <w:p w:rsidR="00135913" w:rsidRDefault="00135913" w:rsidP="00567CB3">
      <w:pPr>
        <w:pStyle w:val="BodyText"/>
        <w:tabs>
          <w:tab w:val="left" w:pos="2148"/>
        </w:tabs>
        <w:spacing w:line="314" w:lineRule="auto"/>
        <w:ind w:left="2145" w:right="1449" w:hanging="705"/>
      </w:pPr>
      <w:r>
        <w:rPr>
          <w:rFonts w:ascii="Wingdings 2" w:hAnsi="Wingdings 2"/>
          <w:color w:val="DA291C"/>
        </w:rPr>
        <w:t></w:t>
      </w:r>
      <w:r>
        <w:rPr>
          <w:rFonts w:ascii="Wingdings 2" w:hAnsi="Wingdings 2"/>
          <w:color w:val="DA291C"/>
        </w:rPr>
        <w:tab/>
      </w:r>
      <w:r>
        <w:t>commit to better engagement with Aboriginal and Torres Strait Islander peoples through their representative national peak</w:t>
      </w:r>
      <w:r>
        <w:rPr>
          <w:spacing w:val="3"/>
        </w:rPr>
        <w:t xml:space="preserve"> </w:t>
      </w:r>
      <w:r>
        <w:t>organisations</w:t>
      </w:r>
    </w:p>
    <w:p w:rsidR="00135913" w:rsidRDefault="00135913" w:rsidP="007622E8">
      <w:pPr>
        <w:pStyle w:val="BodyText"/>
        <w:tabs>
          <w:tab w:val="left" w:pos="2148"/>
        </w:tabs>
        <w:spacing w:before="5"/>
        <w:ind w:left="1440"/>
      </w:pPr>
    </w:p>
    <w:p w:rsidR="00135913" w:rsidRDefault="00135913" w:rsidP="00567CB3">
      <w:pPr>
        <w:pStyle w:val="BodyText"/>
        <w:tabs>
          <w:tab w:val="left" w:pos="2148"/>
        </w:tabs>
        <w:spacing w:line="312" w:lineRule="auto"/>
        <w:ind w:left="2145" w:right="1449" w:hanging="705"/>
      </w:pPr>
      <w:r>
        <w:rPr>
          <w:rFonts w:ascii="Wingdings 2" w:hAnsi="Wingdings 2"/>
          <w:color w:val="DA291C"/>
        </w:rPr>
        <w:t></w:t>
      </w:r>
      <w:r>
        <w:rPr>
          <w:rFonts w:ascii="Wingdings 2" w:hAnsi="Wingdings 2"/>
          <w:color w:val="DA291C"/>
        </w:rPr>
        <w:tab/>
      </w:r>
      <w:r>
        <w:t>recommit to Closing the Gap in this generation by and in partnership with COAG and Aboriginal and Torres Strait Islander</w:t>
      </w:r>
      <w:r>
        <w:rPr>
          <w:spacing w:val="1"/>
        </w:rPr>
        <w:t xml:space="preserve"> </w:t>
      </w:r>
      <w:r>
        <w:t>people</w:t>
      </w:r>
    </w:p>
    <w:p w:rsidR="00135913" w:rsidRDefault="00135913" w:rsidP="007622E8">
      <w:pPr>
        <w:pStyle w:val="BodyText"/>
        <w:tabs>
          <w:tab w:val="left" w:pos="2148"/>
        </w:tabs>
        <w:spacing w:before="7"/>
        <w:ind w:left="1440"/>
      </w:pPr>
    </w:p>
    <w:p w:rsidR="00135913" w:rsidRDefault="00135913" w:rsidP="00567CB3">
      <w:pPr>
        <w:pStyle w:val="BodyText"/>
        <w:tabs>
          <w:tab w:val="left" w:pos="2148"/>
        </w:tabs>
        <w:spacing w:line="314" w:lineRule="auto"/>
        <w:ind w:left="2145" w:right="1449" w:hanging="705"/>
      </w:pPr>
      <w:r>
        <w:rPr>
          <w:rFonts w:ascii="Wingdings 2" w:hAnsi="Wingdings 2"/>
          <w:color w:val="DA291C"/>
        </w:rPr>
        <w:t></w:t>
      </w:r>
      <w:r>
        <w:rPr>
          <w:rFonts w:ascii="Wingdings 2" w:hAnsi="Wingdings 2"/>
          <w:color w:val="DA291C"/>
        </w:rPr>
        <w:tab/>
      </w:r>
      <w:r>
        <w:t>commit to working with Aboriginal and Torres Strait Islander leaders to establish a Department of Aboriginal and Torres Strait Islander Affairs in the future</w:t>
      </w:r>
    </w:p>
    <w:p w:rsidR="00135913" w:rsidRDefault="00135913" w:rsidP="007622E8">
      <w:pPr>
        <w:pStyle w:val="BodyText"/>
        <w:tabs>
          <w:tab w:val="left" w:pos="2148"/>
        </w:tabs>
        <w:spacing w:before="4"/>
        <w:ind w:left="1440"/>
      </w:pPr>
    </w:p>
    <w:p w:rsidR="00135913" w:rsidRDefault="00135913" w:rsidP="00567CB3">
      <w:pPr>
        <w:pStyle w:val="BodyText"/>
        <w:tabs>
          <w:tab w:val="left" w:pos="2148"/>
        </w:tabs>
        <w:spacing w:line="312" w:lineRule="auto"/>
        <w:ind w:left="2145" w:right="1440" w:hanging="705"/>
      </w:pPr>
      <w:r>
        <w:rPr>
          <w:rFonts w:ascii="Wingdings 2" w:hAnsi="Wingdings 2"/>
          <w:color w:val="DA291C"/>
        </w:rPr>
        <w:t></w:t>
      </w:r>
      <w:r>
        <w:rPr>
          <w:rFonts w:ascii="Wingdings 2" w:hAnsi="Wingdings 2"/>
          <w:color w:val="DA291C"/>
        </w:rPr>
        <w:tab/>
      </w:r>
      <w:r>
        <w:t>commit to addressing the unfinished business of reconciliation (National Congress of Australia's First Peoples,</w:t>
      </w:r>
      <w:r>
        <w:rPr>
          <w:spacing w:val="-1"/>
        </w:rPr>
        <w:t xml:space="preserve"> </w:t>
      </w:r>
      <w:r>
        <w:t>2016).</w:t>
      </w:r>
    </w:p>
    <w:p w:rsidR="00135913" w:rsidRDefault="00135913" w:rsidP="007622E8">
      <w:pPr>
        <w:pStyle w:val="BodyText"/>
        <w:spacing w:before="7"/>
        <w:ind w:left="1440"/>
      </w:pPr>
    </w:p>
    <w:p w:rsidR="00135913" w:rsidRDefault="00135913" w:rsidP="007622E8">
      <w:pPr>
        <w:pStyle w:val="BodyText"/>
        <w:spacing w:line="312" w:lineRule="auto"/>
        <w:ind w:left="1440" w:right="1441"/>
        <w:jc w:val="both"/>
      </w:pPr>
      <w:r>
        <w:t>In terms of the Closing the Gap framework, the Redfern Statement recommended setting additional targets and developing evidence-based prevention and early intervention oriented national strategies to drive activity and outcomes addressing:</w:t>
      </w:r>
    </w:p>
    <w:p w:rsidR="00135913" w:rsidRDefault="00135913" w:rsidP="007622E8">
      <w:pPr>
        <w:pStyle w:val="BodyText"/>
        <w:spacing w:before="9"/>
        <w:ind w:left="1440"/>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family violence (with a focus on women and</w:t>
      </w:r>
      <w:r>
        <w:rPr>
          <w:spacing w:val="1"/>
        </w:rPr>
        <w:t xml:space="preserve"> </w:t>
      </w:r>
      <w:r>
        <w:t>children)</w:t>
      </w:r>
    </w:p>
    <w:p w:rsidR="00135913" w:rsidRDefault="00135913" w:rsidP="007622E8">
      <w:pPr>
        <w:pStyle w:val="BodyText"/>
        <w:tabs>
          <w:tab w:val="left" w:pos="2148"/>
        </w:tabs>
        <w:spacing w:before="8"/>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incarceration and access to</w:t>
      </w:r>
      <w:r>
        <w:rPr>
          <w:spacing w:val="-1"/>
        </w:rPr>
        <w:t xml:space="preserve"> </w:t>
      </w:r>
      <w:r>
        <w:t>justice</w:t>
      </w:r>
    </w:p>
    <w:p w:rsidR="00135913" w:rsidRDefault="00135913" w:rsidP="007622E8">
      <w:pPr>
        <w:pStyle w:val="BodyText"/>
        <w:tabs>
          <w:tab w:val="left" w:pos="2148"/>
        </w:tabs>
        <w:spacing w:before="9"/>
        <w:ind w:left="1440"/>
        <w:rPr>
          <w:sz w:val="25"/>
        </w:rPr>
      </w:pPr>
    </w:p>
    <w:p w:rsidR="00135913" w:rsidRDefault="00135913" w:rsidP="00567CB3">
      <w:pPr>
        <w:pStyle w:val="BodyText"/>
        <w:tabs>
          <w:tab w:val="left" w:pos="2148"/>
        </w:tabs>
        <w:spacing w:before="1" w:line="312" w:lineRule="auto"/>
        <w:ind w:left="2145" w:right="1449" w:hanging="705"/>
      </w:pPr>
      <w:r>
        <w:rPr>
          <w:rFonts w:ascii="Wingdings 2" w:hAnsi="Wingdings 2"/>
          <w:color w:val="DA291C"/>
        </w:rPr>
        <w:t></w:t>
      </w:r>
      <w:r>
        <w:rPr>
          <w:rFonts w:ascii="Wingdings 2" w:hAnsi="Wingdings 2"/>
          <w:color w:val="DA291C"/>
        </w:rPr>
        <w:tab/>
      </w:r>
      <w:r>
        <w:t>child safety and wellbeing, and the over-representation of Aboriginal and Torres Strait Islander children in out-of-home care</w:t>
      </w:r>
    </w:p>
    <w:p w:rsidR="00135913" w:rsidRDefault="00135913" w:rsidP="007622E8">
      <w:pPr>
        <w:pStyle w:val="BodyText"/>
        <w:tabs>
          <w:tab w:val="left" w:pos="2148"/>
        </w:tabs>
        <w:spacing w:before="6"/>
        <w:ind w:left="1440"/>
      </w:pPr>
    </w:p>
    <w:p w:rsidR="00135913" w:rsidRDefault="00135913" w:rsidP="007622E8">
      <w:pPr>
        <w:pStyle w:val="BodyText"/>
        <w:tabs>
          <w:tab w:val="left" w:pos="2148"/>
        </w:tabs>
        <w:spacing w:before="1"/>
        <w:ind w:left="1440"/>
      </w:pPr>
      <w:r>
        <w:rPr>
          <w:rFonts w:ascii="Wingdings 2" w:hAnsi="Wingdings 2"/>
          <w:color w:val="DA291C"/>
        </w:rPr>
        <w:t></w:t>
      </w:r>
      <w:r>
        <w:rPr>
          <w:rFonts w:ascii="Wingdings 2" w:hAnsi="Wingdings 2"/>
          <w:color w:val="DA291C"/>
        </w:rPr>
        <w:tab/>
      </w:r>
      <w:r>
        <w:t>increasing Aboriginal and Torres Strait Islander access to disability</w:t>
      </w:r>
      <w:r>
        <w:rPr>
          <w:spacing w:val="-1"/>
        </w:rPr>
        <w:t xml:space="preserve"> </w:t>
      </w:r>
      <w:r>
        <w:t>services</w:t>
      </w:r>
    </w:p>
    <w:p w:rsidR="00135913" w:rsidRDefault="00135913" w:rsidP="007622E8">
      <w:pPr>
        <w:pStyle w:val="BodyText"/>
        <w:spacing w:before="7"/>
        <w:ind w:left="1440"/>
        <w:rPr>
          <w:sz w:val="25"/>
        </w:rPr>
      </w:pPr>
    </w:p>
    <w:p w:rsidR="00135913" w:rsidRDefault="00135913" w:rsidP="00567CB3">
      <w:pPr>
        <w:pStyle w:val="BodyText"/>
        <w:spacing w:line="312" w:lineRule="auto"/>
        <w:ind w:left="2160" w:right="1440" w:hanging="720"/>
        <w:jc w:val="both"/>
      </w:pPr>
      <w:r>
        <w:rPr>
          <w:rFonts w:ascii="Wingdings 2" w:hAnsi="Wingdings 2"/>
          <w:color w:val="DA291C"/>
        </w:rPr>
        <w:t></w:t>
      </w:r>
      <w:r w:rsidR="00567CB3">
        <w:rPr>
          <w:rFonts w:ascii="Wingdings 2" w:hAnsi="Wingdings 2"/>
          <w:color w:val="DA291C"/>
        </w:rPr>
        <w:tab/>
      </w:r>
      <w:r>
        <w:rPr>
          <w:rFonts w:ascii="Times New Roman" w:hAnsi="Times New Roman"/>
          <w:color w:val="DA291C"/>
        </w:rPr>
        <w:t xml:space="preserve"> </w:t>
      </w:r>
      <w:r>
        <w:t xml:space="preserve">secure national funding agreements between the Commonwealth and States and Territories (like </w:t>
      </w:r>
      <w:r>
        <w:rPr>
          <w:spacing w:val="-87"/>
        </w:rPr>
        <w:t>the</w:t>
      </w:r>
      <w:r>
        <w:rPr>
          <w:spacing w:val="4"/>
        </w:rPr>
        <w:t xml:space="preserve"> </w:t>
      </w:r>
      <w:r>
        <w:t>former National Partnership Agreements), which emphasise accountability to Aboriginal and Torres Strait Islander peoples and drive the implementation of national strategies (National Congress of Australia's First Peoples, 2016).</w:t>
      </w:r>
    </w:p>
    <w:p w:rsidR="00135913" w:rsidRDefault="00135913" w:rsidP="007622E8">
      <w:pPr>
        <w:pStyle w:val="BodyText"/>
        <w:ind w:left="1440"/>
      </w:pPr>
    </w:p>
    <w:p w:rsidR="00135913" w:rsidRDefault="00135913" w:rsidP="007622E8">
      <w:pPr>
        <w:pStyle w:val="BodyText"/>
        <w:ind w:left="1440"/>
      </w:pPr>
      <w:r>
        <w:t>Other recommendations around governance and reporting of relevance to the Closing the Gap initiative are:</w:t>
      </w:r>
    </w:p>
    <w:p w:rsidR="00135913" w:rsidRDefault="00135913" w:rsidP="007622E8">
      <w:pPr>
        <w:pStyle w:val="BodyText"/>
        <w:spacing w:before="8"/>
        <w:ind w:left="1440"/>
        <w:rPr>
          <w:sz w:val="25"/>
        </w:rPr>
      </w:pPr>
    </w:p>
    <w:p w:rsidR="00135913" w:rsidRDefault="00135913" w:rsidP="00567CB3">
      <w:pPr>
        <w:pStyle w:val="BodyText"/>
        <w:spacing w:line="312" w:lineRule="auto"/>
        <w:ind w:left="1800" w:right="1437" w:hanging="360"/>
        <w:jc w:val="both"/>
      </w:pPr>
      <w:r>
        <w:rPr>
          <w:rFonts w:ascii="Wingdings 2" w:hAnsi="Wingdings 2"/>
          <w:color w:val="DA291C"/>
        </w:rPr>
        <w:t></w:t>
      </w:r>
      <w:r>
        <w:rPr>
          <w:rFonts w:ascii="Times New Roman" w:hAnsi="Times New Roman"/>
          <w:color w:val="DA291C"/>
        </w:rPr>
        <w:t xml:space="preserve"> </w:t>
      </w:r>
      <w:r w:rsidR="00567CB3">
        <w:rPr>
          <w:rFonts w:ascii="Times New Roman" w:hAnsi="Times New Roman"/>
          <w:color w:val="DA291C"/>
        </w:rPr>
        <w:tab/>
      </w:r>
      <w:r>
        <w:t>Reforming the  Indigenous  Advancement  Strategy  (IAS)  with  greater  emphasis  on  service/need mapping and local Aboriginal and Torres Strait Islander organisations as preferred providers. A 2017 National Audit Office report on the development and implementation of the IAS presented findings that were critical about the implementation of the strategy and presented a number of recommendations for future reform (The Auditor-General, 2017).</w:t>
      </w:r>
    </w:p>
    <w:p w:rsidR="00135913" w:rsidRDefault="00135913" w:rsidP="00135913">
      <w:pPr>
        <w:spacing w:line="312" w:lineRule="auto"/>
        <w:jc w:val="both"/>
        <w:sectPr w:rsidR="00135913">
          <w:pgSz w:w="11910" w:h="16840"/>
          <w:pgMar w:top="1380" w:right="0" w:bottom="980" w:left="0" w:header="0" w:footer="798" w:gutter="0"/>
          <w:cols w:space="720"/>
        </w:sectPr>
      </w:pPr>
    </w:p>
    <w:p w:rsidR="00135913" w:rsidRDefault="00135913" w:rsidP="00567CB3">
      <w:pPr>
        <w:pStyle w:val="BodyText"/>
        <w:numPr>
          <w:ilvl w:val="2"/>
          <w:numId w:val="30"/>
        </w:numPr>
        <w:spacing w:before="61" w:line="312" w:lineRule="auto"/>
        <w:ind w:left="1800" w:right="1448"/>
        <w:jc w:val="both"/>
      </w:pPr>
      <w:r>
        <w:t xml:space="preserve">Creating national Aboriginal and  Torres  Strait  Islander  representative  bodies  for  </w:t>
      </w:r>
      <w:r>
        <w:rPr>
          <w:spacing w:val="-29"/>
        </w:rPr>
        <w:t xml:space="preserve">education,  </w:t>
      </w:r>
      <w:r>
        <w:t>employment and</w:t>
      </w:r>
      <w:r>
        <w:rPr>
          <w:spacing w:val="-1"/>
        </w:rPr>
        <w:t xml:space="preserve"> </w:t>
      </w:r>
      <w:r>
        <w:t>housing</w:t>
      </w:r>
    </w:p>
    <w:p w:rsidR="00135913" w:rsidRDefault="00135913" w:rsidP="00567CB3">
      <w:pPr>
        <w:pStyle w:val="BodyText"/>
        <w:spacing w:before="7"/>
        <w:ind w:left="1788" w:hanging="360"/>
      </w:pPr>
    </w:p>
    <w:p w:rsidR="00135913" w:rsidRDefault="00135913" w:rsidP="00567CB3">
      <w:pPr>
        <w:pStyle w:val="BodyText"/>
        <w:numPr>
          <w:ilvl w:val="2"/>
          <w:numId w:val="30"/>
        </w:numPr>
        <w:spacing w:line="314" w:lineRule="auto"/>
        <w:ind w:left="1800" w:right="1445"/>
        <w:jc w:val="both"/>
      </w:pPr>
      <w:r>
        <w:t xml:space="preserve">Adequately resource the Implementation Plan for the National Aboriginal and Torres Strait </w:t>
      </w:r>
      <w:r>
        <w:rPr>
          <w:spacing w:val="-40"/>
        </w:rPr>
        <w:t>Islander</w:t>
      </w:r>
      <w:r>
        <w:t>Health Plan 2013-2023 (Department of Health,</w:t>
      </w:r>
      <w:r>
        <w:rPr>
          <w:spacing w:val="-1"/>
        </w:rPr>
        <w:t xml:space="preserve"> </w:t>
      </w:r>
      <w:r>
        <w:t>2015).</w:t>
      </w:r>
    </w:p>
    <w:p w:rsidR="00135913" w:rsidRDefault="00135913" w:rsidP="00567CB3">
      <w:pPr>
        <w:pStyle w:val="BodyText"/>
        <w:spacing w:before="4"/>
        <w:ind w:left="1788" w:hanging="360"/>
      </w:pPr>
    </w:p>
    <w:p w:rsidR="00135913" w:rsidRDefault="00135913" w:rsidP="00567CB3">
      <w:pPr>
        <w:pStyle w:val="BodyText"/>
        <w:numPr>
          <w:ilvl w:val="2"/>
          <w:numId w:val="30"/>
        </w:numPr>
        <w:spacing w:line="312" w:lineRule="auto"/>
        <w:ind w:left="1800" w:right="1439"/>
        <w:jc w:val="both"/>
      </w:pPr>
      <w:r>
        <w:t>Fund an implementation plan for the National Aboriginal and Torres Strait Islander Suicide Prevention Strategy</w:t>
      </w:r>
    </w:p>
    <w:p w:rsidR="00135913" w:rsidRDefault="00135913" w:rsidP="00567CB3">
      <w:pPr>
        <w:pStyle w:val="BodyText"/>
        <w:spacing w:before="7"/>
        <w:ind w:left="1788" w:hanging="360"/>
      </w:pPr>
    </w:p>
    <w:p w:rsidR="00135913" w:rsidRDefault="00135913" w:rsidP="00567CB3">
      <w:pPr>
        <w:pStyle w:val="BodyText"/>
        <w:numPr>
          <w:ilvl w:val="2"/>
          <w:numId w:val="30"/>
        </w:numPr>
        <w:spacing w:line="312" w:lineRule="auto"/>
        <w:ind w:left="1800" w:right="1448"/>
        <w:jc w:val="both"/>
      </w:pPr>
      <w:r>
        <w:t xml:space="preserve">Develop a long-term National Aboriginal and Torres Strait Islander  Social Determinants  of </w:t>
      </w:r>
      <w:r>
        <w:rPr>
          <w:spacing w:val="-47"/>
        </w:rPr>
        <w:t>Health</w:t>
      </w:r>
      <w:r>
        <w:rPr>
          <w:spacing w:val="20"/>
        </w:rPr>
        <w:t xml:space="preserve"> </w:t>
      </w:r>
      <w:r>
        <w:t>Strategy which takes a broader, holistic look at the elements to health and wellbeing for Australia’s First Peoples (National Congress of Australia's First Peoples,</w:t>
      </w:r>
      <w:r>
        <w:rPr>
          <w:spacing w:val="-2"/>
        </w:rPr>
        <w:t xml:space="preserve"> </w:t>
      </w:r>
      <w:r>
        <w:t>2016).</w:t>
      </w:r>
    </w:p>
    <w:p w:rsidR="00135913" w:rsidRDefault="00135913" w:rsidP="007622E8">
      <w:pPr>
        <w:pStyle w:val="BodyText"/>
        <w:spacing w:before="9"/>
        <w:ind w:hanging="360"/>
      </w:pPr>
    </w:p>
    <w:p w:rsidR="00135913" w:rsidRDefault="00135913" w:rsidP="00567CB3">
      <w:pPr>
        <w:pStyle w:val="BodyText"/>
        <w:spacing w:line="312" w:lineRule="auto"/>
        <w:ind w:left="1440" w:right="1437"/>
        <w:jc w:val="both"/>
      </w:pPr>
      <w:r>
        <w:t>The</w:t>
      </w:r>
      <w:r>
        <w:rPr>
          <w:spacing w:val="-10"/>
        </w:rPr>
        <w:t xml:space="preserve"> </w:t>
      </w:r>
      <w:r>
        <w:t>2017</w:t>
      </w:r>
      <w:r>
        <w:rPr>
          <w:spacing w:val="-10"/>
        </w:rPr>
        <w:t xml:space="preserve"> </w:t>
      </w:r>
      <w:r>
        <w:t>Close</w:t>
      </w:r>
      <w:r>
        <w:rPr>
          <w:spacing w:val="-11"/>
        </w:rPr>
        <w:t xml:space="preserve"> </w:t>
      </w:r>
      <w:r>
        <w:t>the</w:t>
      </w:r>
      <w:r>
        <w:rPr>
          <w:spacing w:val="-10"/>
        </w:rPr>
        <w:t xml:space="preserve"> </w:t>
      </w:r>
      <w:r>
        <w:t>Gap</w:t>
      </w:r>
      <w:r>
        <w:rPr>
          <w:spacing w:val="-11"/>
        </w:rPr>
        <w:t xml:space="preserve"> </w:t>
      </w:r>
      <w:r>
        <w:t>Progress</w:t>
      </w:r>
      <w:r>
        <w:rPr>
          <w:spacing w:val="-9"/>
        </w:rPr>
        <w:t xml:space="preserve"> </w:t>
      </w:r>
      <w:r>
        <w:t>and</w:t>
      </w:r>
      <w:r>
        <w:rPr>
          <w:spacing w:val="-12"/>
        </w:rPr>
        <w:t xml:space="preserve"> </w:t>
      </w:r>
      <w:r>
        <w:t>Priorities</w:t>
      </w:r>
      <w:r>
        <w:rPr>
          <w:spacing w:val="-10"/>
        </w:rPr>
        <w:t xml:space="preserve"> </w:t>
      </w:r>
      <w:r>
        <w:t>Report</w:t>
      </w:r>
      <w:r>
        <w:rPr>
          <w:spacing w:val="-7"/>
        </w:rPr>
        <w:t xml:space="preserve"> </w:t>
      </w:r>
      <w:r>
        <w:t>very</w:t>
      </w:r>
      <w:r>
        <w:rPr>
          <w:spacing w:val="-8"/>
        </w:rPr>
        <w:t xml:space="preserve"> </w:t>
      </w:r>
      <w:r>
        <w:t>much</w:t>
      </w:r>
      <w:r>
        <w:rPr>
          <w:spacing w:val="-9"/>
        </w:rPr>
        <w:t xml:space="preserve"> </w:t>
      </w:r>
      <w:r>
        <w:t>echoes</w:t>
      </w:r>
      <w:r>
        <w:rPr>
          <w:spacing w:val="-10"/>
        </w:rPr>
        <w:t xml:space="preserve"> </w:t>
      </w:r>
      <w:r>
        <w:t>the</w:t>
      </w:r>
      <w:r>
        <w:rPr>
          <w:spacing w:val="-11"/>
        </w:rPr>
        <w:t xml:space="preserve"> </w:t>
      </w:r>
      <w:r>
        <w:t>sentiments</w:t>
      </w:r>
      <w:r>
        <w:rPr>
          <w:spacing w:val="-10"/>
        </w:rPr>
        <w:t xml:space="preserve"> </w:t>
      </w:r>
      <w:r>
        <w:t>and</w:t>
      </w:r>
      <w:r>
        <w:rPr>
          <w:spacing w:val="-12"/>
        </w:rPr>
        <w:t xml:space="preserve"> </w:t>
      </w:r>
      <w:r>
        <w:t>recommendations set out in the Redfern Statement. Its overall conclusion is “after 10 years, and despite closing the gap being a national bipartisan priority, it is clear that Australian governments at all levels are, in key respects, failing Australia’s First peoples” (Wright &amp; Lewis, 2017, p.</w:t>
      </w:r>
      <w:r>
        <w:rPr>
          <w:spacing w:val="3"/>
        </w:rPr>
        <w:t xml:space="preserve"> </w:t>
      </w:r>
      <w:r>
        <w:t>1).</w:t>
      </w:r>
    </w:p>
    <w:p w:rsidR="00135913" w:rsidRDefault="00135913" w:rsidP="007622E8">
      <w:pPr>
        <w:pStyle w:val="BodyText"/>
        <w:spacing w:before="8"/>
        <w:ind w:hanging="360"/>
      </w:pPr>
    </w:p>
    <w:p w:rsidR="00135913" w:rsidRDefault="00135913" w:rsidP="00567CB3">
      <w:pPr>
        <w:pStyle w:val="BodyText"/>
        <w:spacing w:before="1" w:line="312" w:lineRule="auto"/>
        <w:ind w:left="1440" w:right="1439"/>
        <w:jc w:val="both"/>
      </w:pPr>
      <w:r>
        <w:t>The</w:t>
      </w:r>
      <w:r>
        <w:rPr>
          <w:spacing w:val="-7"/>
        </w:rPr>
        <w:t xml:space="preserve"> </w:t>
      </w:r>
      <w:r>
        <w:t>report</w:t>
      </w:r>
      <w:r>
        <w:rPr>
          <w:spacing w:val="-5"/>
        </w:rPr>
        <w:t xml:space="preserve"> </w:t>
      </w:r>
      <w:r>
        <w:t>raises</w:t>
      </w:r>
      <w:r>
        <w:rPr>
          <w:spacing w:val="-4"/>
        </w:rPr>
        <w:t xml:space="preserve"> </w:t>
      </w:r>
      <w:r>
        <w:t>concern</w:t>
      </w:r>
      <w:r>
        <w:rPr>
          <w:spacing w:val="-3"/>
        </w:rPr>
        <w:t xml:space="preserve"> </w:t>
      </w:r>
      <w:r>
        <w:t>about</w:t>
      </w:r>
      <w:r>
        <w:rPr>
          <w:spacing w:val="-5"/>
        </w:rPr>
        <w:t xml:space="preserve"> </w:t>
      </w:r>
      <w:r>
        <w:t>the</w:t>
      </w:r>
      <w:r>
        <w:rPr>
          <w:spacing w:val="-6"/>
        </w:rPr>
        <w:t xml:space="preserve"> </w:t>
      </w:r>
      <w:r>
        <w:t>lack</w:t>
      </w:r>
      <w:r>
        <w:rPr>
          <w:spacing w:val="-5"/>
        </w:rPr>
        <w:t xml:space="preserve"> </w:t>
      </w:r>
      <w:r>
        <w:t>of</w:t>
      </w:r>
      <w:r>
        <w:rPr>
          <w:spacing w:val="-7"/>
        </w:rPr>
        <w:t xml:space="preserve"> </w:t>
      </w:r>
      <w:r>
        <w:t>progress</w:t>
      </w:r>
      <w:r>
        <w:rPr>
          <w:spacing w:val="-4"/>
        </w:rPr>
        <w:t xml:space="preserve"> </w:t>
      </w:r>
      <w:r>
        <w:t>against</w:t>
      </w:r>
      <w:r>
        <w:rPr>
          <w:spacing w:val="-4"/>
        </w:rPr>
        <w:t xml:space="preserve"> </w:t>
      </w:r>
      <w:r>
        <w:t>the</w:t>
      </w:r>
      <w:r>
        <w:rPr>
          <w:spacing w:val="-6"/>
        </w:rPr>
        <w:t xml:space="preserve"> </w:t>
      </w:r>
      <w:r>
        <w:t>COAG</w:t>
      </w:r>
      <w:r>
        <w:rPr>
          <w:spacing w:val="-5"/>
        </w:rPr>
        <w:t xml:space="preserve"> </w:t>
      </w:r>
      <w:r>
        <w:t>targets</w:t>
      </w:r>
      <w:r>
        <w:rPr>
          <w:spacing w:val="-4"/>
        </w:rPr>
        <w:t xml:space="preserve"> </w:t>
      </w:r>
      <w:r>
        <w:t>and</w:t>
      </w:r>
      <w:r>
        <w:rPr>
          <w:spacing w:val="-6"/>
        </w:rPr>
        <w:t xml:space="preserve"> </w:t>
      </w:r>
      <w:r>
        <w:t>other</w:t>
      </w:r>
      <w:r>
        <w:rPr>
          <w:spacing w:val="-5"/>
        </w:rPr>
        <w:t xml:space="preserve"> </w:t>
      </w:r>
      <w:r>
        <w:t>indicators</w:t>
      </w:r>
      <w:r>
        <w:rPr>
          <w:spacing w:val="-3"/>
        </w:rPr>
        <w:t xml:space="preserve"> </w:t>
      </w:r>
      <w:r>
        <w:t>reported</w:t>
      </w:r>
      <w:r>
        <w:rPr>
          <w:spacing w:val="-6"/>
        </w:rPr>
        <w:t xml:space="preserve"> </w:t>
      </w:r>
      <w:r>
        <w:t>in the Productivity Commission report. It also emphasises the need for more rigorous evaluations of programs and services but also a need for much greater emphasis on identifying and addressing service gaps (Wright &amp; Lewis,</w:t>
      </w:r>
      <w:r>
        <w:rPr>
          <w:spacing w:val="-1"/>
        </w:rPr>
        <w:t xml:space="preserve"> </w:t>
      </w:r>
      <w:r>
        <w:t>2017).</w:t>
      </w:r>
    </w:p>
    <w:p w:rsidR="00135913" w:rsidRDefault="00135913" w:rsidP="007622E8">
      <w:pPr>
        <w:pStyle w:val="BodyText"/>
        <w:spacing w:before="8"/>
        <w:ind w:hanging="360"/>
      </w:pPr>
    </w:p>
    <w:p w:rsidR="00135913" w:rsidRDefault="00135913" w:rsidP="00567CB3">
      <w:pPr>
        <w:pStyle w:val="BodyText"/>
        <w:spacing w:line="312" w:lineRule="auto"/>
        <w:ind w:left="1440" w:right="1436"/>
        <w:jc w:val="both"/>
      </w:pPr>
      <w:r>
        <w:t>The report identifies the Aboriginal and Torre Strait Islander Health Plan 2013-2023 as “a positive model of policy development collaboration between Government and the Aboriginal and Torres Strait Islander health peaks, represented by the National Health Leadership Forum” (Wright &amp; Lewis, 2017, p. 29). It recognises the Plan as the primary mechanism for efforts to close the gap in health inequality and calls for significant investments</w:t>
      </w:r>
      <w:r>
        <w:rPr>
          <w:spacing w:val="-12"/>
        </w:rPr>
        <w:t xml:space="preserve"> </w:t>
      </w:r>
      <w:r>
        <w:t>to</w:t>
      </w:r>
      <w:r>
        <w:rPr>
          <w:spacing w:val="-14"/>
        </w:rPr>
        <w:t xml:space="preserve"> </w:t>
      </w:r>
      <w:r>
        <w:t>support</w:t>
      </w:r>
      <w:r>
        <w:rPr>
          <w:spacing w:val="-12"/>
        </w:rPr>
        <w:t xml:space="preserve"> </w:t>
      </w:r>
      <w:r>
        <w:t>the</w:t>
      </w:r>
      <w:r>
        <w:rPr>
          <w:spacing w:val="-13"/>
        </w:rPr>
        <w:t xml:space="preserve"> </w:t>
      </w:r>
      <w:r>
        <w:t>Implementation</w:t>
      </w:r>
      <w:r>
        <w:rPr>
          <w:spacing w:val="-12"/>
        </w:rPr>
        <w:t xml:space="preserve"> </w:t>
      </w:r>
      <w:r>
        <w:t>Plan.</w:t>
      </w:r>
      <w:r>
        <w:rPr>
          <w:spacing w:val="-13"/>
        </w:rPr>
        <w:t xml:space="preserve"> </w:t>
      </w:r>
      <w:r>
        <w:t>It</w:t>
      </w:r>
      <w:r>
        <w:rPr>
          <w:spacing w:val="-13"/>
        </w:rPr>
        <w:t xml:space="preserve"> </w:t>
      </w:r>
      <w:r>
        <w:t>also</w:t>
      </w:r>
      <w:r>
        <w:rPr>
          <w:spacing w:val="-13"/>
        </w:rPr>
        <w:t xml:space="preserve"> </w:t>
      </w:r>
      <w:r>
        <w:t>recommends</w:t>
      </w:r>
      <w:r>
        <w:rPr>
          <w:spacing w:val="-12"/>
        </w:rPr>
        <w:t xml:space="preserve"> </w:t>
      </w:r>
      <w:r>
        <w:t>the</w:t>
      </w:r>
      <w:r>
        <w:rPr>
          <w:spacing w:val="-14"/>
        </w:rPr>
        <w:t xml:space="preserve"> </w:t>
      </w:r>
      <w:r>
        <w:t>development</w:t>
      </w:r>
      <w:r>
        <w:rPr>
          <w:spacing w:val="-13"/>
        </w:rPr>
        <w:t xml:space="preserve"> </w:t>
      </w:r>
      <w:r>
        <w:t>of</w:t>
      </w:r>
      <w:r>
        <w:rPr>
          <w:spacing w:val="-13"/>
        </w:rPr>
        <w:t xml:space="preserve"> </w:t>
      </w:r>
      <w:r>
        <w:t>a</w:t>
      </w:r>
      <w:r>
        <w:rPr>
          <w:spacing w:val="-13"/>
        </w:rPr>
        <w:t xml:space="preserve"> </w:t>
      </w:r>
      <w:r>
        <w:t>National</w:t>
      </w:r>
      <w:r>
        <w:rPr>
          <w:spacing w:val="-13"/>
        </w:rPr>
        <w:t xml:space="preserve"> </w:t>
      </w:r>
      <w:r>
        <w:t>Aboriginal and Torres Strait Islander Health Workforce Strategy to meet the vison of the Plan (Wright &amp; Lewis,</w:t>
      </w:r>
      <w:r>
        <w:rPr>
          <w:spacing w:val="-24"/>
        </w:rPr>
        <w:t xml:space="preserve"> </w:t>
      </w:r>
      <w:r>
        <w:t>2017).</w:t>
      </w:r>
    </w:p>
    <w:p w:rsidR="00135913" w:rsidRPr="00567CB3" w:rsidRDefault="00135913" w:rsidP="00567CB3">
      <w:pPr>
        <w:pStyle w:val="Heading4"/>
        <w:rPr>
          <w:sz w:val="28"/>
        </w:rPr>
      </w:pPr>
      <w:r w:rsidRPr="00567CB3">
        <w:rPr>
          <w:sz w:val="28"/>
        </w:rPr>
        <w:t>Themes from the</w:t>
      </w:r>
      <w:r w:rsidRPr="00567CB3">
        <w:rPr>
          <w:spacing w:val="-2"/>
          <w:sz w:val="28"/>
        </w:rPr>
        <w:t xml:space="preserve"> </w:t>
      </w:r>
      <w:r w:rsidRPr="00567CB3">
        <w:rPr>
          <w:sz w:val="28"/>
        </w:rPr>
        <w:t>literature</w:t>
      </w:r>
    </w:p>
    <w:p w:rsidR="00135913" w:rsidRDefault="00135913" w:rsidP="00567CB3">
      <w:pPr>
        <w:pStyle w:val="BodyText"/>
        <w:spacing w:before="237" w:line="312" w:lineRule="auto"/>
        <w:ind w:left="1440" w:right="1438"/>
        <w:jc w:val="both"/>
      </w:pPr>
      <w:r>
        <w:t>The following sections set out themes from the broader academic and grey literature identified through the search.</w:t>
      </w:r>
      <w:r>
        <w:rPr>
          <w:spacing w:val="-12"/>
        </w:rPr>
        <w:t xml:space="preserve"> </w:t>
      </w:r>
      <w:r>
        <w:t>As</w:t>
      </w:r>
      <w:r>
        <w:rPr>
          <w:spacing w:val="-11"/>
        </w:rPr>
        <w:t xml:space="preserve"> </w:t>
      </w:r>
      <w:r>
        <w:t>mentioned</w:t>
      </w:r>
      <w:r>
        <w:rPr>
          <w:spacing w:val="-13"/>
        </w:rPr>
        <w:t xml:space="preserve"> </w:t>
      </w:r>
      <w:r>
        <w:t>above,</w:t>
      </w:r>
      <w:r>
        <w:rPr>
          <w:spacing w:val="-12"/>
        </w:rPr>
        <w:t xml:space="preserve"> </w:t>
      </w:r>
      <w:r>
        <w:t>there</w:t>
      </w:r>
      <w:r>
        <w:rPr>
          <w:spacing w:val="-13"/>
        </w:rPr>
        <w:t xml:space="preserve"> </w:t>
      </w:r>
      <w:r>
        <w:t>was</w:t>
      </w:r>
      <w:r>
        <w:rPr>
          <w:spacing w:val="-10"/>
        </w:rPr>
        <w:t xml:space="preserve"> </w:t>
      </w:r>
      <w:r>
        <w:t>a</w:t>
      </w:r>
      <w:r>
        <w:rPr>
          <w:spacing w:val="-12"/>
        </w:rPr>
        <w:t xml:space="preserve"> </w:t>
      </w:r>
      <w:r>
        <w:t>limited</w:t>
      </w:r>
      <w:r>
        <w:rPr>
          <w:spacing w:val="-13"/>
        </w:rPr>
        <w:t xml:space="preserve"> </w:t>
      </w:r>
      <w:r>
        <w:t>body</w:t>
      </w:r>
      <w:r>
        <w:rPr>
          <w:spacing w:val="-12"/>
        </w:rPr>
        <w:t xml:space="preserve"> </w:t>
      </w:r>
      <w:r>
        <w:t>of</w:t>
      </w:r>
      <w:r>
        <w:rPr>
          <w:spacing w:val="-14"/>
        </w:rPr>
        <w:t xml:space="preserve"> </w:t>
      </w:r>
      <w:r>
        <w:t>academic</w:t>
      </w:r>
      <w:r>
        <w:rPr>
          <w:spacing w:val="-12"/>
        </w:rPr>
        <w:t xml:space="preserve"> </w:t>
      </w:r>
      <w:r>
        <w:t>and</w:t>
      </w:r>
      <w:r>
        <w:rPr>
          <w:spacing w:val="-13"/>
        </w:rPr>
        <w:t xml:space="preserve"> </w:t>
      </w:r>
      <w:r>
        <w:t>grey</w:t>
      </w:r>
      <w:r>
        <w:rPr>
          <w:spacing w:val="-12"/>
        </w:rPr>
        <w:t xml:space="preserve"> </w:t>
      </w:r>
      <w:r>
        <w:t>literature</w:t>
      </w:r>
      <w:r>
        <w:rPr>
          <w:spacing w:val="-13"/>
        </w:rPr>
        <w:t xml:space="preserve"> </w:t>
      </w:r>
      <w:r>
        <w:t>(apart</w:t>
      </w:r>
      <w:r>
        <w:rPr>
          <w:spacing w:val="-11"/>
        </w:rPr>
        <w:t xml:space="preserve"> </w:t>
      </w:r>
      <w:r>
        <w:t>from</w:t>
      </w:r>
      <w:r>
        <w:rPr>
          <w:spacing w:val="-7"/>
        </w:rPr>
        <w:t xml:space="preserve"> </w:t>
      </w:r>
      <w:r>
        <w:t>the</w:t>
      </w:r>
      <w:r>
        <w:rPr>
          <w:spacing w:val="-13"/>
        </w:rPr>
        <w:t xml:space="preserve"> </w:t>
      </w:r>
      <w:r>
        <w:t>key</w:t>
      </w:r>
      <w:r>
        <w:rPr>
          <w:spacing w:val="-11"/>
        </w:rPr>
        <w:t xml:space="preserve"> </w:t>
      </w:r>
      <w:r>
        <w:t>policy documents outlined above in section 3.2) identified in the search which had a broad focus on the overarching Closing the Gap policy</w:t>
      </w:r>
      <w:r>
        <w:rPr>
          <w:spacing w:val="1"/>
        </w:rPr>
        <w:t xml:space="preserve"> </w:t>
      </w:r>
      <w:r>
        <w:t>framework.</w:t>
      </w:r>
    </w:p>
    <w:p w:rsidR="00135913" w:rsidRDefault="00135913" w:rsidP="007622E8">
      <w:pPr>
        <w:pStyle w:val="BodyText"/>
        <w:spacing w:before="8"/>
        <w:ind w:hanging="360"/>
      </w:pPr>
    </w:p>
    <w:p w:rsidR="00135913" w:rsidRDefault="00135913" w:rsidP="00567CB3">
      <w:pPr>
        <w:pStyle w:val="Heading4"/>
        <w:spacing w:before="1"/>
      </w:pPr>
      <w:r>
        <w:t>Complexity of the challenge</w:t>
      </w:r>
    </w:p>
    <w:p w:rsidR="00135913" w:rsidRDefault="00135913" w:rsidP="007622E8">
      <w:pPr>
        <w:pStyle w:val="BodyText"/>
        <w:spacing w:before="9"/>
        <w:ind w:hanging="360"/>
        <w:rPr>
          <w:b/>
          <w:sz w:val="25"/>
        </w:rPr>
      </w:pPr>
    </w:p>
    <w:p w:rsidR="00135913" w:rsidRDefault="00135913" w:rsidP="00567CB3">
      <w:pPr>
        <w:pStyle w:val="BodyText"/>
        <w:spacing w:before="1" w:line="312" w:lineRule="auto"/>
        <w:ind w:left="1440" w:right="1440"/>
        <w:jc w:val="both"/>
      </w:pPr>
      <w:r>
        <w:t>Much</w:t>
      </w:r>
      <w:r>
        <w:rPr>
          <w:spacing w:val="-9"/>
        </w:rPr>
        <w:t xml:space="preserve"> </w:t>
      </w:r>
      <w:r>
        <w:t>of</w:t>
      </w:r>
      <w:r>
        <w:rPr>
          <w:spacing w:val="-9"/>
        </w:rPr>
        <w:t xml:space="preserve"> </w:t>
      </w:r>
      <w:r>
        <w:t>the</w:t>
      </w:r>
      <w:r>
        <w:rPr>
          <w:spacing w:val="-8"/>
        </w:rPr>
        <w:t xml:space="preserve"> </w:t>
      </w:r>
      <w:r>
        <w:t>literature</w:t>
      </w:r>
      <w:r>
        <w:rPr>
          <w:spacing w:val="-8"/>
        </w:rPr>
        <w:t xml:space="preserve"> </w:t>
      </w:r>
      <w:r>
        <w:t>describes</w:t>
      </w:r>
      <w:r>
        <w:rPr>
          <w:spacing w:val="-8"/>
        </w:rPr>
        <w:t xml:space="preserve"> </w:t>
      </w:r>
      <w:r>
        <w:t>the</w:t>
      </w:r>
      <w:r>
        <w:rPr>
          <w:spacing w:val="-8"/>
        </w:rPr>
        <w:t xml:space="preserve"> </w:t>
      </w:r>
      <w:r>
        <w:t>difficulties</w:t>
      </w:r>
      <w:r>
        <w:rPr>
          <w:spacing w:val="-7"/>
        </w:rPr>
        <w:t xml:space="preserve"> </w:t>
      </w:r>
      <w:r>
        <w:t>created</w:t>
      </w:r>
      <w:r>
        <w:rPr>
          <w:spacing w:val="-10"/>
        </w:rPr>
        <w:t xml:space="preserve"> </w:t>
      </w:r>
      <w:r>
        <w:t>by</w:t>
      </w:r>
      <w:r>
        <w:rPr>
          <w:spacing w:val="-7"/>
        </w:rPr>
        <w:t xml:space="preserve"> </w:t>
      </w:r>
      <w:r>
        <w:t>the</w:t>
      </w:r>
      <w:r>
        <w:rPr>
          <w:spacing w:val="-8"/>
        </w:rPr>
        <w:t xml:space="preserve"> </w:t>
      </w:r>
      <w:r>
        <w:t>complexity</w:t>
      </w:r>
      <w:r>
        <w:rPr>
          <w:spacing w:val="-7"/>
        </w:rPr>
        <w:t xml:space="preserve"> </w:t>
      </w:r>
      <w:r>
        <w:t>of</w:t>
      </w:r>
      <w:r>
        <w:rPr>
          <w:spacing w:val="-10"/>
        </w:rPr>
        <w:t xml:space="preserve"> </w:t>
      </w:r>
      <w:r>
        <w:t>the</w:t>
      </w:r>
      <w:r>
        <w:rPr>
          <w:spacing w:val="-8"/>
        </w:rPr>
        <w:t xml:space="preserve"> </w:t>
      </w:r>
      <w:r>
        <w:t>challenge</w:t>
      </w:r>
      <w:r>
        <w:rPr>
          <w:spacing w:val="-8"/>
        </w:rPr>
        <w:t xml:space="preserve"> </w:t>
      </w:r>
      <w:r>
        <w:t>posed</w:t>
      </w:r>
      <w:r>
        <w:rPr>
          <w:spacing w:val="-9"/>
        </w:rPr>
        <w:t xml:space="preserve"> </w:t>
      </w:r>
      <w:r>
        <w:t>by</w:t>
      </w:r>
      <w:r>
        <w:rPr>
          <w:spacing w:val="-8"/>
        </w:rPr>
        <w:t xml:space="preserve"> </w:t>
      </w:r>
      <w:r>
        <w:t>the</w:t>
      </w:r>
      <w:r>
        <w:rPr>
          <w:spacing w:val="-8"/>
        </w:rPr>
        <w:t xml:space="preserve"> </w:t>
      </w:r>
      <w:r>
        <w:t>Closing the Gap initiative, particularly given the interconnectedness of the issues faced by Aboriginal and Torres Strait Islander peoples and the shortcomings of tackling specific issues or targets in</w:t>
      </w:r>
      <w:r>
        <w:rPr>
          <w:spacing w:val="-7"/>
        </w:rPr>
        <w:t xml:space="preserve"> </w:t>
      </w:r>
      <w:r>
        <w:t>isolation.</w:t>
      </w:r>
    </w:p>
    <w:p w:rsidR="00135913" w:rsidRDefault="00135913" w:rsidP="007622E8">
      <w:pPr>
        <w:pStyle w:val="BodyText"/>
        <w:spacing w:before="6"/>
        <w:ind w:hanging="360"/>
      </w:pPr>
    </w:p>
    <w:p w:rsidR="00135913" w:rsidRDefault="00135913" w:rsidP="00567CB3">
      <w:pPr>
        <w:pStyle w:val="BodyText"/>
        <w:spacing w:line="312" w:lineRule="auto"/>
        <w:ind w:left="1440" w:right="1437"/>
        <w:jc w:val="both"/>
      </w:pPr>
      <w:r>
        <w:t>The literature discusses the fact that Closing the Gap is based on a specific ideological heritage that builds on previous public policy incarnations focusing on biomedical and socioeconomic indicators and reflects current trends in social policy and public health more broadly. The literature argues that the framework does not</w:t>
      </w:r>
    </w:p>
    <w:p w:rsidR="00135913" w:rsidRDefault="00135913" w:rsidP="00135913">
      <w:pPr>
        <w:spacing w:line="312" w:lineRule="auto"/>
        <w:jc w:val="both"/>
        <w:sectPr w:rsidR="00135913">
          <w:pgSz w:w="11910" w:h="16840"/>
          <w:pgMar w:top="1360" w:right="0" w:bottom="980" w:left="0" w:header="0" w:footer="798" w:gutter="0"/>
          <w:cols w:space="720"/>
        </w:sectPr>
      </w:pPr>
    </w:p>
    <w:p w:rsidR="00135913" w:rsidRDefault="00135913" w:rsidP="007622E8">
      <w:pPr>
        <w:pStyle w:val="BodyText"/>
        <w:spacing w:before="41" w:line="312" w:lineRule="auto"/>
        <w:ind w:left="1440" w:right="1446"/>
        <w:jc w:val="both"/>
      </w:pPr>
      <w:r>
        <w:t>necessarily</w:t>
      </w:r>
      <w:r>
        <w:rPr>
          <w:spacing w:val="-7"/>
        </w:rPr>
        <w:t xml:space="preserve"> </w:t>
      </w:r>
      <w:r>
        <w:t>come</w:t>
      </w:r>
      <w:r>
        <w:rPr>
          <w:spacing w:val="-10"/>
        </w:rPr>
        <w:t xml:space="preserve"> </w:t>
      </w:r>
      <w:r>
        <w:t>to</w:t>
      </w:r>
      <w:r>
        <w:rPr>
          <w:spacing w:val="-10"/>
        </w:rPr>
        <w:t xml:space="preserve"> </w:t>
      </w:r>
      <w:r>
        <w:t>terms</w:t>
      </w:r>
      <w:r>
        <w:rPr>
          <w:spacing w:val="-8"/>
        </w:rPr>
        <w:t xml:space="preserve"> </w:t>
      </w:r>
      <w:r>
        <w:t>with</w:t>
      </w:r>
      <w:r>
        <w:rPr>
          <w:spacing w:val="-9"/>
        </w:rPr>
        <w:t xml:space="preserve"> </w:t>
      </w:r>
      <w:r>
        <w:t>how</w:t>
      </w:r>
      <w:r>
        <w:rPr>
          <w:spacing w:val="-10"/>
        </w:rPr>
        <w:t xml:space="preserve"> </w:t>
      </w:r>
      <w:r>
        <w:t>to</w:t>
      </w:r>
      <w:r>
        <w:rPr>
          <w:spacing w:val="-9"/>
        </w:rPr>
        <w:t xml:space="preserve"> </w:t>
      </w:r>
      <w:r>
        <w:t>meet</w:t>
      </w:r>
      <w:r>
        <w:rPr>
          <w:spacing w:val="-10"/>
        </w:rPr>
        <w:t xml:space="preserve"> </w:t>
      </w:r>
      <w:r>
        <w:t>the</w:t>
      </w:r>
      <w:r>
        <w:rPr>
          <w:spacing w:val="-10"/>
        </w:rPr>
        <w:t xml:space="preserve"> </w:t>
      </w:r>
      <w:r>
        <w:t>complex</w:t>
      </w:r>
      <w:r>
        <w:rPr>
          <w:spacing w:val="-8"/>
        </w:rPr>
        <w:t xml:space="preserve"> </w:t>
      </w:r>
      <w:r>
        <w:t>needs</w:t>
      </w:r>
      <w:r>
        <w:rPr>
          <w:spacing w:val="-9"/>
        </w:rPr>
        <w:t xml:space="preserve"> </w:t>
      </w:r>
      <w:r>
        <w:t>of</w:t>
      </w:r>
      <w:r>
        <w:rPr>
          <w:spacing w:val="-10"/>
        </w:rPr>
        <w:t xml:space="preserve"> </w:t>
      </w:r>
      <w:r>
        <w:t>Aboriginal</w:t>
      </w:r>
      <w:r>
        <w:rPr>
          <w:spacing w:val="-9"/>
        </w:rPr>
        <w:t xml:space="preserve"> </w:t>
      </w:r>
      <w:r>
        <w:t>and</w:t>
      </w:r>
      <w:r>
        <w:rPr>
          <w:spacing w:val="-11"/>
        </w:rPr>
        <w:t xml:space="preserve"> </w:t>
      </w:r>
      <w:r>
        <w:t>Torres</w:t>
      </w:r>
      <w:r>
        <w:rPr>
          <w:spacing w:val="-8"/>
        </w:rPr>
        <w:t xml:space="preserve"> </w:t>
      </w:r>
      <w:r>
        <w:t>Strait</w:t>
      </w:r>
      <w:r>
        <w:rPr>
          <w:spacing w:val="-9"/>
        </w:rPr>
        <w:t xml:space="preserve"> </w:t>
      </w:r>
      <w:r>
        <w:t>islander</w:t>
      </w:r>
      <w:r>
        <w:rPr>
          <w:spacing w:val="-9"/>
        </w:rPr>
        <w:t xml:space="preserve"> </w:t>
      </w:r>
      <w:r>
        <w:t>peoples (Pholi, et al., 2009; Altman, et al.,</w:t>
      </w:r>
      <w:r>
        <w:rPr>
          <w:spacing w:val="-1"/>
        </w:rPr>
        <w:t xml:space="preserve"> </w:t>
      </w:r>
      <w:r>
        <w:t>2008)</w:t>
      </w:r>
    </w:p>
    <w:p w:rsidR="00135913" w:rsidRDefault="00135913" w:rsidP="007622E8">
      <w:pPr>
        <w:pStyle w:val="BodyText"/>
        <w:spacing w:before="7"/>
        <w:ind w:left="1440"/>
      </w:pPr>
    </w:p>
    <w:p w:rsidR="00135913" w:rsidRDefault="00135913" w:rsidP="007622E8">
      <w:pPr>
        <w:pStyle w:val="BodyText"/>
        <w:spacing w:line="312" w:lineRule="auto"/>
        <w:ind w:left="1440" w:right="1436"/>
        <w:jc w:val="both"/>
      </w:pPr>
      <w:r>
        <w:t>While Closing the Gap has had broad support across the government and in some community sectors, there has</w:t>
      </w:r>
      <w:r>
        <w:rPr>
          <w:spacing w:val="-11"/>
        </w:rPr>
        <w:t xml:space="preserve"> </w:t>
      </w:r>
      <w:r>
        <w:t>been</w:t>
      </w:r>
      <w:r>
        <w:rPr>
          <w:spacing w:val="-11"/>
        </w:rPr>
        <w:t xml:space="preserve"> </w:t>
      </w:r>
      <w:r>
        <w:t>discussion</w:t>
      </w:r>
      <w:r>
        <w:rPr>
          <w:spacing w:val="-11"/>
        </w:rPr>
        <w:t xml:space="preserve"> </w:t>
      </w:r>
      <w:r>
        <w:t>in</w:t>
      </w:r>
      <w:r>
        <w:rPr>
          <w:spacing w:val="-11"/>
        </w:rPr>
        <w:t xml:space="preserve"> </w:t>
      </w:r>
      <w:r>
        <w:t>the</w:t>
      </w:r>
      <w:r>
        <w:rPr>
          <w:spacing w:val="-12"/>
        </w:rPr>
        <w:t xml:space="preserve"> </w:t>
      </w:r>
      <w:r>
        <w:t>academic</w:t>
      </w:r>
      <w:r>
        <w:rPr>
          <w:spacing w:val="-12"/>
        </w:rPr>
        <w:t xml:space="preserve"> </w:t>
      </w:r>
      <w:r>
        <w:t>literature</w:t>
      </w:r>
      <w:r>
        <w:rPr>
          <w:spacing w:val="-12"/>
        </w:rPr>
        <w:t xml:space="preserve"> </w:t>
      </w:r>
      <w:r>
        <w:t>about</w:t>
      </w:r>
      <w:r>
        <w:rPr>
          <w:spacing w:val="-11"/>
        </w:rPr>
        <w:t xml:space="preserve"> </w:t>
      </w:r>
      <w:r>
        <w:t>the</w:t>
      </w:r>
      <w:r>
        <w:rPr>
          <w:spacing w:val="-12"/>
        </w:rPr>
        <w:t xml:space="preserve"> </w:t>
      </w:r>
      <w:r>
        <w:t>complexity</w:t>
      </w:r>
      <w:r>
        <w:rPr>
          <w:spacing w:val="-10"/>
        </w:rPr>
        <w:t xml:space="preserve"> </w:t>
      </w:r>
      <w:r>
        <w:t>of</w:t>
      </w:r>
      <w:r>
        <w:rPr>
          <w:spacing w:val="-12"/>
        </w:rPr>
        <w:t xml:space="preserve"> </w:t>
      </w:r>
      <w:r>
        <w:t>the</w:t>
      </w:r>
      <w:r>
        <w:rPr>
          <w:spacing w:val="-12"/>
        </w:rPr>
        <w:t xml:space="preserve"> </w:t>
      </w:r>
      <w:r>
        <w:t>task</w:t>
      </w:r>
      <w:r>
        <w:rPr>
          <w:spacing w:val="-12"/>
        </w:rPr>
        <w:t xml:space="preserve"> </w:t>
      </w:r>
      <w:r>
        <w:t>given</w:t>
      </w:r>
      <w:r>
        <w:rPr>
          <w:spacing w:val="-11"/>
        </w:rPr>
        <w:t xml:space="preserve"> </w:t>
      </w:r>
      <w:r>
        <w:t>the</w:t>
      </w:r>
      <w:r>
        <w:rPr>
          <w:spacing w:val="-10"/>
        </w:rPr>
        <w:t xml:space="preserve"> </w:t>
      </w:r>
      <w:r>
        <w:t>significant</w:t>
      </w:r>
      <w:r>
        <w:rPr>
          <w:spacing w:val="-11"/>
        </w:rPr>
        <w:t xml:space="preserve"> </w:t>
      </w:r>
      <w:r>
        <w:t>gaps</w:t>
      </w:r>
      <w:r>
        <w:rPr>
          <w:spacing w:val="-10"/>
        </w:rPr>
        <w:t xml:space="preserve"> </w:t>
      </w:r>
      <w:r>
        <w:t>across a range of indicators and the fact that the approach is not overly different from those previously adopted (Altman, et al., 2008; Pholi, et al., 2009). Despite considerable policy intervention and substantial financial investment in trying to close the gap between Indigenous and non-Indigenous Australians, problems of successfully</w:t>
      </w:r>
      <w:r>
        <w:rPr>
          <w:spacing w:val="-8"/>
        </w:rPr>
        <w:t xml:space="preserve"> </w:t>
      </w:r>
      <w:r>
        <w:t>implementing</w:t>
      </w:r>
      <w:r>
        <w:rPr>
          <w:spacing w:val="-6"/>
        </w:rPr>
        <w:t xml:space="preserve"> </w:t>
      </w:r>
      <w:r>
        <w:t>Indigenous</w:t>
      </w:r>
      <w:r>
        <w:rPr>
          <w:spacing w:val="-8"/>
        </w:rPr>
        <w:t xml:space="preserve"> </w:t>
      </w:r>
      <w:r>
        <w:t>policy</w:t>
      </w:r>
      <w:r>
        <w:rPr>
          <w:spacing w:val="-5"/>
        </w:rPr>
        <w:t xml:space="preserve"> </w:t>
      </w:r>
      <w:r>
        <w:t>have</w:t>
      </w:r>
      <w:r>
        <w:rPr>
          <w:spacing w:val="-7"/>
        </w:rPr>
        <w:t xml:space="preserve"> </w:t>
      </w:r>
      <w:r>
        <w:t>been</w:t>
      </w:r>
      <w:r>
        <w:rPr>
          <w:spacing w:val="-8"/>
        </w:rPr>
        <w:t xml:space="preserve"> </w:t>
      </w:r>
      <w:r>
        <w:t>persistent</w:t>
      </w:r>
      <w:r>
        <w:rPr>
          <w:spacing w:val="-6"/>
        </w:rPr>
        <w:t xml:space="preserve"> </w:t>
      </w:r>
      <w:r>
        <w:t>over</w:t>
      </w:r>
      <w:r>
        <w:rPr>
          <w:spacing w:val="-6"/>
        </w:rPr>
        <w:t xml:space="preserve"> </w:t>
      </w:r>
      <w:r>
        <w:t>time.</w:t>
      </w:r>
      <w:r>
        <w:rPr>
          <w:spacing w:val="-6"/>
        </w:rPr>
        <w:t xml:space="preserve"> </w:t>
      </w:r>
      <w:r>
        <w:t>There</w:t>
      </w:r>
      <w:r>
        <w:rPr>
          <w:spacing w:val="-8"/>
        </w:rPr>
        <w:t xml:space="preserve"> </w:t>
      </w:r>
      <w:r>
        <w:t>has</w:t>
      </w:r>
      <w:r>
        <w:rPr>
          <w:spacing w:val="-5"/>
        </w:rPr>
        <w:t xml:space="preserve"> </w:t>
      </w:r>
      <w:r>
        <w:t>been</w:t>
      </w:r>
      <w:r>
        <w:rPr>
          <w:spacing w:val="-7"/>
        </w:rPr>
        <w:t xml:space="preserve"> </w:t>
      </w:r>
      <w:r>
        <w:t>limited</w:t>
      </w:r>
      <w:r>
        <w:rPr>
          <w:spacing w:val="-10"/>
        </w:rPr>
        <w:t xml:space="preserve"> </w:t>
      </w:r>
      <w:r>
        <w:t>impact</w:t>
      </w:r>
      <w:r>
        <w:rPr>
          <w:spacing w:val="-7"/>
        </w:rPr>
        <w:t xml:space="preserve"> </w:t>
      </w:r>
      <w:r>
        <w:t>on school</w:t>
      </w:r>
      <w:r>
        <w:rPr>
          <w:spacing w:val="-5"/>
        </w:rPr>
        <w:t xml:space="preserve"> </w:t>
      </w:r>
      <w:r>
        <w:t>attendance,</w:t>
      </w:r>
      <w:r>
        <w:rPr>
          <w:spacing w:val="-4"/>
        </w:rPr>
        <w:t xml:space="preserve"> </w:t>
      </w:r>
      <w:r>
        <w:t>employment,</w:t>
      </w:r>
      <w:r>
        <w:rPr>
          <w:spacing w:val="-5"/>
        </w:rPr>
        <w:t xml:space="preserve"> </w:t>
      </w:r>
      <w:r>
        <w:t>and</w:t>
      </w:r>
      <w:r>
        <w:rPr>
          <w:spacing w:val="-5"/>
        </w:rPr>
        <w:t xml:space="preserve"> </w:t>
      </w:r>
      <w:r>
        <w:t>life</w:t>
      </w:r>
      <w:r>
        <w:rPr>
          <w:spacing w:val="-6"/>
        </w:rPr>
        <w:t xml:space="preserve"> </w:t>
      </w:r>
      <w:r>
        <w:t>expectancy,</w:t>
      </w:r>
      <w:r>
        <w:rPr>
          <w:spacing w:val="-4"/>
        </w:rPr>
        <w:t xml:space="preserve"> </w:t>
      </w:r>
      <w:r>
        <w:t>demonstrating</w:t>
      </w:r>
      <w:r>
        <w:rPr>
          <w:spacing w:val="-3"/>
        </w:rPr>
        <w:t xml:space="preserve"> </w:t>
      </w:r>
      <w:r>
        <w:t>both</w:t>
      </w:r>
      <w:r>
        <w:rPr>
          <w:spacing w:val="-6"/>
        </w:rPr>
        <w:t xml:space="preserve"> </w:t>
      </w:r>
      <w:r>
        <w:t>the</w:t>
      </w:r>
      <w:r>
        <w:rPr>
          <w:spacing w:val="-6"/>
        </w:rPr>
        <w:t xml:space="preserve"> </w:t>
      </w:r>
      <w:r>
        <w:t>significant</w:t>
      </w:r>
      <w:r>
        <w:rPr>
          <w:spacing w:val="-5"/>
        </w:rPr>
        <w:t xml:space="preserve"> </w:t>
      </w:r>
      <w:r>
        <w:t>challenges</w:t>
      </w:r>
      <w:r>
        <w:rPr>
          <w:spacing w:val="-4"/>
        </w:rPr>
        <w:t xml:space="preserve"> </w:t>
      </w:r>
      <w:r>
        <w:t>in</w:t>
      </w:r>
      <w:r>
        <w:rPr>
          <w:spacing w:val="-5"/>
        </w:rPr>
        <w:t xml:space="preserve"> </w:t>
      </w:r>
      <w:r>
        <w:t>closing the gap and the use of a standard approach that over time has not yielded results (Altman, et al., 2008; Blackman,</w:t>
      </w:r>
      <w:r>
        <w:rPr>
          <w:spacing w:val="-6"/>
        </w:rPr>
        <w:t xml:space="preserve"> </w:t>
      </w:r>
      <w:r>
        <w:t>et</w:t>
      </w:r>
      <w:r>
        <w:rPr>
          <w:spacing w:val="-6"/>
        </w:rPr>
        <w:t xml:space="preserve"> </w:t>
      </w:r>
      <w:r>
        <w:t>al.,</w:t>
      </w:r>
      <w:r>
        <w:rPr>
          <w:spacing w:val="-6"/>
        </w:rPr>
        <w:t xml:space="preserve"> </w:t>
      </w:r>
      <w:r>
        <w:t>2016;</w:t>
      </w:r>
      <w:r>
        <w:rPr>
          <w:spacing w:val="-7"/>
        </w:rPr>
        <w:t xml:space="preserve"> </w:t>
      </w:r>
      <w:r>
        <w:t>Pholi,</w:t>
      </w:r>
      <w:r>
        <w:rPr>
          <w:spacing w:val="-4"/>
        </w:rPr>
        <w:t xml:space="preserve"> </w:t>
      </w:r>
      <w:r>
        <w:t>et</w:t>
      </w:r>
      <w:r>
        <w:rPr>
          <w:spacing w:val="-6"/>
        </w:rPr>
        <w:t xml:space="preserve"> </w:t>
      </w:r>
      <w:r>
        <w:t>al.,</w:t>
      </w:r>
      <w:r>
        <w:rPr>
          <w:spacing w:val="-6"/>
        </w:rPr>
        <w:t xml:space="preserve"> </w:t>
      </w:r>
      <w:r>
        <w:t>2009).</w:t>
      </w:r>
      <w:r>
        <w:rPr>
          <w:spacing w:val="-7"/>
        </w:rPr>
        <w:t xml:space="preserve"> </w:t>
      </w:r>
      <w:r>
        <w:t>There</w:t>
      </w:r>
      <w:r>
        <w:rPr>
          <w:spacing w:val="-6"/>
        </w:rPr>
        <w:t xml:space="preserve"> </w:t>
      </w:r>
      <w:r>
        <w:t>has</w:t>
      </w:r>
      <w:r>
        <w:rPr>
          <w:spacing w:val="-5"/>
        </w:rPr>
        <w:t xml:space="preserve"> </w:t>
      </w:r>
      <w:r>
        <w:t>been</w:t>
      </w:r>
      <w:r>
        <w:rPr>
          <w:spacing w:val="-6"/>
        </w:rPr>
        <w:t xml:space="preserve"> </w:t>
      </w:r>
      <w:r>
        <w:t>considerable</w:t>
      </w:r>
      <w:r>
        <w:rPr>
          <w:spacing w:val="-7"/>
        </w:rPr>
        <w:t xml:space="preserve"> </w:t>
      </w:r>
      <w:r>
        <w:t>coverage</w:t>
      </w:r>
      <w:r>
        <w:rPr>
          <w:spacing w:val="-7"/>
        </w:rPr>
        <w:t xml:space="preserve"> </w:t>
      </w:r>
      <w:r>
        <w:t>in</w:t>
      </w:r>
      <w:r>
        <w:rPr>
          <w:spacing w:val="-5"/>
        </w:rPr>
        <w:t xml:space="preserve"> </w:t>
      </w:r>
      <w:r>
        <w:t>the</w:t>
      </w:r>
      <w:r>
        <w:rPr>
          <w:spacing w:val="-7"/>
        </w:rPr>
        <w:t xml:space="preserve"> </w:t>
      </w:r>
      <w:r>
        <w:t>media</w:t>
      </w:r>
      <w:r>
        <w:rPr>
          <w:spacing w:val="-5"/>
        </w:rPr>
        <w:t xml:space="preserve"> </w:t>
      </w:r>
      <w:r>
        <w:t>in</w:t>
      </w:r>
      <w:r>
        <w:rPr>
          <w:spacing w:val="-6"/>
        </w:rPr>
        <w:t xml:space="preserve"> </w:t>
      </w:r>
      <w:r>
        <w:t>relation</w:t>
      </w:r>
      <w:r>
        <w:rPr>
          <w:spacing w:val="-6"/>
        </w:rPr>
        <w:t xml:space="preserve"> </w:t>
      </w:r>
      <w:r>
        <w:t>to</w:t>
      </w:r>
      <w:r>
        <w:rPr>
          <w:spacing w:val="-6"/>
        </w:rPr>
        <w:t xml:space="preserve"> </w:t>
      </w:r>
      <w:r>
        <w:t>the failure</w:t>
      </w:r>
      <w:r>
        <w:rPr>
          <w:spacing w:val="-6"/>
        </w:rPr>
        <w:t xml:space="preserve"> </w:t>
      </w:r>
      <w:r>
        <w:t>of</w:t>
      </w:r>
      <w:r>
        <w:rPr>
          <w:spacing w:val="-9"/>
        </w:rPr>
        <w:t xml:space="preserve"> </w:t>
      </w:r>
      <w:r>
        <w:t>Closing</w:t>
      </w:r>
      <w:r>
        <w:rPr>
          <w:spacing w:val="-7"/>
        </w:rPr>
        <w:t xml:space="preserve"> </w:t>
      </w:r>
      <w:r>
        <w:t>the</w:t>
      </w:r>
      <w:r>
        <w:rPr>
          <w:spacing w:val="-7"/>
        </w:rPr>
        <w:t xml:space="preserve"> </w:t>
      </w:r>
      <w:r>
        <w:t>Gap</w:t>
      </w:r>
      <w:r>
        <w:rPr>
          <w:spacing w:val="-8"/>
        </w:rPr>
        <w:t xml:space="preserve"> </w:t>
      </w:r>
      <w:r>
        <w:t>to</w:t>
      </w:r>
      <w:r>
        <w:rPr>
          <w:spacing w:val="-6"/>
        </w:rPr>
        <w:t xml:space="preserve"> </w:t>
      </w:r>
      <w:r>
        <w:t>meet</w:t>
      </w:r>
      <w:r>
        <w:rPr>
          <w:spacing w:val="-7"/>
        </w:rPr>
        <w:t xml:space="preserve"> </w:t>
      </w:r>
      <w:r>
        <w:t>its</w:t>
      </w:r>
      <w:r>
        <w:rPr>
          <w:spacing w:val="-6"/>
        </w:rPr>
        <w:t xml:space="preserve"> </w:t>
      </w:r>
      <w:r>
        <w:t>targets</w:t>
      </w:r>
      <w:r>
        <w:rPr>
          <w:spacing w:val="-6"/>
        </w:rPr>
        <w:t xml:space="preserve"> </w:t>
      </w:r>
      <w:r>
        <w:t>(Behrendt,</w:t>
      </w:r>
      <w:r>
        <w:rPr>
          <w:spacing w:val="-7"/>
        </w:rPr>
        <w:t xml:space="preserve"> </w:t>
      </w:r>
      <w:r>
        <w:t>2008;</w:t>
      </w:r>
      <w:r>
        <w:rPr>
          <w:spacing w:val="-7"/>
        </w:rPr>
        <w:t xml:space="preserve"> </w:t>
      </w:r>
      <w:r>
        <w:t>Collins,</w:t>
      </w:r>
      <w:r>
        <w:rPr>
          <w:spacing w:val="-8"/>
        </w:rPr>
        <w:t xml:space="preserve"> </w:t>
      </w:r>
      <w:r>
        <w:t>2016;</w:t>
      </w:r>
      <w:r>
        <w:rPr>
          <w:spacing w:val="-8"/>
        </w:rPr>
        <w:t xml:space="preserve"> </w:t>
      </w:r>
      <w:r>
        <w:t>Davies,</w:t>
      </w:r>
      <w:r>
        <w:rPr>
          <w:spacing w:val="-7"/>
        </w:rPr>
        <w:t xml:space="preserve"> </w:t>
      </w:r>
      <w:r>
        <w:t>2012;</w:t>
      </w:r>
      <w:r>
        <w:rPr>
          <w:spacing w:val="-9"/>
        </w:rPr>
        <w:t xml:space="preserve"> </w:t>
      </w:r>
      <w:r>
        <w:t>Grattan,</w:t>
      </w:r>
      <w:r>
        <w:rPr>
          <w:spacing w:val="-7"/>
        </w:rPr>
        <w:t xml:space="preserve"> </w:t>
      </w:r>
      <w:r>
        <w:t>2017;</w:t>
      </w:r>
      <w:r>
        <w:rPr>
          <w:spacing w:val="-8"/>
        </w:rPr>
        <w:t xml:space="preserve"> </w:t>
      </w:r>
      <w:r>
        <w:t>Riddle &amp; Fogarty, 2015).</w:t>
      </w:r>
    </w:p>
    <w:p w:rsidR="00135913" w:rsidRDefault="00135913" w:rsidP="007622E8">
      <w:pPr>
        <w:pStyle w:val="BodyText"/>
        <w:spacing w:before="9"/>
        <w:ind w:left="1440"/>
      </w:pPr>
    </w:p>
    <w:p w:rsidR="00135913" w:rsidRDefault="00135913" w:rsidP="007622E8">
      <w:pPr>
        <w:pStyle w:val="BodyText"/>
        <w:spacing w:line="312" w:lineRule="auto"/>
        <w:ind w:left="1440" w:right="1435"/>
        <w:jc w:val="both"/>
      </w:pPr>
      <w:r>
        <w:t>There is general acceptance that the underlying and intergenerational causes of the gaps are not easily addressed, for example, life expectancy will be impacted by factors related to early childhood and health outcomes are dependent on social, cultural and community contexts, along with broader forces, such as macroeconomic growth (Altman, et al., 2008; Pholi, et al., 2009).</w:t>
      </w:r>
    </w:p>
    <w:p w:rsidR="00135913" w:rsidRDefault="00135913" w:rsidP="007622E8">
      <w:pPr>
        <w:pStyle w:val="BodyText"/>
        <w:spacing w:before="8"/>
        <w:ind w:left="1440"/>
      </w:pPr>
    </w:p>
    <w:p w:rsidR="00135913" w:rsidRDefault="00135913" w:rsidP="007622E8">
      <w:pPr>
        <w:pStyle w:val="BodyText"/>
        <w:spacing w:line="312" w:lineRule="auto"/>
        <w:ind w:left="1440" w:right="1437"/>
        <w:jc w:val="both"/>
      </w:pPr>
      <w:r>
        <w:t>The</w:t>
      </w:r>
      <w:r>
        <w:rPr>
          <w:spacing w:val="-14"/>
        </w:rPr>
        <w:t xml:space="preserve"> </w:t>
      </w:r>
      <w:r>
        <w:t>interconnectedness</w:t>
      </w:r>
      <w:r>
        <w:rPr>
          <w:spacing w:val="-11"/>
        </w:rPr>
        <w:t xml:space="preserve"> </w:t>
      </w:r>
      <w:r>
        <w:t>of</w:t>
      </w:r>
      <w:r>
        <w:rPr>
          <w:spacing w:val="-13"/>
        </w:rPr>
        <w:t xml:space="preserve"> </w:t>
      </w:r>
      <w:r>
        <w:t>the</w:t>
      </w:r>
      <w:r>
        <w:rPr>
          <w:spacing w:val="-13"/>
        </w:rPr>
        <w:t xml:space="preserve"> </w:t>
      </w:r>
      <w:r>
        <w:t>indicators</w:t>
      </w:r>
      <w:r>
        <w:rPr>
          <w:spacing w:val="-12"/>
        </w:rPr>
        <w:t xml:space="preserve"> </w:t>
      </w:r>
      <w:r>
        <w:t>and</w:t>
      </w:r>
      <w:r>
        <w:rPr>
          <w:spacing w:val="-13"/>
        </w:rPr>
        <w:t xml:space="preserve"> </w:t>
      </w:r>
      <w:r>
        <w:t>outcomes</w:t>
      </w:r>
      <w:r>
        <w:rPr>
          <w:spacing w:val="-11"/>
        </w:rPr>
        <w:t xml:space="preserve"> </w:t>
      </w:r>
      <w:r>
        <w:t>and</w:t>
      </w:r>
      <w:r>
        <w:rPr>
          <w:spacing w:val="-13"/>
        </w:rPr>
        <w:t xml:space="preserve"> </w:t>
      </w:r>
      <w:r>
        <w:t>the</w:t>
      </w:r>
      <w:r>
        <w:rPr>
          <w:spacing w:val="-9"/>
        </w:rPr>
        <w:t xml:space="preserve"> </w:t>
      </w:r>
      <w:r>
        <w:t>shortcomings</w:t>
      </w:r>
      <w:r>
        <w:rPr>
          <w:spacing w:val="-12"/>
        </w:rPr>
        <w:t xml:space="preserve"> </w:t>
      </w:r>
      <w:r>
        <w:t>of</w:t>
      </w:r>
      <w:r>
        <w:rPr>
          <w:spacing w:val="-13"/>
        </w:rPr>
        <w:t xml:space="preserve"> </w:t>
      </w:r>
      <w:r>
        <w:t>considering</w:t>
      </w:r>
      <w:r>
        <w:rPr>
          <w:spacing w:val="-12"/>
        </w:rPr>
        <w:t xml:space="preserve"> </w:t>
      </w:r>
      <w:r>
        <w:t>these</w:t>
      </w:r>
      <w:r>
        <w:rPr>
          <w:spacing w:val="-13"/>
        </w:rPr>
        <w:t xml:space="preserve"> </w:t>
      </w:r>
      <w:r>
        <w:t>overarching targets in isolation from other factors which may be influencing their progress is noted as a challenge across the literature. For example, the Productivity Commission presents analysis to show how the COAG targets of employment, year 12 or equivalent attainment, school attendance and reading, writing and numeracy are influenced</w:t>
      </w:r>
      <w:r>
        <w:rPr>
          <w:spacing w:val="-4"/>
        </w:rPr>
        <w:t xml:space="preserve"> </w:t>
      </w:r>
      <w:r>
        <w:t>by</w:t>
      </w:r>
      <w:r>
        <w:rPr>
          <w:spacing w:val="-4"/>
        </w:rPr>
        <w:t xml:space="preserve"> </w:t>
      </w:r>
      <w:r>
        <w:t>outcomes</w:t>
      </w:r>
      <w:r>
        <w:rPr>
          <w:spacing w:val="-4"/>
        </w:rPr>
        <w:t xml:space="preserve"> </w:t>
      </w:r>
      <w:r>
        <w:t>across</w:t>
      </w:r>
      <w:r>
        <w:rPr>
          <w:spacing w:val="-2"/>
        </w:rPr>
        <w:t xml:space="preserve"> </w:t>
      </w:r>
      <w:r>
        <w:t>the</w:t>
      </w:r>
      <w:r>
        <w:rPr>
          <w:spacing w:val="-6"/>
        </w:rPr>
        <w:t xml:space="preserve"> </w:t>
      </w:r>
      <w:r>
        <w:t>framework</w:t>
      </w:r>
      <w:r>
        <w:rPr>
          <w:spacing w:val="-5"/>
        </w:rPr>
        <w:t xml:space="preserve"> </w:t>
      </w:r>
      <w:r>
        <w:t>(SCRGSP,</w:t>
      </w:r>
      <w:r>
        <w:rPr>
          <w:spacing w:val="-3"/>
        </w:rPr>
        <w:t xml:space="preserve"> </w:t>
      </w:r>
      <w:r>
        <w:t>2016).For</w:t>
      </w:r>
      <w:r>
        <w:rPr>
          <w:spacing w:val="-5"/>
        </w:rPr>
        <w:t xml:space="preserve"> </w:t>
      </w:r>
      <w:r>
        <w:t>example,</w:t>
      </w:r>
      <w:r>
        <w:rPr>
          <w:spacing w:val="-5"/>
        </w:rPr>
        <w:t xml:space="preserve"> </w:t>
      </w:r>
      <w:r>
        <w:t>social</w:t>
      </w:r>
      <w:r>
        <w:rPr>
          <w:spacing w:val="-6"/>
        </w:rPr>
        <w:t xml:space="preserve"> </w:t>
      </w:r>
      <w:r>
        <w:t>and</w:t>
      </w:r>
      <w:r>
        <w:rPr>
          <w:spacing w:val="-4"/>
        </w:rPr>
        <w:t xml:space="preserve"> </w:t>
      </w:r>
      <w:r>
        <w:t>environmental</w:t>
      </w:r>
      <w:r>
        <w:rPr>
          <w:spacing w:val="-5"/>
        </w:rPr>
        <w:t xml:space="preserve"> </w:t>
      </w:r>
      <w:r>
        <w:t>factors, such as those in the ‘Home environment’ and ‘Safe and Supportive communities’ strategic areas affect all outcomes</w:t>
      </w:r>
      <w:r>
        <w:rPr>
          <w:spacing w:val="-8"/>
        </w:rPr>
        <w:t xml:space="preserve"> </w:t>
      </w:r>
      <w:r>
        <w:t>as</w:t>
      </w:r>
      <w:r>
        <w:rPr>
          <w:spacing w:val="-8"/>
        </w:rPr>
        <w:t xml:space="preserve"> </w:t>
      </w:r>
      <w:r>
        <w:t>do</w:t>
      </w:r>
      <w:r>
        <w:rPr>
          <w:spacing w:val="-7"/>
        </w:rPr>
        <w:t xml:space="preserve"> </w:t>
      </w:r>
      <w:r>
        <w:t>the</w:t>
      </w:r>
      <w:r>
        <w:rPr>
          <w:spacing w:val="-7"/>
        </w:rPr>
        <w:t xml:space="preserve"> </w:t>
      </w:r>
      <w:r>
        <w:t>inter-generational</w:t>
      </w:r>
      <w:r>
        <w:rPr>
          <w:spacing w:val="-7"/>
        </w:rPr>
        <w:t xml:space="preserve"> </w:t>
      </w:r>
      <w:r>
        <w:t>effects</w:t>
      </w:r>
      <w:r>
        <w:rPr>
          <w:spacing w:val="-7"/>
        </w:rPr>
        <w:t xml:space="preserve"> </w:t>
      </w:r>
      <w:r>
        <w:t>of</w:t>
      </w:r>
      <w:r>
        <w:rPr>
          <w:spacing w:val="-10"/>
        </w:rPr>
        <w:t xml:space="preserve"> </w:t>
      </w:r>
      <w:r>
        <w:t>parental</w:t>
      </w:r>
      <w:r>
        <w:rPr>
          <w:spacing w:val="-8"/>
        </w:rPr>
        <w:t xml:space="preserve"> </w:t>
      </w:r>
      <w:r>
        <w:t>income,</w:t>
      </w:r>
      <w:r>
        <w:rPr>
          <w:spacing w:val="-7"/>
        </w:rPr>
        <w:t xml:space="preserve"> </w:t>
      </w:r>
      <w:r>
        <w:t>employment</w:t>
      </w:r>
      <w:r>
        <w:rPr>
          <w:spacing w:val="-7"/>
        </w:rPr>
        <w:t xml:space="preserve"> </w:t>
      </w:r>
      <w:r>
        <w:t>and</w:t>
      </w:r>
      <w:r>
        <w:rPr>
          <w:spacing w:val="-10"/>
        </w:rPr>
        <w:t xml:space="preserve"> </w:t>
      </w:r>
      <w:r>
        <w:t>education</w:t>
      </w:r>
      <w:r>
        <w:rPr>
          <w:spacing w:val="-8"/>
        </w:rPr>
        <w:t xml:space="preserve"> </w:t>
      </w:r>
      <w:r>
        <w:t>levels</w:t>
      </w:r>
      <w:r>
        <w:rPr>
          <w:spacing w:val="-1"/>
        </w:rPr>
        <w:t xml:space="preserve"> </w:t>
      </w:r>
      <w:r>
        <w:t>(SCRGSP, 2016).</w:t>
      </w:r>
    </w:p>
    <w:p w:rsidR="00135913" w:rsidRDefault="00135913" w:rsidP="007622E8">
      <w:pPr>
        <w:pStyle w:val="BodyText"/>
        <w:spacing w:before="9"/>
        <w:ind w:left="1440"/>
      </w:pPr>
    </w:p>
    <w:p w:rsidR="00135913" w:rsidRDefault="00135913" w:rsidP="007622E8">
      <w:pPr>
        <w:pStyle w:val="BodyText"/>
        <w:spacing w:line="312" w:lineRule="auto"/>
        <w:ind w:left="1440" w:right="1438"/>
        <w:jc w:val="both"/>
      </w:pPr>
      <w:r>
        <w:t>The 2017 Close the Gap Progress and Priorities Report suggests that “the constantly changing approaches to Aboriginal and Torres Strait Islander affairs has undermined efforts to forge a nationally coordinated solution” (Wright</w:t>
      </w:r>
      <w:r>
        <w:rPr>
          <w:spacing w:val="-7"/>
        </w:rPr>
        <w:t xml:space="preserve"> </w:t>
      </w:r>
      <w:r>
        <w:t>&amp;</w:t>
      </w:r>
      <w:r>
        <w:rPr>
          <w:spacing w:val="-6"/>
        </w:rPr>
        <w:t xml:space="preserve"> </w:t>
      </w:r>
      <w:r>
        <w:t>Lewis,</w:t>
      </w:r>
      <w:r>
        <w:rPr>
          <w:spacing w:val="-5"/>
        </w:rPr>
        <w:t xml:space="preserve"> </w:t>
      </w:r>
      <w:r>
        <w:t>2017,</w:t>
      </w:r>
      <w:r>
        <w:rPr>
          <w:spacing w:val="-6"/>
        </w:rPr>
        <w:t xml:space="preserve"> </w:t>
      </w:r>
      <w:r>
        <w:t>p.</w:t>
      </w:r>
      <w:r>
        <w:rPr>
          <w:spacing w:val="-7"/>
        </w:rPr>
        <w:t xml:space="preserve"> </w:t>
      </w:r>
      <w:r>
        <w:t>7).</w:t>
      </w:r>
      <w:r>
        <w:rPr>
          <w:spacing w:val="-6"/>
        </w:rPr>
        <w:t xml:space="preserve"> </w:t>
      </w:r>
      <w:r>
        <w:t>Other</w:t>
      </w:r>
      <w:r>
        <w:rPr>
          <w:spacing w:val="-7"/>
        </w:rPr>
        <w:t xml:space="preserve"> </w:t>
      </w:r>
      <w:r>
        <w:t>literature</w:t>
      </w:r>
      <w:r>
        <w:rPr>
          <w:spacing w:val="-7"/>
        </w:rPr>
        <w:t xml:space="preserve"> </w:t>
      </w:r>
      <w:r>
        <w:t>argues</w:t>
      </w:r>
      <w:r>
        <w:rPr>
          <w:spacing w:val="-6"/>
        </w:rPr>
        <w:t xml:space="preserve"> </w:t>
      </w:r>
      <w:r>
        <w:t>that</w:t>
      </w:r>
      <w:r>
        <w:rPr>
          <w:spacing w:val="-4"/>
        </w:rPr>
        <w:t xml:space="preserve"> </w:t>
      </w:r>
      <w:r>
        <w:t>government</w:t>
      </w:r>
      <w:r>
        <w:rPr>
          <w:spacing w:val="-7"/>
        </w:rPr>
        <w:t xml:space="preserve"> </w:t>
      </w:r>
      <w:r>
        <w:t>failures</w:t>
      </w:r>
      <w:r>
        <w:rPr>
          <w:spacing w:val="-6"/>
        </w:rPr>
        <w:t xml:space="preserve"> </w:t>
      </w:r>
      <w:r>
        <w:t>in</w:t>
      </w:r>
      <w:r>
        <w:rPr>
          <w:spacing w:val="-6"/>
        </w:rPr>
        <w:t xml:space="preserve"> </w:t>
      </w:r>
      <w:r>
        <w:t>program</w:t>
      </w:r>
      <w:r>
        <w:rPr>
          <w:spacing w:val="-7"/>
        </w:rPr>
        <w:t xml:space="preserve"> </w:t>
      </w:r>
      <w:r>
        <w:t>delivery</w:t>
      </w:r>
      <w:r>
        <w:rPr>
          <w:spacing w:val="-6"/>
        </w:rPr>
        <w:t xml:space="preserve"> </w:t>
      </w:r>
      <w:r>
        <w:t>related</w:t>
      </w:r>
      <w:r>
        <w:rPr>
          <w:spacing w:val="-9"/>
        </w:rPr>
        <w:t xml:space="preserve"> </w:t>
      </w:r>
      <w:r>
        <w:t>to</w:t>
      </w:r>
      <w:r>
        <w:rPr>
          <w:spacing w:val="-7"/>
        </w:rPr>
        <w:t xml:space="preserve"> </w:t>
      </w:r>
      <w:r>
        <w:t>red tape,</w:t>
      </w:r>
      <w:r>
        <w:rPr>
          <w:spacing w:val="-4"/>
        </w:rPr>
        <w:t xml:space="preserve"> </w:t>
      </w:r>
      <w:r>
        <w:t>poor</w:t>
      </w:r>
      <w:r>
        <w:rPr>
          <w:spacing w:val="-3"/>
        </w:rPr>
        <w:t xml:space="preserve"> </w:t>
      </w:r>
      <w:r>
        <w:t>coordination,</w:t>
      </w:r>
      <w:r>
        <w:rPr>
          <w:spacing w:val="-3"/>
        </w:rPr>
        <w:t xml:space="preserve"> </w:t>
      </w:r>
      <w:r>
        <w:t>inadequate</w:t>
      </w:r>
      <w:r>
        <w:rPr>
          <w:spacing w:val="-3"/>
        </w:rPr>
        <w:t xml:space="preserve"> </w:t>
      </w:r>
      <w:r>
        <w:t>resources,</w:t>
      </w:r>
      <w:r>
        <w:rPr>
          <w:spacing w:val="-4"/>
        </w:rPr>
        <w:t xml:space="preserve"> </w:t>
      </w:r>
      <w:r>
        <w:t>lack</w:t>
      </w:r>
      <w:r>
        <w:rPr>
          <w:spacing w:val="-4"/>
        </w:rPr>
        <w:t xml:space="preserve"> </w:t>
      </w:r>
      <w:r>
        <w:t>of</w:t>
      </w:r>
      <w:r>
        <w:rPr>
          <w:spacing w:val="-2"/>
        </w:rPr>
        <w:t xml:space="preserve"> </w:t>
      </w:r>
      <w:r>
        <w:t>continuity</w:t>
      </w:r>
      <w:r>
        <w:rPr>
          <w:spacing w:val="-3"/>
        </w:rPr>
        <w:t xml:space="preserve"> </w:t>
      </w:r>
      <w:r>
        <w:t>of</w:t>
      </w:r>
      <w:r>
        <w:rPr>
          <w:spacing w:val="-5"/>
        </w:rPr>
        <w:t xml:space="preserve"> </w:t>
      </w:r>
      <w:r>
        <w:t>programs,</w:t>
      </w:r>
      <w:r>
        <w:rPr>
          <w:spacing w:val="-3"/>
        </w:rPr>
        <w:t xml:space="preserve"> </w:t>
      </w:r>
      <w:r>
        <w:t>and</w:t>
      </w:r>
      <w:r>
        <w:rPr>
          <w:spacing w:val="-4"/>
        </w:rPr>
        <w:t xml:space="preserve"> </w:t>
      </w:r>
      <w:r>
        <w:t>a</w:t>
      </w:r>
      <w:r>
        <w:rPr>
          <w:spacing w:val="-2"/>
        </w:rPr>
        <w:t xml:space="preserve"> </w:t>
      </w:r>
      <w:r>
        <w:t>failure</w:t>
      </w:r>
      <w:r>
        <w:rPr>
          <w:spacing w:val="-4"/>
        </w:rPr>
        <w:t xml:space="preserve"> </w:t>
      </w:r>
      <w:r>
        <w:t>to</w:t>
      </w:r>
      <w:r>
        <w:rPr>
          <w:spacing w:val="-3"/>
        </w:rPr>
        <w:t xml:space="preserve"> </w:t>
      </w:r>
      <w:r>
        <w:t>work</w:t>
      </w:r>
      <w:r>
        <w:rPr>
          <w:spacing w:val="-4"/>
        </w:rPr>
        <w:t xml:space="preserve"> </w:t>
      </w:r>
      <w:r>
        <w:t>in</w:t>
      </w:r>
      <w:r>
        <w:rPr>
          <w:spacing w:val="-2"/>
        </w:rPr>
        <w:t xml:space="preserve"> </w:t>
      </w:r>
      <w:r>
        <w:t>genuine partnership with Indigenous Australians have also created a challenging context for Closing the Gap (Calma, 2007; Hunt,</w:t>
      </w:r>
      <w:r>
        <w:rPr>
          <w:spacing w:val="-1"/>
        </w:rPr>
        <w:t xml:space="preserve"> </w:t>
      </w:r>
      <w:r>
        <w:t>2008).</w:t>
      </w:r>
    </w:p>
    <w:p w:rsidR="00135913" w:rsidRDefault="00135913" w:rsidP="007622E8">
      <w:pPr>
        <w:pStyle w:val="BodyText"/>
        <w:spacing w:before="10"/>
        <w:ind w:left="1440"/>
      </w:pPr>
    </w:p>
    <w:p w:rsidR="00135913" w:rsidRDefault="00135913" w:rsidP="007622E8">
      <w:pPr>
        <w:pStyle w:val="BodyText"/>
        <w:spacing w:line="312" w:lineRule="auto"/>
        <w:ind w:left="1440" w:right="1437"/>
        <w:jc w:val="both"/>
      </w:pPr>
      <w:r>
        <w:t>There</w:t>
      </w:r>
      <w:r>
        <w:rPr>
          <w:spacing w:val="-4"/>
        </w:rPr>
        <w:t xml:space="preserve"> </w:t>
      </w:r>
      <w:r>
        <w:t>is</w:t>
      </w:r>
      <w:r>
        <w:rPr>
          <w:spacing w:val="-2"/>
        </w:rPr>
        <w:t xml:space="preserve"> </w:t>
      </w:r>
      <w:r>
        <w:t>significant</w:t>
      </w:r>
      <w:r>
        <w:rPr>
          <w:spacing w:val="-4"/>
        </w:rPr>
        <w:t xml:space="preserve"> </w:t>
      </w:r>
      <w:r>
        <w:t>support in</w:t>
      </w:r>
      <w:r>
        <w:rPr>
          <w:spacing w:val="-4"/>
        </w:rPr>
        <w:t xml:space="preserve"> </w:t>
      </w:r>
      <w:r>
        <w:t>the</w:t>
      </w:r>
      <w:r>
        <w:rPr>
          <w:spacing w:val="-4"/>
        </w:rPr>
        <w:t xml:space="preserve"> </w:t>
      </w:r>
      <w:r>
        <w:t>literature</w:t>
      </w:r>
      <w:r>
        <w:rPr>
          <w:spacing w:val="-2"/>
        </w:rPr>
        <w:t xml:space="preserve"> </w:t>
      </w:r>
      <w:r>
        <w:t>for</w:t>
      </w:r>
      <w:r>
        <w:rPr>
          <w:spacing w:val="-3"/>
        </w:rPr>
        <w:t xml:space="preserve"> </w:t>
      </w:r>
      <w:r>
        <w:t>more</w:t>
      </w:r>
      <w:r>
        <w:rPr>
          <w:spacing w:val="-4"/>
        </w:rPr>
        <w:t xml:space="preserve"> </w:t>
      </w:r>
      <w:r>
        <w:t>flexible</w:t>
      </w:r>
      <w:r>
        <w:rPr>
          <w:spacing w:val="-4"/>
        </w:rPr>
        <w:t xml:space="preserve"> </w:t>
      </w:r>
      <w:r>
        <w:t>and</w:t>
      </w:r>
      <w:r>
        <w:rPr>
          <w:spacing w:val="-5"/>
        </w:rPr>
        <w:t xml:space="preserve"> </w:t>
      </w:r>
      <w:r>
        <w:t>tailored</w:t>
      </w:r>
      <w:r>
        <w:rPr>
          <w:spacing w:val="-4"/>
        </w:rPr>
        <w:t xml:space="preserve"> </w:t>
      </w:r>
      <w:r>
        <w:t>approaches to</w:t>
      </w:r>
      <w:r>
        <w:rPr>
          <w:spacing w:val="-3"/>
        </w:rPr>
        <w:t xml:space="preserve"> </w:t>
      </w:r>
      <w:r>
        <w:t>more</w:t>
      </w:r>
      <w:r>
        <w:rPr>
          <w:spacing w:val="-4"/>
        </w:rPr>
        <w:t xml:space="preserve"> </w:t>
      </w:r>
      <w:r>
        <w:t>effectively</w:t>
      </w:r>
      <w:r>
        <w:rPr>
          <w:spacing w:val="-3"/>
        </w:rPr>
        <w:t xml:space="preserve"> </w:t>
      </w:r>
      <w:r>
        <w:t>meet the</w:t>
      </w:r>
      <w:r>
        <w:rPr>
          <w:spacing w:val="-6"/>
        </w:rPr>
        <w:t xml:space="preserve"> </w:t>
      </w:r>
      <w:r>
        <w:t>needs</w:t>
      </w:r>
      <w:r>
        <w:rPr>
          <w:spacing w:val="-4"/>
        </w:rPr>
        <w:t xml:space="preserve"> </w:t>
      </w:r>
      <w:r>
        <w:t>of</w:t>
      </w:r>
      <w:r>
        <w:rPr>
          <w:spacing w:val="-7"/>
        </w:rPr>
        <w:t xml:space="preserve"> </w:t>
      </w:r>
      <w:r>
        <w:t>Aboriginal</w:t>
      </w:r>
      <w:r>
        <w:rPr>
          <w:spacing w:val="-6"/>
        </w:rPr>
        <w:t xml:space="preserve"> </w:t>
      </w:r>
      <w:r>
        <w:t>and</w:t>
      </w:r>
      <w:r>
        <w:rPr>
          <w:spacing w:val="-6"/>
        </w:rPr>
        <w:t xml:space="preserve"> </w:t>
      </w:r>
      <w:r>
        <w:t>Torres</w:t>
      </w:r>
      <w:r>
        <w:rPr>
          <w:spacing w:val="-5"/>
        </w:rPr>
        <w:t xml:space="preserve"> </w:t>
      </w:r>
      <w:r>
        <w:t>Strait</w:t>
      </w:r>
      <w:r>
        <w:rPr>
          <w:spacing w:val="-5"/>
        </w:rPr>
        <w:t xml:space="preserve"> </w:t>
      </w:r>
      <w:r>
        <w:t>Islander</w:t>
      </w:r>
      <w:r>
        <w:rPr>
          <w:spacing w:val="-5"/>
        </w:rPr>
        <w:t xml:space="preserve"> </w:t>
      </w:r>
      <w:r>
        <w:t>people,</w:t>
      </w:r>
      <w:r>
        <w:rPr>
          <w:spacing w:val="-5"/>
        </w:rPr>
        <w:t xml:space="preserve"> </w:t>
      </w:r>
      <w:r>
        <w:t>particularly</w:t>
      </w:r>
      <w:r>
        <w:rPr>
          <w:spacing w:val="-5"/>
        </w:rPr>
        <w:t xml:space="preserve"> </w:t>
      </w:r>
      <w:r>
        <w:t>for</w:t>
      </w:r>
      <w:r>
        <w:rPr>
          <w:spacing w:val="1"/>
        </w:rPr>
        <w:t xml:space="preserve"> </w:t>
      </w:r>
      <w:r>
        <w:t>those</w:t>
      </w:r>
      <w:r>
        <w:rPr>
          <w:spacing w:val="-6"/>
        </w:rPr>
        <w:t xml:space="preserve"> </w:t>
      </w:r>
      <w:r>
        <w:t>who</w:t>
      </w:r>
      <w:r>
        <w:rPr>
          <w:spacing w:val="-6"/>
        </w:rPr>
        <w:t xml:space="preserve"> </w:t>
      </w:r>
      <w:r>
        <w:t>live</w:t>
      </w:r>
      <w:r>
        <w:rPr>
          <w:spacing w:val="-6"/>
        </w:rPr>
        <w:t xml:space="preserve"> </w:t>
      </w:r>
      <w:r>
        <w:t>in</w:t>
      </w:r>
      <w:r>
        <w:rPr>
          <w:spacing w:val="-4"/>
        </w:rPr>
        <w:t xml:space="preserve"> </w:t>
      </w:r>
      <w:r>
        <w:t>remote</w:t>
      </w:r>
      <w:r>
        <w:rPr>
          <w:spacing w:val="-6"/>
        </w:rPr>
        <w:t xml:space="preserve"> </w:t>
      </w:r>
      <w:r>
        <w:t>and</w:t>
      </w:r>
      <w:r>
        <w:rPr>
          <w:spacing w:val="-6"/>
        </w:rPr>
        <w:t xml:space="preserve"> </w:t>
      </w:r>
      <w:r>
        <w:t>regional Indigenous communities across the country (Altman, et al., 2008; Australian Institute of Health and Welfare, 2013; Cox, 2014). The Redfern Statement recommended setting additional targets and developing evidence- based</w:t>
      </w:r>
      <w:r>
        <w:rPr>
          <w:spacing w:val="-8"/>
        </w:rPr>
        <w:t xml:space="preserve"> </w:t>
      </w:r>
      <w:r>
        <w:t>prevention</w:t>
      </w:r>
      <w:r>
        <w:rPr>
          <w:spacing w:val="-6"/>
        </w:rPr>
        <w:t xml:space="preserve"> </w:t>
      </w:r>
      <w:r>
        <w:t>and</w:t>
      </w:r>
      <w:r>
        <w:rPr>
          <w:spacing w:val="-8"/>
        </w:rPr>
        <w:t xml:space="preserve"> </w:t>
      </w:r>
      <w:r>
        <w:t>early</w:t>
      </w:r>
      <w:r>
        <w:rPr>
          <w:spacing w:val="-6"/>
        </w:rPr>
        <w:t xml:space="preserve"> </w:t>
      </w:r>
      <w:r>
        <w:t>intervention</w:t>
      </w:r>
      <w:r>
        <w:rPr>
          <w:spacing w:val="-6"/>
        </w:rPr>
        <w:t xml:space="preserve"> </w:t>
      </w:r>
      <w:r>
        <w:t>oriented</w:t>
      </w:r>
      <w:r>
        <w:rPr>
          <w:spacing w:val="-8"/>
        </w:rPr>
        <w:t xml:space="preserve"> </w:t>
      </w:r>
      <w:r>
        <w:t>national</w:t>
      </w:r>
      <w:r>
        <w:rPr>
          <w:spacing w:val="-7"/>
        </w:rPr>
        <w:t xml:space="preserve"> </w:t>
      </w:r>
      <w:r>
        <w:t>strategies</w:t>
      </w:r>
      <w:r>
        <w:rPr>
          <w:spacing w:val="-6"/>
        </w:rPr>
        <w:t xml:space="preserve"> </w:t>
      </w:r>
      <w:r>
        <w:t>to</w:t>
      </w:r>
      <w:r>
        <w:rPr>
          <w:spacing w:val="-6"/>
        </w:rPr>
        <w:t xml:space="preserve"> </w:t>
      </w:r>
      <w:r>
        <w:t>drive</w:t>
      </w:r>
      <w:r>
        <w:rPr>
          <w:spacing w:val="-7"/>
        </w:rPr>
        <w:t xml:space="preserve"> </w:t>
      </w:r>
      <w:r>
        <w:t>activity</w:t>
      </w:r>
      <w:r>
        <w:rPr>
          <w:spacing w:val="-7"/>
        </w:rPr>
        <w:t xml:space="preserve"> </w:t>
      </w:r>
      <w:r>
        <w:t>and</w:t>
      </w:r>
      <w:r>
        <w:rPr>
          <w:spacing w:val="-5"/>
        </w:rPr>
        <w:t xml:space="preserve"> </w:t>
      </w:r>
      <w:r>
        <w:t>outcomes</w:t>
      </w:r>
      <w:r>
        <w:rPr>
          <w:spacing w:val="-6"/>
        </w:rPr>
        <w:t xml:space="preserve"> </w:t>
      </w:r>
      <w:r>
        <w:t>addressing key issues of concern to Indigenous Australians (National Congress of Australia's First Peoples,</w:t>
      </w:r>
      <w:r>
        <w:rPr>
          <w:spacing w:val="-13"/>
        </w:rPr>
        <w:t xml:space="preserve"> </w:t>
      </w:r>
      <w:r>
        <w:t>2016).</w:t>
      </w:r>
    </w:p>
    <w:p w:rsidR="00135913" w:rsidRDefault="00135913" w:rsidP="007622E8">
      <w:pPr>
        <w:pStyle w:val="BodyText"/>
        <w:spacing w:before="7"/>
        <w:ind w:left="1440"/>
      </w:pPr>
    </w:p>
    <w:p w:rsidR="00135913" w:rsidRDefault="00135913" w:rsidP="007622E8">
      <w:pPr>
        <w:pStyle w:val="BodyText"/>
        <w:spacing w:line="312" w:lineRule="auto"/>
        <w:ind w:left="1440" w:right="1437"/>
        <w:jc w:val="both"/>
      </w:pPr>
      <w:r>
        <w:t>Strategies and approaches identified in the literature as not having been effective include: programs implemented in isolation without consideration of local culture and the economic and social context; short-</w:t>
      </w:r>
    </w:p>
    <w:p w:rsidR="00135913" w:rsidRDefault="00135913" w:rsidP="00135913">
      <w:pPr>
        <w:spacing w:line="312" w:lineRule="auto"/>
        <w:jc w:val="both"/>
        <w:sectPr w:rsidR="00135913">
          <w:pgSz w:w="11910" w:h="16840"/>
          <w:pgMar w:top="1380" w:right="0" w:bottom="980" w:left="0" w:header="0" w:footer="798" w:gutter="0"/>
          <w:cols w:space="720"/>
        </w:sectPr>
      </w:pPr>
    </w:p>
    <w:p w:rsidR="00135913" w:rsidRDefault="00135913" w:rsidP="007622E8">
      <w:pPr>
        <w:pStyle w:val="BodyText"/>
        <w:spacing w:before="41" w:line="312" w:lineRule="auto"/>
        <w:ind w:left="1440" w:right="1437"/>
        <w:jc w:val="both"/>
      </w:pPr>
      <w:r>
        <w:t>term funding which often results in high staff turnover and insufficient project timeframes; lack of cultural safety including an understanding of local Indigenous culture and knowledge; inflexible program delivery and lack of transport (Australian Institute of Health and Welfare, 2013).</w:t>
      </w:r>
    </w:p>
    <w:p w:rsidR="00135913" w:rsidRDefault="00135913" w:rsidP="007622E8">
      <w:pPr>
        <w:pStyle w:val="BodyText"/>
        <w:spacing w:before="8"/>
        <w:ind w:left="1440"/>
      </w:pPr>
    </w:p>
    <w:p w:rsidR="00135913" w:rsidRDefault="00135913" w:rsidP="007622E8">
      <w:pPr>
        <w:pStyle w:val="BodyText"/>
        <w:spacing w:before="1" w:line="312" w:lineRule="auto"/>
        <w:ind w:left="1440" w:right="1436"/>
        <w:jc w:val="both"/>
      </w:pPr>
      <w:r>
        <w:t>While there have been improvements in some measures, the current rate of improvement is generally seen as too slow, with some commentators noting that it may take many generations before the gaps are closed (Altman, et al., 2008; Biddle &amp; Markham, 2017a). Other approaches may be required to significantly alter the current</w:t>
      </w:r>
      <w:r>
        <w:rPr>
          <w:spacing w:val="-13"/>
        </w:rPr>
        <w:t xml:space="preserve"> </w:t>
      </w:r>
      <w:r>
        <w:t>predictions,</w:t>
      </w:r>
      <w:r>
        <w:rPr>
          <w:spacing w:val="-13"/>
        </w:rPr>
        <w:t xml:space="preserve"> </w:t>
      </w:r>
      <w:r>
        <w:t>suggestions</w:t>
      </w:r>
      <w:r>
        <w:rPr>
          <w:spacing w:val="-12"/>
        </w:rPr>
        <w:t xml:space="preserve"> </w:t>
      </w:r>
      <w:r>
        <w:t>include</w:t>
      </w:r>
      <w:r>
        <w:rPr>
          <w:spacing w:val="-14"/>
        </w:rPr>
        <w:t xml:space="preserve"> </w:t>
      </w:r>
      <w:r>
        <w:t>reallocation</w:t>
      </w:r>
      <w:r>
        <w:rPr>
          <w:spacing w:val="-13"/>
        </w:rPr>
        <w:t xml:space="preserve"> </w:t>
      </w:r>
      <w:r>
        <w:t>of</w:t>
      </w:r>
      <w:r>
        <w:rPr>
          <w:spacing w:val="-15"/>
        </w:rPr>
        <w:t xml:space="preserve"> </w:t>
      </w:r>
      <w:r>
        <w:t>property</w:t>
      </w:r>
      <w:r>
        <w:rPr>
          <w:spacing w:val="-13"/>
        </w:rPr>
        <w:t xml:space="preserve"> </w:t>
      </w:r>
      <w:r>
        <w:t>rights</w:t>
      </w:r>
      <w:r>
        <w:rPr>
          <w:spacing w:val="-12"/>
        </w:rPr>
        <w:t xml:space="preserve"> </w:t>
      </w:r>
      <w:r>
        <w:t>to</w:t>
      </w:r>
      <w:r>
        <w:rPr>
          <w:spacing w:val="-13"/>
        </w:rPr>
        <w:t xml:space="preserve"> </w:t>
      </w:r>
      <w:r>
        <w:t>fully</w:t>
      </w:r>
      <w:r>
        <w:rPr>
          <w:spacing w:val="-13"/>
        </w:rPr>
        <w:t xml:space="preserve"> </w:t>
      </w:r>
      <w:r>
        <w:t>acknowledge</w:t>
      </w:r>
      <w:r>
        <w:rPr>
          <w:spacing w:val="-14"/>
        </w:rPr>
        <w:t xml:space="preserve"> </w:t>
      </w:r>
      <w:r>
        <w:t>original</w:t>
      </w:r>
      <w:r>
        <w:rPr>
          <w:spacing w:val="-14"/>
        </w:rPr>
        <w:t xml:space="preserve"> </w:t>
      </w:r>
      <w:r>
        <w:t>ownership, and an increase in funding of Indigenous infrastructure (Altman, et al., 2008). Altman and colleagues have also challenged the concept of closing the gap suggesting a focus on realism in policy commitments which aims to reduce disparities rather than close gaps may be more useful (Altman, et al.,</w:t>
      </w:r>
      <w:r>
        <w:rPr>
          <w:spacing w:val="-1"/>
        </w:rPr>
        <w:t xml:space="preserve"> </w:t>
      </w:r>
      <w:r>
        <w:t>2008)</w:t>
      </w:r>
    </w:p>
    <w:p w:rsidR="00135913" w:rsidRDefault="00135913" w:rsidP="007622E8">
      <w:pPr>
        <w:pStyle w:val="BodyText"/>
        <w:spacing w:before="6"/>
        <w:ind w:left="1440"/>
      </w:pPr>
    </w:p>
    <w:p w:rsidR="00135913" w:rsidRDefault="00135913" w:rsidP="007622E8">
      <w:pPr>
        <w:pStyle w:val="Heading4"/>
        <w:spacing w:before="1"/>
        <w:ind w:left="1440"/>
      </w:pPr>
      <w:r>
        <w:t>Individuals in context</w:t>
      </w:r>
    </w:p>
    <w:p w:rsidR="00135913" w:rsidRDefault="00135913" w:rsidP="007622E8">
      <w:pPr>
        <w:pStyle w:val="BodyText"/>
        <w:spacing w:before="9"/>
        <w:ind w:left="1440"/>
        <w:rPr>
          <w:b/>
          <w:sz w:val="25"/>
        </w:rPr>
      </w:pPr>
    </w:p>
    <w:p w:rsidR="00135913" w:rsidRDefault="00135913" w:rsidP="007622E8">
      <w:pPr>
        <w:pStyle w:val="BodyText"/>
        <w:spacing w:line="312" w:lineRule="auto"/>
        <w:ind w:left="1440" w:right="1437"/>
        <w:jc w:val="both"/>
      </w:pPr>
      <w:r>
        <w:t>Closing</w:t>
      </w:r>
      <w:r>
        <w:rPr>
          <w:spacing w:val="-9"/>
        </w:rPr>
        <w:t xml:space="preserve"> </w:t>
      </w:r>
      <w:r>
        <w:t>the</w:t>
      </w:r>
      <w:r>
        <w:rPr>
          <w:spacing w:val="-9"/>
        </w:rPr>
        <w:t xml:space="preserve"> </w:t>
      </w:r>
      <w:r>
        <w:t>Gap</w:t>
      </w:r>
      <w:r>
        <w:rPr>
          <w:spacing w:val="-9"/>
        </w:rPr>
        <w:t xml:space="preserve"> </w:t>
      </w:r>
      <w:r>
        <w:t>has</w:t>
      </w:r>
      <w:r>
        <w:rPr>
          <w:spacing w:val="-7"/>
        </w:rPr>
        <w:t xml:space="preserve"> </w:t>
      </w:r>
      <w:r>
        <w:t>been</w:t>
      </w:r>
      <w:r>
        <w:rPr>
          <w:spacing w:val="-7"/>
        </w:rPr>
        <w:t xml:space="preserve"> </w:t>
      </w:r>
      <w:r>
        <w:t>criticised</w:t>
      </w:r>
      <w:r>
        <w:rPr>
          <w:spacing w:val="-9"/>
        </w:rPr>
        <w:t xml:space="preserve"> </w:t>
      </w:r>
      <w:r>
        <w:t>in</w:t>
      </w:r>
      <w:r>
        <w:rPr>
          <w:spacing w:val="-8"/>
        </w:rPr>
        <w:t xml:space="preserve"> </w:t>
      </w:r>
      <w:r>
        <w:t>the</w:t>
      </w:r>
      <w:r>
        <w:rPr>
          <w:spacing w:val="-8"/>
        </w:rPr>
        <w:t xml:space="preserve"> </w:t>
      </w:r>
      <w:r>
        <w:t>literature</w:t>
      </w:r>
      <w:r>
        <w:rPr>
          <w:spacing w:val="-8"/>
        </w:rPr>
        <w:t xml:space="preserve"> </w:t>
      </w:r>
      <w:r>
        <w:t>for</w:t>
      </w:r>
      <w:r>
        <w:rPr>
          <w:spacing w:val="-9"/>
        </w:rPr>
        <w:t xml:space="preserve"> </w:t>
      </w:r>
      <w:r>
        <w:t>focussing</w:t>
      </w:r>
      <w:r>
        <w:rPr>
          <w:spacing w:val="-9"/>
        </w:rPr>
        <w:t xml:space="preserve"> </w:t>
      </w:r>
      <w:r>
        <w:t>on</w:t>
      </w:r>
      <w:r>
        <w:rPr>
          <w:spacing w:val="-9"/>
        </w:rPr>
        <w:t xml:space="preserve"> </w:t>
      </w:r>
      <w:r>
        <w:t>individual</w:t>
      </w:r>
      <w:r>
        <w:rPr>
          <w:spacing w:val="-9"/>
        </w:rPr>
        <w:t xml:space="preserve"> </w:t>
      </w:r>
      <w:r>
        <w:t>results</w:t>
      </w:r>
      <w:r>
        <w:rPr>
          <w:spacing w:val="-5"/>
        </w:rPr>
        <w:t xml:space="preserve"> </w:t>
      </w:r>
      <w:r>
        <w:t>and</w:t>
      </w:r>
      <w:r>
        <w:rPr>
          <w:spacing w:val="-10"/>
        </w:rPr>
        <w:t xml:space="preserve"> </w:t>
      </w:r>
      <w:r>
        <w:t>failing</w:t>
      </w:r>
      <w:r>
        <w:rPr>
          <w:spacing w:val="-7"/>
        </w:rPr>
        <w:t xml:space="preserve"> </w:t>
      </w:r>
      <w:r>
        <w:t>to</w:t>
      </w:r>
      <w:r>
        <w:rPr>
          <w:spacing w:val="-9"/>
        </w:rPr>
        <w:t xml:space="preserve"> </w:t>
      </w:r>
      <w:r>
        <w:t>consider</w:t>
      </w:r>
      <w:r>
        <w:rPr>
          <w:spacing w:val="-8"/>
        </w:rPr>
        <w:t xml:space="preserve"> </w:t>
      </w:r>
      <w:r>
        <w:t>the imbalanced distribution of power and the limited degree of control that Aboriginal and Torres Strait Islander Australians have over their own circumstances (Behrendt, 2008; Davies, 2012; Pholi, et al., 2009). Cowlishaw (2003) notes that the ‘help’ offered to Indigenous Australians is often an imposition of authoritarian solutions, where benefactors become frustrated and impatient when recipients stubbornly ‘refuse to improve’. For example, Prime Minister Abbott was noted as calling on Aboriginal people “to have high expectations for themselves</w:t>
      </w:r>
      <w:r>
        <w:rPr>
          <w:spacing w:val="-4"/>
        </w:rPr>
        <w:t xml:space="preserve"> </w:t>
      </w:r>
      <w:r>
        <w:t>and</w:t>
      </w:r>
      <w:r>
        <w:rPr>
          <w:spacing w:val="-4"/>
        </w:rPr>
        <w:t xml:space="preserve"> </w:t>
      </w:r>
      <w:r>
        <w:t>especially</w:t>
      </w:r>
      <w:r>
        <w:rPr>
          <w:spacing w:val="-4"/>
        </w:rPr>
        <w:t xml:space="preserve"> </w:t>
      </w:r>
      <w:r>
        <w:t>their</w:t>
      </w:r>
      <w:r>
        <w:rPr>
          <w:spacing w:val="-4"/>
        </w:rPr>
        <w:t xml:space="preserve"> </w:t>
      </w:r>
      <w:r>
        <w:t>children</w:t>
      </w:r>
      <w:r>
        <w:rPr>
          <w:spacing w:val="-5"/>
        </w:rPr>
        <w:t xml:space="preserve"> </w:t>
      </w:r>
      <w:r>
        <w:t>in</w:t>
      </w:r>
      <w:r>
        <w:rPr>
          <w:spacing w:val="-5"/>
        </w:rPr>
        <w:t xml:space="preserve"> </w:t>
      </w:r>
      <w:r>
        <w:t>the</w:t>
      </w:r>
      <w:r>
        <w:rPr>
          <w:spacing w:val="-3"/>
        </w:rPr>
        <w:t xml:space="preserve"> </w:t>
      </w:r>
      <w:r>
        <w:t>effort</w:t>
      </w:r>
      <w:r>
        <w:rPr>
          <w:spacing w:val="-5"/>
        </w:rPr>
        <w:t xml:space="preserve"> </w:t>
      </w:r>
      <w:r>
        <w:t>to</w:t>
      </w:r>
      <w:r>
        <w:rPr>
          <w:spacing w:val="-5"/>
        </w:rPr>
        <w:t xml:space="preserve"> </w:t>
      </w:r>
      <w:r>
        <w:t>make</w:t>
      </w:r>
      <w:r>
        <w:rPr>
          <w:spacing w:val="-5"/>
        </w:rPr>
        <w:t xml:space="preserve"> </w:t>
      </w:r>
      <w:r>
        <w:t>greater</w:t>
      </w:r>
      <w:r>
        <w:rPr>
          <w:spacing w:val="3"/>
        </w:rPr>
        <w:t xml:space="preserve"> </w:t>
      </w:r>
      <w:r>
        <w:t>progress”</w:t>
      </w:r>
      <w:r>
        <w:rPr>
          <w:spacing w:val="-4"/>
        </w:rPr>
        <w:t xml:space="preserve"> </w:t>
      </w:r>
      <w:r>
        <w:t>(Grattan,</w:t>
      </w:r>
      <w:r>
        <w:rPr>
          <w:spacing w:val="-5"/>
        </w:rPr>
        <w:t xml:space="preserve"> </w:t>
      </w:r>
      <w:r>
        <w:t>2017)</w:t>
      </w:r>
      <w:r>
        <w:rPr>
          <w:spacing w:val="-2"/>
        </w:rPr>
        <w:t xml:space="preserve"> </w:t>
      </w:r>
      <w:r>
        <w:t>and</w:t>
      </w:r>
      <w:r>
        <w:rPr>
          <w:spacing w:val="-6"/>
        </w:rPr>
        <w:t xml:space="preserve"> </w:t>
      </w:r>
      <w:r>
        <w:t>was</w:t>
      </w:r>
      <w:r>
        <w:rPr>
          <w:spacing w:val="-4"/>
        </w:rPr>
        <w:t xml:space="preserve"> </w:t>
      </w:r>
      <w:r>
        <w:t>widely criticised by Aboriginal leaders for comments about Aboriginal and Torres Strait Islander people living in remote communities as a “lifestyle</w:t>
      </w:r>
      <w:r>
        <w:rPr>
          <w:spacing w:val="3"/>
        </w:rPr>
        <w:t xml:space="preserve"> </w:t>
      </w:r>
      <w:r>
        <w:t>choice”.</w:t>
      </w:r>
    </w:p>
    <w:p w:rsidR="00135913" w:rsidRDefault="00135913" w:rsidP="007622E8">
      <w:pPr>
        <w:pStyle w:val="BodyText"/>
        <w:spacing w:before="8"/>
        <w:ind w:left="1440"/>
      </w:pPr>
    </w:p>
    <w:p w:rsidR="00135913" w:rsidRDefault="00135913" w:rsidP="007622E8">
      <w:pPr>
        <w:pStyle w:val="BodyText"/>
        <w:spacing w:line="312" w:lineRule="auto"/>
        <w:ind w:left="1440" w:right="1438"/>
        <w:jc w:val="both"/>
      </w:pPr>
      <w:r>
        <w:t>Indigenous disadvantage has been described as one of the ‘wicked problems’, a highly intractable problem where</w:t>
      </w:r>
      <w:r>
        <w:rPr>
          <w:spacing w:val="-7"/>
        </w:rPr>
        <w:t xml:space="preserve"> </w:t>
      </w:r>
      <w:r>
        <w:t>motivation</w:t>
      </w:r>
      <w:r>
        <w:rPr>
          <w:spacing w:val="-5"/>
        </w:rPr>
        <w:t xml:space="preserve"> </w:t>
      </w:r>
      <w:r>
        <w:t>and</w:t>
      </w:r>
      <w:r>
        <w:rPr>
          <w:spacing w:val="-7"/>
        </w:rPr>
        <w:t xml:space="preserve"> </w:t>
      </w:r>
      <w:r>
        <w:t>behaviour</w:t>
      </w:r>
      <w:r>
        <w:rPr>
          <w:spacing w:val="-5"/>
        </w:rPr>
        <w:t xml:space="preserve"> </w:t>
      </w:r>
      <w:r>
        <w:t>of</w:t>
      </w:r>
      <w:r>
        <w:rPr>
          <w:spacing w:val="-7"/>
        </w:rPr>
        <w:t xml:space="preserve"> </w:t>
      </w:r>
      <w:r>
        <w:t>individuals</w:t>
      </w:r>
      <w:r>
        <w:rPr>
          <w:spacing w:val="-5"/>
        </w:rPr>
        <w:t xml:space="preserve"> </w:t>
      </w:r>
      <w:r>
        <w:t>and</w:t>
      </w:r>
      <w:r>
        <w:rPr>
          <w:spacing w:val="-6"/>
        </w:rPr>
        <w:t xml:space="preserve"> </w:t>
      </w:r>
      <w:r>
        <w:t>communities</w:t>
      </w:r>
      <w:r>
        <w:rPr>
          <w:spacing w:val="-5"/>
        </w:rPr>
        <w:t xml:space="preserve"> </w:t>
      </w:r>
      <w:r>
        <w:t>lies</w:t>
      </w:r>
      <w:r>
        <w:rPr>
          <w:spacing w:val="-4"/>
        </w:rPr>
        <w:t xml:space="preserve"> </w:t>
      </w:r>
      <w:r>
        <w:t>at</w:t>
      </w:r>
      <w:r>
        <w:rPr>
          <w:spacing w:val="-6"/>
        </w:rPr>
        <w:t xml:space="preserve"> </w:t>
      </w:r>
      <w:r>
        <w:t>the</w:t>
      </w:r>
      <w:r>
        <w:rPr>
          <w:spacing w:val="-6"/>
        </w:rPr>
        <w:t xml:space="preserve"> </w:t>
      </w:r>
      <w:r>
        <w:t>heart</w:t>
      </w:r>
      <w:r>
        <w:rPr>
          <w:spacing w:val="-4"/>
        </w:rPr>
        <w:t xml:space="preserve"> </w:t>
      </w:r>
      <w:r>
        <w:t>of</w:t>
      </w:r>
      <w:r>
        <w:rPr>
          <w:spacing w:val="-8"/>
        </w:rPr>
        <w:t xml:space="preserve"> </w:t>
      </w:r>
      <w:r>
        <w:t>successful</w:t>
      </w:r>
      <w:r>
        <w:rPr>
          <w:spacing w:val="-6"/>
        </w:rPr>
        <w:t xml:space="preserve"> </w:t>
      </w:r>
      <w:r>
        <w:t>approaches’</w:t>
      </w:r>
      <w:r>
        <w:rPr>
          <w:spacing w:val="-6"/>
        </w:rPr>
        <w:t xml:space="preserve"> </w:t>
      </w:r>
      <w:r>
        <w:t>and while the need for government coordination is recognised, it is seen as secondary to the role of individuals (Australian Public Service Commission, 2012). This individual focus denies the impact of social and structural factors on closing the gaps in education, health, and employment and the importance of an understanding of the social determinants of health (National Congress of Australia's First Peoples, 2016; Pholi, et al., 2009; Thorpe, et al.,</w:t>
      </w:r>
      <w:r>
        <w:rPr>
          <w:spacing w:val="-1"/>
        </w:rPr>
        <w:t xml:space="preserve"> </w:t>
      </w:r>
      <w:r>
        <w:t>2016).</w:t>
      </w:r>
    </w:p>
    <w:p w:rsidR="00135913" w:rsidRDefault="00135913" w:rsidP="007622E8">
      <w:pPr>
        <w:pStyle w:val="BodyText"/>
        <w:spacing w:before="10"/>
        <w:ind w:left="1440"/>
      </w:pPr>
    </w:p>
    <w:p w:rsidR="00135913" w:rsidRDefault="00135913" w:rsidP="007622E8">
      <w:pPr>
        <w:pStyle w:val="BodyText"/>
        <w:spacing w:line="312" w:lineRule="auto"/>
        <w:ind w:left="1440" w:right="1437"/>
        <w:jc w:val="both"/>
      </w:pPr>
      <w:r>
        <w:t>The literature also discusses the fact that the evidence for success of Closing the Gap is based on individual statistical</w:t>
      </w:r>
      <w:r>
        <w:rPr>
          <w:spacing w:val="-9"/>
        </w:rPr>
        <w:t xml:space="preserve"> </w:t>
      </w:r>
      <w:r>
        <w:t>indicators</w:t>
      </w:r>
      <w:r>
        <w:rPr>
          <w:spacing w:val="-7"/>
        </w:rPr>
        <w:t xml:space="preserve"> </w:t>
      </w:r>
      <w:r>
        <w:t>which</w:t>
      </w:r>
      <w:r>
        <w:rPr>
          <w:spacing w:val="-9"/>
        </w:rPr>
        <w:t xml:space="preserve"> </w:t>
      </w:r>
      <w:r>
        <w:t>do</w:t>
      </w:r>
      <w:r>
        <w:rPr>
          <w:spacing w:val="-6"/>
        </w:rPr>
        <w:t xml:space="preserve"> </w:t>
      </w:r>
      <w:r>
        <w:t>not</w:t>
      </w:r>
      <w:r>
        <w:rPr>
          <w:spacing w:val="-9"/>
        </w:rPr>
        <w:t xml:space="preserve"> </w:t>
      </w:r>
      <w:r>
        <w:t>account</w:t>
      </w:r>
      <w:r>
        <w:rPr>
          <w:spacing w:val="-8"/>
        </w:rPr>
        <w:t xml:space="preserve"> </w:t>
      </w:r>
      <w:r>
        <w:t>for</w:t>
      </w:r>
      <w:r>
        <w:rPr>
          <w:spacing w:val="-9"/>
        </w:rPr>
        <w:t xml:space="preserve"> </w:t>
      </w:r>
      <w:r>
        <w:t>the</w:t>
      </w:r>
      <w:r>
        <w:rPr>
          <w:spacing w:val="-6"/>
        </w:rPr>
        <w:t xml:space="preserve"> </w:t>
      </w:r>
      <w:r>
        <w:t>dynamics</w:t>
      </w:r>
      <w:r>
        <w:rPr>
          <w:spacing w:val="-5"/>
        </w:rPr>
        <w:t xml:space="preserve"> </w:t>
      </w:r>
      <w:r>
        <w:t>within</w:t>
      </w:r>
      <w:r>
        <w:rPr>
          <w:spacing w:val="-9"/>
        </w:rPr>
        <w:t xml:space="preserve"> </w:t>
      </w:r>
      <w:r>
        <w:t>a</w:t>
      </w:r>
      <w:r>
        <w:rPr>
          <w:spacing w:val="-8"/>
        </w:rPr>
        <w:t xml:space="preserve"> </w:t>
      </w:r>
      <w:r>
        <w:t>society,</w:t>
      </w:r>
      <w:r>
        <w:rPr>
          <w:spacing w:val="-8"/>
        </w:rPr>
        <w:t xml:space="preserve"> </w:t>
      </w:r>
      <w:r>
        <w:t>structural</w:t>
      </w:r>
      <w:r>
        <w:rPr>
          <w:spacing w:val="-8"/>
        </w:rPr>
        <w:t xml:space="preserve"> </w:t>
      </w:r>
      <w:r>
        <w:t>imbalances,</w:t>
      </w:r>
      <w:r>
        <w:rPr>
          <w:spacing w:val="-8"/>
        </w:rPr>
        <w:t xml:space="preserve"> </w:t>
      </w:r>
      <w:r>
        <w:t>economics, racism and discrimination (Pholi, et al., 2009). Pholi et al. (2009) argues that Closing the Gap positions Indigenous Australians as deficits to be “measured, monitored and rectified” (p. 11) and that this view reflects the gap in power between Indigenous and non-Indigenous Australia and the lack of control Indigenous Australians have over the Indigenous affairs agenda. Success is defined by how much Indigenous Australians change by conforming to pre-determined measures where sickness= Indigenous and whiteness=health and which ignore what may be positive about being an Aboriginal or Torres Strait islander as this is not relevant to the evidence base (Biddle &amp; Markham, 2017b; Pholi, et al.,</w:t>
      </w:r>
      <w:r>
        <w:rPr>
          <w:spacing w:val="-1"/>
        </w:rPr>
        <w:t xml:space="preserve"> </w:t>
      </w:r>
      <w:r>
        <w:t>2009).</w:t>
      </w:r>
    </w:p>
    <w:p w:rsidR="00135913" w:rsidRDefault="00135913" w:rsidP="007622E8">
      <w:pPr>
        <w:pStyle w:val="BodyText"/>
        <w:spacing w:before="7"/>
        <w:ind w:left="1440"/>
      </w:pPr>
    </w:p>
    <w:p w:rsidR="00135913" w:rsidRDefault="00135913" w:rsidP="007622E8">
      <w:pPr>
        <w:pStyle w:val="BodyText"/>
        <w:spacing w:line="312" w:lineRule="auto"/>
        <w:ind w:left="1440" w:right="1438"/>
        <w:jc w:val="both"/>
      </w:pPr>
      <w:r>
        <w:t>One critic notes that there has been an over-emphasis in the Closing the Gap approach on equality between Indigenous and other Australians and too little emphasis on diversity and difference, reflecting that hiding behind the term ‘Closing the Gap’ and its statistical orientation is the complexity of diverse, Indigenous,</w:t>
      </w:r>
    </w:p>
    <w:p w:rsidR="00135913" w:rsidRDefault="00135913" w:rsidP="00135913">
      <w:pPr>
        <w:spacing w:line="312" w:lineRule="auto"/>
        <w:jc w:val="both"/>
        <w:sectPr w:rsidR="00135913">
          <w:pgSz w:w="11910" w:h="16840"/>
          <w:pgMar w:top="1380" w:right="0" w:bottom="980" w:left="0" w:header="0" w:footer="798" w:gutter="0"/>
          <w:cols w:space="720"/>
        </w:sectPr>
      </w:pPr>
    </w:p>
    <w:p w:rsidR="00135913" w:rsidRDefault="00135913" w:rsidP="007622E8">
      <w:pPr>
        <w:pStyle w:val="BodyText"/>
        <w:spacing w:before="41" w:line="312" w:lineRule="auto"/>
        <w:ind w:left="1440" w:right="1435"/>
        <w:jc w:val="both"/>
      </w:pPr>
      <w:r>
        <w:t>culturally-distinct ways of being that are not incorporated into planning or in setting outcomes (Altman, et al., 2008).</w:t>
      </w:r>
    </w:p>
    <w:p w:rsidR="00135913" w:rsidRDefault="00135913" w:rsidP="007622E8">
      <w:pPr>
        <w:pStyle w:val="BodyText"/>
        <w:spacing w:before="7"/>
        <w:ind w:left="1440"/>
      </w:pPr>
    </w:p>
    <w:p w:rsidR="00135913" w:rsidRDefault="00135913" w:rsidP="007622E8">
      <w:pPr>
        <w:pStyle w:val="BodyText"/>
        <w:spacing w:line="312" w:lineRule="auto"/>
        <w:ind w:left="1440" w:right="1438"/>
        <w:jc w:val="both"/>
      </w:pPr>
      <w:r>
        <w:t>The 2017 Close the Gap Progress and Priorities Report stresses the need to adopt a social and cultural determinants approach to Closing the Gap if targets are to be achieved and that targets should be broadened to</w:t>
      </w:r>
      <w:r>
        <w:rPr>
          <w:spacing w:val="-5"/>
        </w:rPr>
        <w:t xml:space="preserve"> </w:t>
      </w:r>
      <w:r>
        <w:t>include</w:t>
      </w:r>
      <w:r>
        <w:rPr>
          <w:spacing w:val="-5"/>
        </w:rPr>
        <w:t xml:space="preserve"> </w:t>
      </w:r>
      <w:r>
        <w:t>areas</w:t>
      </w:r>
      <w:r>
        <w:rPr>
          <w:spacing w:val="-4"/>
        </w:rPr>
        <w:t xml:space="preserve"> </w:t>
      </w:r>
      <w:r>
        <w:t>relating</w:t>
      </w:r>
      <w:r>
        <w:rPr>
          <w:spacing w:val="-4"/>
        </w:rPr>
        <w:t xml:space="preserve"> </w:t>
      </w:r>
      <w:r>
        <w:t>to</w:t>
      </w:r>
      <w:r>
        <w:rPr>
          <w:spacing w:val="-4"/>
        </w:rPr>
        <w:t xml:space="preserve"> </w:t>
      </w:r>
      <w:r>
        <w:t>some</w:t>
      </w:r>
      <w:r>
        <w:rPr>
          <w:spacing w:val="-5"/>
        </w:rPr>
        <w:t xml:space="preserve"> </w:t>
      </w:r>
      <w:r>
        <w:t>of</w:t>
      </w:r>
      <w:r>
        <w:rPr>
          <w:spacing w:val="-6"/>
        </w:rPr>
        <w:t xml:space="preserve"> </w:t>
      </w:r>
      <w:r>
        <w:t>the</w:t>
      </w:r>
      <w:r>
        <w:rPr>
          <w:spacing w:val="-6"/>
        </w:rPr>
        <w:t xml:space="preserve"> </w:t>
      </w:r>
      <w:r>
        <w:t>wider</w:t>
      </w:r>
      <w:r>
        <w:rPr>
          <w:spacing w:val="-4"/>
        </w:rPr>
        <w:t xml:space="preserve"> </w:t>
      </w:r>
      <w:r>
        <w:t>social</w:t>
      </w:r>
      <w:r>
        <w:rPr>
          <w:spacing w:val="-5"/>
        </w:rPr>
        <w:t xml:space="preserve"> </w:t>
      </w:r>
      <w:r>
        <w:t>and</w:t>
      </w:r>
      <w:r>
        <w:rPr>
          <w:spacing w:val="-4"/>
        </w:rPr>
        <w:t xml:space="preserve"> </w:t>
      </w:r>
      <w:r>
        <w:t>cultural</w:t>
      </w:r>
      <w:r>
        <w:rPr>
          <w:spacing w:val="-5"/>
        </w:rPr>
        <w:t xml:space="preserve"> </w:t>
      </w:r>
      <w:r>
        <w:t>determinants</w:t>
      </w:r>
      <w:r>
        <w:rPr>
          <w:spacing w:val="-4"/>
        </w:rPr>
        <w:t xml:space="preserve"> </w:t>
      </w:r>
      <w:r>
        <w:t>of</w:t>
      </w:r>
      <w:r>
        <w:rPr>
          <w:spacing w:val="-6"/>
        </w:rPr>
        <w:t xml:space="preserve"> </w:t>
      </w:r>
      <w:r>
        <w:t>health</w:t>
      </w:r>
      <w:r>
        <w:rPr>
          <w:spacing w:val="-4"/>
        </w:rPr>
        <w:t xml:space="preserve"> </w:t>
      </w:r>
      <w:r>
        <w:t>and</w:t>
      </w:r>
      <w:r>
        <w:rPr>
          <w:spacing w:val="-6"/>
        </w:rPr>
        <w:t xml:space="preserve"> </w:t>
      </w:r>
      <w:r>
        <w:t>other</w:t>
      </w:r>
      <w:r>
        <w:rPr>
          <w:spacing w:val="-4"/>
        </w:rPr>
        <w:t xml:space="preserve"> </w:t>
      </w:r>
      <w:r>
        <w:t>policy</w:t>
      </w:r>
      <w:r>
        <w:rPr>
          <w:spacing w:val="-3"/>
        </w:rPr>
        <w:t xml:space="preserve"> </w:t>
      </w:r>
      <w:r>
        <w:t>areas, identifying racism and institutional racism in health care settings as an important factor influencing health inequalities (Wright &amp; Lewis,</w:t>
      </w:r>
      <w:r>
        <w:rPr>
          <w:spacing w:val="2"/>
        </w:rPr>
        <w:t xml:space="preserve"> </w:t>
      </w:r>
      <w:r>
        <w:t>2017)</w:t>
      </w:r>
    </w:p>
    <w:p w:rsidR="00135913" w:rsidRDefault="00135913" w:rsidP="007622E8">
      <w:pPr>
        <w:pStyle w:val="BodyText"/>
        <w:spacing w:before="10"/>
        <w:ind w:left="1440"/>
      </w:pPr>
    </w:p>
    <w:p w:rsidR="00135913" w:rsidRDefault="00135913" w:rsidP="007622E8">
      <w:pPr>
        <w:pStyle w:val="BodyText"/>
        <w:spacing w:line="312" w:lineRule="auto"/>
        <w:ind w:left="1440" w:right="1439"/>
        <w:jc w:val="both"/>
      </w:pPr>
      <w:r>
        <w:t>However, others see the social and behavioural determinants of health, as well as the performance of health systems as already central to Closing the Gap recognising that good health is holistic and is also closely associated with socioeconomic, behavioural and environmental factors (Australian Institute of Health and Welfare, 2015).</w:t>
      </w:r>
    </w:p>
    <w:p w:rsidR="00135913" w:rsidRDefault="00135913" w:rsidP="007622E8">
      <w:pPr>
        <w:pStyle w:val="BodyText"/>
        <w:spacing w:before="8"/>
        <w:ind w:left="1440"/>
      </w:pPr>
    </w:p>
    <w:p w:rsidR="00135913" w:rsidRDefault="00135913" w:rsidP="007622E8">
      <w:pPr>
        <w:pStyle w:val="Heading4"/>
        <w:ind w:left="1440"/>
      </w:pPr>
      <w:r>
        <w:t>Engagement and power relations</w:t>
      </w:r>
    </w:p>
    <w:p w:rsidR="00135913" w:rsidRDefault="00135913" w:rsidP="007622E8">
      <w:pPr>
        <w:pStyle w:val="BodyText"/>
        <w:spacing w:before="8"/>
        <w:ind w:left="1440"/>
        <w:rPr>
          <w:b/>
          <w:sz w:val="25"/>
        </w:rPr>
      </w:pPr>
    </w:p>
    <w:p w:rsidR="00135913" w:rsidRDefault="00135913" w:rsidP="007622E8">
      <w:pPr>
        <w:pStyle w:val="BodyText"/>
        <w:spacing w:line="312" w:lineRule="auto"/>
        <w:ind w:left="1440" w:right="1437"/>
        <w:jc w:val="both"/>
      </w:pPr>
      <w:r>
        <w:t>The literature discusses that Closing the Gap can be seen as a product of neoconservatism in Australia which has led to structural reforms that have diminished Indigenous representation at the national level and significantly increased the level of obligations placed on Indigenous communities including extending a performance management approach to Indigenous affairs (Humpage, 2008).</w:t>
      </w:r>
    </w:p>
    <w:p w:rsidR="00135913" w:rsidRDefault="00135913" w:rsidP="007622E8">
      <w:pPr>
        <w:pStyle w:val="BodyText"/>
        <w:spacing w:before="8"/>
        <w:ind w:left="1440"/>
      </w:pPr>
    </w:p>
    <w:p w:rsidR="00135913" w:rsidRDefault="00135913" w:rsidP="007622E8">
      <w:pPr>
        <w:pStyle w:val="BodyText"/>
        <w:spacing w:line="312" w:lineRule="auto"/>
        <w:ind w:left="1440" w:right="1437"/>
        <w:jc w:val="both"/>
      </w:pPr>
      <w:r>
        <w:t>The importance of engagement with Aboriginal and Torres Strait Islander peoples is noted throughout the literature, particularly in relation to empowering services and communities through active decision making, Indigenous ownership throughout all stages of projects and programs, the development of Indigenous-led policies and the evaluation of outcomes (Empowered Communities, 2015; Hunt, 2013) (National Congress of Australia's</w:t>
      </w:r>
      <w:r>
        <w:rPr>
          <w:spacing w:val="-5"/>
        </w:rPr>
        <w:t xml:space="preserve"> </w:t>
      </w:r>
      <w:r>
        <w:t>First</w:t>
      </w:r>
      <w:r>
        <w:rPr>
          <w:spacing w:val="-6"/>
        </w:rPr>
        <w:t xml:space="preserve"> </w:t>
      </w:r>
      <w:r>
        <w:t>Peoples,</w:t>
      </w:r>
      <w:r>
        <w:rPr>
          <w:spacing w:val="-5"/>
        </w:rPr>
        <w:t xml:space="preserve"> </w:t>
      </w:r>
      <w:r>
        <w:t>2016;</w:t>
      </w:r>
      <w:r>
        <w:rPr>
          <w:spacing w:val="-6"/>
        </w:rPr>
        <w:t xml:space="preserve"> </w:t>
      </w:r>
      <w:r>
        <w:t>Thorpe,</w:t>
      </w:r>
      <w:r>
        <w:rPr>
          <w:spacing w:val="-5"/>
        </w:rPr>
        <w:t xml:space="preserve"> </w:t>
      </w:r>
      <w:r>
        <w:t>et</w:t>
      </w:r>
      <w:r>
        <w:rPr>
          <w:spacing w:val="-6"/>
        </w:rPr>
        <w:t xml:space="preserve"> </w:t>
      </w:r>
      <w:r>
        <w:t>al.,</w:t>
      </w:r>
      <w:r>
        <w:rPr>
          <w:spacing w:val="-5"/>
        </w:rPr>
        <w:t xml:space="preserve"> </w:t>
      </w:r>
      <w:r>
        <w:t>2016;</w:t>
      </w:r>
      <w:r>
        <w:rPr>
          <w:spacing w:val="-5"/>
        </w:rPr>
        <w:t xml:space="preserve"> </w:t>
      </w:r>
      <w:r>
        <w:t>Wright</w:t>
      </w:r>
      <w:r>
        <w:rPr>
          <w:spacing w:val="-4"/>
        </w:rPr>
        <w:t xml:space="preserve"> </w:t>
      </w:r>
      <w:r>
        <w:t>&amp;</w:t>
      </w:r>
      <w:r>
        <w:rPr>
          <w:spacing w:val="-2"/>
        </w:rPr>
        <w:t xml:space="preserve"> </w:t>
      </w:r>
      <w:r>
        <w:t>Lewis,</w:t>
      </w:r>
      <w:r>
        <w:rPr>
          <w:spacing w:val="-5"/>
        </w:rPr>
        <w:t xml:space="preserve"> </w:t>
      </w:r>
      <w:r>
        <w:t>2017).</w:t>
      </w:r>
      <w:r>
        <w:rPr>
          <w:spacing w:val="-6"/>
        </w:rPr>
        <w:t xml:space="preserve"> </w:t>
      </w:r>
      <w:r>
        <w:t>It</w:t>
      </w:r>
      <w:r>
        <w:rPr>
          <w:spacing w:val="-5"/>
        </w:rPr>
        <w:t xml:space="preserve"> </w:t>
      </w:r>
      <w:r>
        <w:t>is</w:t>
      </w:r>
      <w:r>
        <w:rPr>
          <w:spacing w:val="-5"/>
        </w:rPr>
        <w:t xml:space="preserve"> </w:t>
      </w:r>
      <w:r>
        <w:t>also</w:t>
      </w:r>
      <w:r>
        <w:rPr>
          <w:spacing w:val="-6"/>
        </w:rPr>
        <w:t xml:space="preserve"> </w:t>
      </w:r>
      <w:r>
        <w:t>noted</w:t>
      </w:r>
      <w:r>
        <w:rPr>
          <w:spacing w:val="-4"/>
        </w:rPr>
        <w:t xml:space="preserve"> </w:t>
      </w:r>
      <w:r>
        <w:t>that</w:t>
      </w:r>
      <w:r>
        <w:rPr>
          <w:spacing w:val="-6"/>
        </w:rPr>
        <w:t xml:space="preserve"> </w:t>
      </w:r>
      <w:r>
        <w:t>consultation</w:t>
      </w:r>
      <w:r>
        <w:rPr>
          <w:spacing w:val="-5"/>
        </w:rPr>
        <w:t xml:space="preserve"> </w:t>
      </w:r>
      <w:r>
        <w:t>has often taken the place of genuine engagement limiting the input of Aboriginal and Torres Strait Island peoples and putting collaboration and successful health outcomes at risk (Hunt, 2013; Thorpe, et al.,</w:t>
      </w:r>
      <w:r>
        <w:rPr>
          <w:spacing w:val="-8"/>
        </w:rPr>
        <w:t xml:space="preserve"> </w:t>
      </w:r>
      <w:r>
        <w:t>2016).</w:t>
      </w:r>
    </w:p>
    <w:p w:rsidR="00135913" w:rsidRDefault="00135913" w:rsidP="007622E8">
      <w:pPr>
        <w:pStyle w:val="BodyText"/>
        <w:spacing w:before="9"/>
        <w:ind w:left="1440"/>
      </w:pPr>
    </w:p>
    <w:p w:rsidR="00135913" w:rsidRDefault="00135913" w:rsidP="007622E8">
      <w:pPr>
        <w:pStyle w:val="BodyText"/>
        <w:spacing w:line="312" w:lineRule="auto"/>
        <w:ind w:left="1440" w:right="1433"/>
        <w:jc w:val="both"/>
      </w:pPr>
      <w:r>
        <w:t>While engagement and collaboration is happening in some settings, it is made clear by many commentators that</w:t>
      </w:r>
      <w:r>
        <w:rPr>
          <w:spacing w:val="-11"/>
        </w:rPr>
        <w:t xml:space="preserve"> </w:t>
      </w:r>
      <w:r>
        <w:t>Closing</w:t>
      </w:r>
      <w:r>
        <w:rPr>
          <w:spacing w:val="-10"/>
        </w:rPr>
        <w:t xml:space="preserve"> </w:t>
      </w:r>
      <w:r>
        <w:t>the</w:t>
      </w:r>
      <w:r>
        <w:rPr>
          <w:spacing w:val="-11"/>
        </w:rPr>
        <w:t xml:space="preserve"> </w:t>
      </w:r>
      <w:r>
        <w:t>Gap</w:t>
      </w:r>
      <w:r>
        <w:rPr>
          <w:spacing w:val="-10"/>
        </w:rPr>
        <w:t xml:space="preserve"> </w:t>
      </w:r>
      <w:r>
        <w:t>requires</w:t>
      </w:r>
      <w:r>
        <w:rPr>
          <w:spacing w:val="-10"/>
        </w:rPr>
        <w:t xml:space="preserve"> </w:t>
      </w:r>
      <w:r>
        <w:t>sustained</w:t>
      </w:r>
      <w:r>
        <w:rPr>
          <w:spacing w:val="-11"/>
        </w:rPr>
        <w:t xml:space="preserve"> </w:t>
      </w:r>
      <w:r>
        <w:t>effort</w:t>
      </w:r>
      <w:r>
        <w:rPr>
          <w:spacing w:val="-11"/>
        </w:rPr>
        <w:t xml:space="preserve"> </w:t>
      </w:r>
      <w:r>
        <w:t>and</w:t>
      </w:r>
      <w:r>
        <w:rPr>
          <w:spacing w:val="-11"/>
        </w:rPr>
        <w:t xml:space="preserve"> </w:t>
      </w:r>
      <w:r>
        <w:t>time</w:t>
      </w:r>
      <w:r>
        <w:rPr>
          <w:spacing w:val="-12"/>
        </w:rPr>
        <w:t xml:space="preserve"> </w:t>
      </w:r>
      <w:r>
        <w:t>to</w:t>
      </w:r>
      <w:r>
        <w:rPr>
          <w:spacing w:val="-10"/>
        </w:rPr>
        <w:t xml:space="preserve"> </w:t>
      </w:r>
      <w:r>
        <w:t>make</w:t>
      </w:r>
      <w:r>
        <w:rPr>
          <w:spacing w:val="-12"/>
        </w:rPr>
        <w:t xml:space="preserve"> </w:t>
      </w:r>
      <w:r>
        <w:t>those</w:t>
      </w:r>
      <w:r>
        <w:rPr>
          <w:spacing w:val="-11"/>
        </w:rPr>
        <w:t xml:space="preserve"> </w:t>
      </w:r>
      <w:r>
        <w:t>collaborations</w:t>
      </w:r>
      <w:r>
        <w:rPr>
          <w:spacing w:val="-10"/>
        </w:rPr>
        <w:t xml:space="preserve"> </w:t>
      </w:r>
      <w:r>
        <w:t>work</w:t>
      </w:r>
      <w:r>
        <w:rPr>
          <w:spacing w:val="-4"/>
        </w:rPr>
        <w:t xml:space="preserve"> </w:t>
      </w:r>
      <w:r>
        <w:t>(Altman,</w:t>
      </w:r>
      <w:r>
        <w:rPr>
          <w:spacing w:val="-10"/>
        </w:rPr>
        <w:t xml:space="preserve"> </w:t>
      </w:r>
      <w:r>
        <w:t>et</w:t>
      </w:r>
      <w:r>
        <w:rPr>
          <w:spacing w:val="-13"/>
        </w:rPr>
        <w:t xml:space="preserve"> </w:t>
      </w:r>
      <w:r>
        <w:t>al.,</w:t>
      </w:r>
      <w:r>
        <w:rPr>
          <w:spacing w:val="-10"/>
        </w:rPr>
        <w:t xml:space="preserve"> </w:t>
      </w:r>
      <w:r>
        <w:t>2008; Calma, 2007; Collins, 2016). The Redfern Statement calls on the Government to take action around a range of strategies linked to better engagement and empowerment including resourcing Aboriginal and Torres Strait Islander led solutions, committing to better engagement through representative peaks, and working with Aboriginal and Torres strait Islander leaders (National Congress of Australia's First Peoples,</w:t>
      </w:r>
      <w:r>
        <w:rPr>
          <w:spacing w:val="-9"/>
        </w:rPr>
        <w:t xml:space="preserve"> </w:t>
      </w:r>
      <w:r>
        <w:t>2016).</w:t>
      </w:r>
    </w:p>
    <w:p w:rsidR="00135913" w:rsidRDefault="00135913" w:rsidP="007622E8">
      <w:pPr>
        <w:pStyle w:val="BodyText"/>
        <w:spacing w:before="8"/>
        <w:ind w:left="1440"/>
      </w:pPr>
    </w:p>
    <w:p w:rsidR="00135913" w:rsidRDefault="00135913" w:rsidP="007622E8">
      <w:pPr>
        <w:pStyle w:val="BodyText"/>
        <w:spacing w:line="312" w:lineRule="auto"/>
        <w:ind w:left="1440" w:right="1436"/>
        <w:jc w:val="both"/>
      </w:pPr>
      <w:r>
        <w:t>Bipartisanship</w:t>
      </w:r>
      <w:r>
        <w:rPr>
          <w:spacing w:val="-6"/>
        </w:rPr>
        <w:t xml:space="preserve"> </w:t>
      </w:r>
      <w:r>
        <w:t>has</w:t>
      </w:r>
      <w:r>
        <w:rPr>
          <w:spacing w:val="-5"/>
        </w:rPr>
        <w:t xml:space="preserve"> </w:t>
      </w:r>
      <w:r>
        <w:t>been</w:t>
      </w:r>
      <w:r>
        <w:rPr>
          <w:spacing w:val="-5"/>
        </w:rPr>
        <w:t xml:space="preserve"> </w:t>
      </w:r>
      <w:r>
        <w:t>an</w:t>
      </w:r>
      <w:r>
        <w:rPr>
          <w:spacing w:val="-6"/>
        </w:rPr>
        <w:t xml:space="preserve"> </w:t>
      </w:r>
      <w:r>
        <w:t>important</w:t>
      </w:r>
      <w:r>
        <w:rPr>
          <w:spacing w:val="-6"/>
        </w:rPr>
        <w:t xml:space="preserve"> </w:t>
      </w:r>
      <w:r>
        <w:t>feature</w:t>
      </w:r>
      <w:r>
        <w:rPr>
          <w:spacing w:val="-6"/>
        </w:rPr>
        <w:t xml:space="preserve"> </w:t>
      </w:r>
      <w:r>
        <w:t>of</w:t>
      </w:r>
      <w:r>
        <w:rPr>
          <w:spacing w:val="-8"/>
        </w:rPr>
        <w:t xml:space="preserve"> </w:t>
      </w:r>
      <w:r>
        <w:t>Closing</w:t>
      </w:r>
      <w:r>
        <w:rPr>
          <w:spacing w:val="-5"/>
        </w:rPr>
        <w:t xml:space="preserve"> </w:t>
      </w:r>
      <w:r>
        <w:t>the</w:t>
      </w:r>
      <w:r>
        <w:rPr>
          <w:spacing w:val="-4"/>
        </w:rPr>
        <w:t xml:space="preserve"> </w:t>
      </w:r>
      <w:r>
        <w:t>Gap</w:t>
      </w:r>
      <w:r>
        <w:rPr>
          <w:spacing w:val="-6"/>
        </w:rPr>
        <w:t xml:space="preserve"> </w:t>
      </w:r>
      <w:r>
        <w:t>and</w:t>
      </w:r>
      <w:r>
        <w:rPr>
          <w:spacing w:val="-6"/>
        </w:rPr>
        <w:t xml:space="preserve"> </w:t>
      </w:r>
      <w:r>
        <w:t>unlike</w:t>
      </w:r>
      <w:r>
        <w:rPr>
          <w:spacing w:val="-7"/>
        </w:rPr>
        <w:t xml:space="preserve"> </w:t>
      </w:r>
      <w:r>
        <w:t>many</w:t>
      </w:r>
      <w:r>
        <w:rPr>
          <w:spacing w:val="-5"/>
        </w:rPr>
        <w:t xml:space="preserve"> </w:t>
      </w:r>
      <w:r>
        <w:t>policy</w:t>
      </w:r>
      <w:r>
        <w:rPr>
          <w:spacing w:val="-4"/>
        </w:rPr>
        <w:t xml:space="preserve"> </w:t>
      </w:r>
      <w:r>
        <w:t>positions</w:t>
      </w:r>
      <w:r>
        <w:rPr>
          <w:spacing w:val="-5"/>
        </w:rPr>
        <w:t xml:space="preserve"> </w:t>
      </w:r>
      <w:r>
        <w:t>has</w:t>
      </w:r>
      <w:r>
        <w:rPr>
          <w:spacing w:val="-5"/>
        </w:rPr>
        <w:t xml:space="preserve"> </w:t>
      </w:r>
      <w:r>
        <w:t>not</w:t>
      </w:r>
      <w:r>
        <w:rPr>
          <w:spacing w:val="-6"/>
        </w:rPr>
        <w:t xml:space="preserve"> </w:t>
      </w:r>
      <w:r>
        <w:t>been used</w:t>
      </w:r>
      <w:r>
        <w:rPr>
          <w:spacing w:val="-6"/>
        </w:rPr>
        <w:t xml:space="preserve"> </w:t>
      </w:r>
      <w:r>
        <w:t>as</w:t>
      </w:r>
      <w:r>
        <w:rPr>
          <w:spacing w:val="-4"/>
        </w:rPr>
        <w:t xml:space="preserve"> </w:t>
      </w:r>
      <w:r>
        <w:t>a</w:t>
      </w:r>
      <w:r>
        <w:rPr>
          <w:spacing w:val="-4"/>
        </w:rPr>
        <w:t xml:space="preserve"> </w:t>
      </w:r>
      <w:r>
        <w:t>point</w:t>
      </w:r>
      <w:r>
        <w:rPr>
          <w:spacing w:val="-5"/>
        </w:rPr>
        <w:t xml:space="preserve"> </w:t>
      </w:r>
      <w:r>
        <w:t>of</w:t>
      </w:r>
      <w:r>
        <w:rPr>
          <w:spacing w:val="-5"/>
        </w:rPr>
        <w:t xml:space="preserve"> </w:t>
      </w:r>
      <w:r>
        <w:t>differentiation</w:t>
      </w:r>
      <w:r>
        <w:rPr>
          <w:spacing w:val="-2"/>
        </w:rPr>
        <w:t xml:space="preserve"> </w:t>
      </w:r>
      <w:r>
        <w:t>between</w:t>
      </w:r>
      <w:r>
        <w:rPr>
          <w:spacing w:val="-5"/>
        </w:rPr>
        <w:t xml:space="preserve"> </w:t>
      </w:r>
      <w:r>
        <w:t>political</w:t>
      </w:r>
      <w:r>
        <w:rPr>
          <w:spacing w:val="-6"/>
        </w:rPr>
        <w:t xml:space="preserve"> </w:t>
      </w:r>
      <w:r>
        <w:t>parties</w:t>
      </w:r>
      <w:r>
        <w:rPr>
          <w:spacing w:val="-2"/>
        </w:rPr>
        <w:t xml:space="preserve"> </w:t>
      </w:r>
      <w:r>
        <w:t>until</w:t>
      </w:r>
      <w:r>
        <w:rPr>
          <w:spacing w:val="-6"/>
        </w:rPr>
        <w:t xml:space="preserve"> </w:t>
      </w:r>
      <w:r>
        <w:t>now.</w:t>
      </w:r>
      <w:r>
        <w:rPr>
          <w:spacing w:val="-4"/>
        </w:rPr>
        <w:t xml:space="preserve"> </w:t>
      </w:r>
      <w:r>
        <w:t>Altman</w:t>
      </w:r>
      <w:r>
        <w:rPr>
          <w:spacing w:val="-5"/>
        </w:rPr>
        <w:t xml:space="preserve"> </w:t>
      </w:r>
      <w:r>
        <w:t>et</w:t>
      </w:r>
      <w:r>
        <w:rPr>
          <w:spacing w:val="-5"/>
        </w:rPr>
        <w:t xml:space="preserve"> </w:t>
      </w:r>
      <w:r>
        <w:t>al</w:t>
      </w:r>
      <w:r>
        <w:rPr>
          <w:spacing w:val="-6"/>
        </w:rPr>
        <w:t xml:space="preserve"> </w:t>
      </w:r>
      <w:r>
        <w:t>note</w:t>
      </w:r>
      <w:r>
        <w:rPr>
          <w:spacing w:val="-6"/>
        </w:rPr>
        <w:t xml:space="preserve"> </w:t>
      </w:r>
      <w:r>
        <w:t>that</w:t>
      </w:r>
      <w:r>
        <w:rPr>
          <w:spacing w:val="-5"/>
        </w:rPr>
        <w:t xml:space="preserve"> </w:t>
      </w:r>
      <w:r>
        <w:t>this</w:t>
      </w:r>
      <w:r>
        <w:rPr>
          <w:spacing w:val="-4"/>
        </w:rPr>
        <w:t xml:space="preserve"> </w:t>
      </w:r>
      <w:r>
        <w:t>has</w:t>
      </w:r>
      <w:r>
        <w:rPr>
          <w:spacing w:val="-3"/>
        </w:rPr>
        <w:t xml:space="preserve"> </w:t>
      </w:r>
      <w:r>
        <w:t>meant</w:t>
      </w:r>
      <w:r>
        <w:rPr>
          <w:spacing w:val="-5"/>
        </w:rPr>
        <w:t xml:space="preserve"> </w:t>
      </w:r>
      <w:r>
        <w:t>that the delivery of Closing the Gap has been able to occur over a long period of time but, nevertheless it is always subject</w:t>
      </w:r>
      <w:r>
        <w:rPr>
          <w:spacing w:val="-3"/>
        </w:rPr>
        <w:t xml:space="preserve"> </w:t>
      </w:r>
      <w:r>
        <w:t>to</w:t>
      </w:r>
      <w:r>
        <w:rPr>
          <w:spacing w:val="-2"/>
        </w:rPr>
        <w:t xml:space="preserve"> </w:t>
      </w:r>
      <w:r>
        <w:t>being</w:t>
      </w:r>
      <w:r>
        <w:rPr>
          <w:spacing w:val="-2"/>
        </w:rPr>
        <w:t xml:space="preserve"> </w:t>
      </w:r>
      <w:r>
        <w:t>used</w:t>
      </w:r>
      <w:r>
        <w:rPr>
          <w:spacing w:val="-4"/>
        </w:rPr>
        <w:t xml:space="preserve"> </w:t>
      </w:r>
      <w:r>
        <w:t>as</w:t>
      </w:r>
      <w:r>
        <w:rPr>
          <w:spacing w:val="-1"/>
        </w:rPr>
        <w:t xml:space="preserve"> </w:t>
      </w:r>
      <w:r>
        <w:t>a</w:t>
      </w:r>
      <w:r>
        <w:rPr>
          <w:spacing w:val="-2"/>
        </w:rPr>
        <w:t xml:space="preserve"> </w:t>
      </w:r>
      <w:r>
        <w:t>point</w:t>
      </w:r>
      <w:r>
        <w:rPr>
          <w:spacing w:val="-2"/>
        </w:rPr>
        <w:t xml:space="preserve"> </w:t>
      </w:r>
      <w:r>
        <w:t>of</w:t>
      </w:r>
      <w:r>
        <w:rPr>
          <w:spacing w:val="-4"/>
        </w:rPr>
        <w:t xml:space="preserve"> </w:t>
      </w:r>
      <w:r>
        <w:t>difference</w:t>
      </w:r>
      <w:r>
        <w:rPr>
          <w:spacing w:val="-3"/>
        </w:rPr>
        <w:t xml:space="preserve"> </w:t>
      </w:r>
      <w:r>
        <w:t>between</w:t>
      </w:r>
      <w:r>
        <w:rPr>
          <w:spacing w:val="-3"/>
        </w:rPr>
        <w:t xml:space="preserve"> </w:t>
      </w:r>
      <w:r>
        <w:t>political</w:t>
      </w:r>
      <w:r>
        <w:rPr>
          <w:spacing w:val="-2"/>
        </w:rPr>
        <w:t xml:space="preserve"> </w:t>
      </w:r>
      <w:r>
        <w:t>parties</w:t>
      </w:r>
      <w:r>
        <w:rPr>
          <w:spacing w:val="6"/>
        </w:rPr>
        <w:t xml:space="preserve"> </w:t>
      </w:r>
      <w:r>
        <w:t>when</w:t>
      </w:r>
      <w:r>
        <w:rPr>
          <w:spacing w:val="-2"/>
        </w:rPr>
        <w:t xml:space="preserve"> </w:t>
      </w:r>
      <w:r>
        <w:t>necessary (Altman,</w:t>
      </w:r>
      <w:r>
        <w:rPr>
          <w:spacing w:val="-2"/>
        </w:rPr>
        <w:t xml:space="preserve"> </w:t>
      </w:r>
      <w:r>
        <w:t>et</w:t>
      </w:r>
      <w:r>
        <w:rPr>
          <w:spacing w:val="-2"/>
        </w:rPr>
        <w:t xml:space="preserve"> </w:t>
      </w:r>
      <w:r>
        <w:t>al.,</w:t>
      </w:r>
      <w:r>
        <w:rPr>
          <w:spacing w:val="-3"/>
        </w:rPr>
        <w:t xml:space="preserve"> </w:t>
      </w:r>
      <w:r>
        <w:t>2008).</w:t>
      </w:r>
    </w:p>
    <w:p w:rsidR="00135913" w:rsidRDefault="00135913" w:rsidP="007622E8">
      <w:pPr>
        <w:pStyle w:val="BodyText"/>
        <w:spacing w:before="8"/>
        <w:ind w:left="1440"/>
      </w:pPr>
    </w:p>
    <w:p w:rsidR="00135913" w:rsidRDefault="00135913" w:rsidP="007622E8">
      <w:pPr>
        <w:pStyle w:val="Heading4"/>
        <w:ind w:left="1440"/>
      </w:pPr>
      <w:r>
        <w:t>Challenges in measurement and planning</w:t>
      </w:r>
    </w:p>
    <w:p w:rsidR="00135913" w:rsidRDefault="00135913" w:rsidP="007622E8">
      <w:pPr>
        <w:pStyle w:val="BodyText"/>
        <w:spacing w:before="8"/>
        <w:ind w:left="1440"/>
        <w:rPr>
          <w:b/>
          <w:sz w:val="25"/>
        </w:rPr>
      </w:pPr>
    </w:p>
    <w:p w:rsidR="00135913" w:rsidRDefault="00135913" w:rsidP="007622E8">
      <w:pPr>
        <w:pStyle w:val="BodyText"/>
        <w:spacing w:line="312" w:lineRule="auto"/>
        <w:ind w:left="1440" w:right="1439"/>
        <w:jc w:val="both"/>
      </w:pPr>
      <w:r>
        <w:t>Pholi</w:t>
      </w:r>
      <w:r>
        <w:rPr>
          <w:spacing w:val="-4"/>
        </w:rPr>
        <w:t xml:space="preserve"> </w:t>
      </w:r>
      <w:r>
        <w:t>(2009)</w:t>
      </w:r>
      <w:r>
        <w:rPr>
          <w:spacing w:val="-3"/>
        </w:rPr>
        <w:t xml:space="preserve"> </w:t>
      </w:r>
      <w:r>
        <w:t>argues</w:t>
      </w:r>
      <w:r>
        <w:rPr>
          <w:spacing w:val="-3"/>
        </w:rPr>
        <w:t xml:space="preserve"> </w:t>
      </w:r>
      <w:r>
        <w:t>that</w:t>
      </w:r>
      <w:r>
        <w:rPr>
          <w:spacing w:val="-4"/>
        </w:rPr>
        <w:t xml:space="preserve"> </w:t>
      </w:r>
      <w:r>
        <w:t>Closing</w:t>
      </w:r>
      <w:r>
        <w:rPr>
          <w:spacing w:val="-4"/>
        </w:rPr>
        <w:t xml:space="preserve"> </w:t>
      </w:r>
      <w:r>
        <w:t>the</w:t>
      </w:r>
      <w:r>
        <w:rPr>
          <w:spacing w:val="-5"/>
        </w:rPr>
        <w:t xml:space="preserve"> </w:t>
      </w:r>
      <w:r>
        <w:t>Gap</w:t>
      </w:r>
      <w:r>
        <w:rPr>
          <w:spacing w:val="-1"/>
        </w:rPr>
        <w:t xml:space="preserve"> </w:t>
      </w:r>
      <w:r>
        <w:t>is</w:t>
      </w:r>
      <w:r>
        <w:rPr>
          <w:spacing w:val="-3"/>
        </w:rPr>
        <w:t xml:space="preserve"> </w:t>
      </w:r>
      <w:r>
        <w:t>devoid</w:t>
      </w:r>
      <w:r>
        <w:rPr>
          <w:spacing w:val="-5"/>
        </w:rPr>
        <w:t xml:space="preserve"> </w:t>
      </w:r>
      <w:r>
        <w:t>of</w:t>
      </w:r>
      <w:r>
        <w:rPr>
          <w:spacing w:val="-5"/>
        </w:rPr>
        <w:t xml:space="preserve"> </w:t>
      </w:r>
      <w:r>
        <w:t>theory</w:t>
      </w:r>
      <w:r>
        <w:rPr>
          <w:spacing w:val="-3"/>
        </w:rPr>
        <w:t xml:space="preserve"> </w:t>
      </w:r>
      <w:r>
        <w:t>and</w:t>
      </w:r>
      <w:r>
        <w:rPr>
          <w:spacing w:val="-5"/>
        </w:rPr>
        <w:t xml:space="preserve"> </w:t>
      </w:r>
      <w:r>
        <w:t>lacks</w:t>
      </w:r>
      <w:r>
        <w:rPr>
          <w:spacing w:val="-2"/>
        </w:rPr>
        <w:t xml:space="preserve"> </w:t>
      </w:r>
      <w:r>
        <w:t>a</w:t>
      </w:r>
      <w:r>
        <w:rPr>
          <w:spacing w:val="-5"/>
        </w:rPr>
        <w:t xml:space="preserve"> </w:t>
      </w:r>
      <w:r>
        <w:t>historical</w:t>
      </w:r>
      <w:r>
        <w:rPr>
          <w:spacing w:val="-4"/>
        </w:rPr>
        <w:t xml:space="preserve"> </w:t>
      </w:r>
      <w:r>
        <w:t>and</w:t>
      </w:r>
      <w:r>
        <w:rPr>
          <w:spacing w:val="-4"/>
        </w:rPr>
        <w:t xml:space="preserve"> </w:t>
      </w:r>
      <w:r>
        <w:t>social</w:t>
      </w:r>
      <w:r>
        <w:rPr>
          <w:spacing w:val="-4"/>
        </w:rPr>
        <w:t xml:space="preserve"> </w:t>
      </w:r>
      <w:r>
        <w:t>context,</w:t>
      </w:r>
      <w:r>
        <w:rPr>
          <w:spacing w:val="-3"/>
        </w:rPr>
        <w:t xml:space="preserve"> </w:t>
      </w:r>
      <w:r>
        <w:t>relying</w:t>
      </w:r>
      <w:r>
        <w:rPr>
          <w:spacing w:val="-3"/>
        </w:rPr>
        <w:t xml:space="preserve"> </w:t>
      </w:r>
      <w:r>
        <w:t>on statistical gaps to define targets for policy action and then using changes in the size of gaps as evidence for what is or is not</w:t>
      </w:r>
      <w:r>
        <w:rPr>
          <w:spacing w:val="1"/>
        </w:rPr>
        <w:t xml:space="preserve"> </w:t>
      </w:r>
      <w:r>
        <w:t>working.</w:t>
      </w:r>
    </w:p>
    <w:p w:rsidR="00135913" w:rsidRDefault="00135913" w:rsidP="00135913">
      <w:pPr>
        <w:spacing w:line="312" w:lineRule="auto"/>
        <w:jc w:val="both"/>
        <w:sectPr w:rsidR="00135913">
          <w:pgSz w:w="11910" w:h="16840"/>
          <w:pgMar w:top="1380" w:right="0" w:bottom="980" w:left="0" w:header="0" w:footer="798" w:gutter="0"/>
          <w:cols w:space="720"/>
        </w:sectPr>
      </w:pPr>
    </w:p>
    <w:p w:rsidR="00135913" w:rsidRDefault="00135913" w:rsidP="007622E8">
      <w:pPr>
        <w:pStyle w:val="BodyText"/>
        <w:spacing w:before="41" w:line="312" w:lineRule="auto"/>
        <w:ind w:left="1440" w:right="1440"/>
        <w:jc w:val="both"/>
      </w:pPr>
      <w:r>
        <w:t>The Closing the Gap approach to monitoring has also been criticised because it focuses on the needs of government rather than the aspirations of Indigenous Australians, highlighting problems and deficits rather than strengths and opportunities (Altman, 2013; Biddle &amp; Markham, 2017b).</w:t>
      </w:r>
    </w:p>
    <w:p w:rsidR="00135913" w:rsidRDefault="00135913" w:rsidP="007622E8">
      <w:pPr>
        <w:pStyle w:val="BodyText"/>
        <w:spacing w:before="8"/>
        <w:ind w:left="1440"/>
      </w:pPr>
    </w:p>
    <w:p w:rsidR="00135913" w:rsidRDefault="00135913" w:rsidP="007622E8">
      <w:pPr>
        <w:pStyle w:val="BodyText"/>
        <w:spacing w:before="1" w:line="312" w:lineRule="auto"/>
        <w:ind w:left="1440" w:right="1438"/>
        <w:jc w:val="both"/>
      </w:pPr>
      <w:r>
        <w:t>The ability to measure, predict and plan has been challenged with reference to the variability in impacts of Closing the Gap on Indigenous life expectancy rates geographically and over time deriving from variable starting conditions and unequal shifts in age specific mortality rates (Taylor &amp; Barnes, 2013).</w:t>
      </w:r>
    </w:p>
    <w:p w:rsidR="00135913" w:rsidRDefault="00135913" w:rsidP="007622E8">
      <w:pPr>
        <w:pStyle w:val="BodyText"/>
        <w:spacing w:before="6"/>
        <w:ind w:left="1440"/>
      </w:pPr>
    </w:p>
    <w:p w:rsidR="00135913" w:rsidRDefault="00135913" w:rsidP="007622E8">
      <w:pPr>
        <w:pStyle w:val="BodyText"/>
        <w:spacing w:line="312" w:lineRule="auto"/>
        <w:ind w:left="1440" w:right="1438"/>
        <w:jc w:val="both"/>
      </w:pPr>
      <w:r>
        <w:t>Regional variation is also important for understanding impacts where differences in remote, non-remote and regional Australia requires a differentiated policy response and measurement (Altman, et al., 2008; Taylor &amp; Barnes,</w:t>
      </w:r>
      <w:r>
        <w:rPr>
          <w:spacing w:val="-7"/>
        </w:rPr>
        <w:t xml:space="preserve"> </w:t>
      </w:r>
      <w:r>
        <w:t>2013).</w:t>
      </w:r>
      <w:r>
        <w:rPr>
          <w:spacing w:val="-7"/>
        </w:rPr>
        <w:t xml:space="preserve"> </w:t>
      </w:r>
      <w:r>
        <w:t>For</w:t>
      </w:r>
      <w:r>
        <w:rPr>
          <w:spacing w:val="-6"/>
        </w:rPr>
        <w:t xml:space="preserve"> </w:t>
      </w:r>
      <w:r>
        <w:t>example,</w:t>
      </w:r>
      <w:r>
        <w:rPr>
          <w:spacing w:val="-7"/>
        </w:rPr>
        <w:t xml:space="preserve"> </w:t>
      </w:r>
      <w:r>
        <w:t>while</w:t>
      </w:r>
      <w:r>
        <w:rPr>
          <w:spacing w:val="-7"/>
        </w:rPr>
        <w:t xml:space="preserve"> </w:t>
      </w:r>
      <w:r>
        <w:t>there</w:t>
      </w:r>
      <w:r>
        <w:rPr>
          <w:spacing w:val="-8"/>
        </w:rPr>
        <w:t xml:space="preserve"> </w:t>
      </w:r>
      <w:r>
        <w:t>has</w:t>
      </w:r>
      <w:r>
        <w:rPr>
          <w:spacing w:val="-6"/>
        </w:rPr>
        <w:t xml:space="preserve"> </w:t>
      </w:r>
      <w:r>
        <w:t>been</w:t>
      </w:r>
      <w:r>
        <w:rPr>
          <w:spacing w:val="-6"/>
        </w:rPr>
        <w:t xml:space="preserve"> </w:t>
      </w:r>
      <w:r>
        <w:t>no</w:t>
      </w:r>
      <w:r>
        <w:rPr>
          <w:spacing w:val="-8"/>
        </w:rPr>
        <w:t xml:space="preserve"> </w:t>
      </w:r>
      <w:r>
        <w:t>improvement</w:t>
      </w:r>
      <w:r>
        <w:rPr>
          <w:spacing w:val="-6"/>
        </w:rPr>
        <w:t xml:space="preserve"> </w:t>
      </w:r>
      <w:r>
        <w:t>in</w:t>
      </w:r>
      <w:r>
        <w:rPr>
          <w:spacing w:val="-7"/>
        </w:rPr>
        <w:t xml:space="preserve"> </w:t>
      </w:r>
      <w:r>
        <w:t>the</w:t>
      </w:r>
      <w:r>
        <w:rPr>
          <w:spacing w:val="-7"/>
        </w:rPr>
        <w:t xml:space="preserve"> </w:t>
      </w:r>
      <w:r>
        <w:t>Closing</w:t>
      </w:r>
      <w:r>
        <w:rPr>
          <w:spacing w:val="-7"/>
        </w:rPr>
        <w:t xml:space="preserve"> </w:t>
      </w:r>
      <w:r>
        <w:t>the</w:t>
      </w:r>
      <w:r>
        <w:rPr>
          <w:spacing w:val="-6"/>
        </w:rPr>
        <w:t xml:space="preserve"> </w:t>
      </w:r>
      <w:r>
        <w:t>Gap</w:t>
      </w:r>
      <w:r>
        <w:rPr>
          <w:spacing w:val="-4"/>
        </w:rPr>
        <w:t xml:space="preserve"> </w:t>
      </w:r>
      <w:r>
        <w:t>target</w:t>
      </w:r>
      <w:r>
        <w:rPr>
          <w:spacing w:val="-7"/>
        </w:rPr>
        <w:t xml:space="preserve"> </w:t>
      </w:r>
      <w:r>
        <w:t>around</w:t>
      </w:r>
      <w:r>
        <w:rPr>
          <w:spacing w:val="-8"/>
        </w:rPr>
        <w:t xml:space="preserve"> </w:t>
      </w:r>
      <w:r>
        <w:t>halving the gap in employment outcomes, there is also considerable geographic variation with some remote areas seeing</w:t>
      </w:r>
      <w:r>
        <w:rPr>
          <w:spacing w:val="-4"/>
        </w:rPr>
        <w:t xml:space="preserve"> </w:t>
      </w:r>
      <w:r>
        <w:t>employment</w:t>
      </w:r>
      <w:r>
        <w:rPr>
          <w:spacing w:val="-3"/>
        </w:rPr>
        <w:t xml:space="preserve"> </w:t>
      </w:r>
      <w:r>
        <w:t>to</w:t>
      </w:r>
      <w:r>
        <w:rPr>
          <w:spacing w:val="-4"/>
        </w:rPr>
        <w:t xml:space="preserve"> </w:t>
      </w:r>
      <w:r>
        <w:t>population</w:t>
      </w:r>
      <w:r>
        <w:rPr>
          <w:spacing w:val="-3"/>
        </w:rPr>
        <w:t xml:space="preserve"> </w:t>
      </w:r>
      <w:r>
        <w:t>ratios</w:t>
      </w:r>
      <w:r>
        <w:rPr>
          <w:spacing w:val="-2"/>
        </w:rPr>
        <w:t xml:space="preserve"> </w:t>
      </w:r>
      <w:r>
        <w:t>falling</w:t>
      </w:r>
      <w:r>
        <w:rPr>
          <w:spacing w:val="-4"/>
        </w:rPr>
        <w:t xml:space="preserve"> </w:t>
      </w:r>
      <w:r>
        <w:t>by</w:t>
      </w:r>
      <w:r>
        <w:rPr>
          <w:spacing w:val="-2"/>
        </w:rPr>
        <w:t xml:space="preserve"> </w:t>
      </w:r>
      <w:r>
        <w:t>more</w:t>
      </w:r>
      <w:r>
        <w:rPr>
          <w:spacing w:val="-4"/>
        </w:rPr>
        <w:t xml:space="preserve"> </w:t>
      </w:r>
      <w:r>
        <w:t>than</w:t>
      </w:r>
      <w:r>
        <w:rPr>
          <w:spacing w:val="-4"/>
        </w:rPr>
        <w:t xml:space="preserve"> </w:t>
      </w:r>
      <w:r>
        <w:t>15%</w:t>
      </w:r>
      <w:r>
        <w:rPr>
          <w:spacing w:val="-3"/>
        </w:rPr>
        <w:t xml:space="preserve"> </w:t>
      </w:r>
      <w:r>
        <w:t>while</w:t>
      </w:r>
      <w:r>
        <w:rPr>
          <w:spacing w:val="-4"/>
        </w:rPr>
        <w:t xml:space="preserve"> </w:t>
      </w:r>
      <w:r>
        <w:t>in</w:t>
      </w:r>
      <w:r>
        <w:rPr>
          <w:spacing w:val="-4"/>
        </w:rPr>
        <w:t xml:space="preserve"> </w:t>
      </w:r>
      <w:r>
        <w:t>NSW</w:t>
      </w:r>
      <w:r>
        <w:rPr>
          <w:spacing w:val="-4"/>
        </w:rPr>
        <w:t xml:space="preserve"> </w:t>
      </w:r>
      <w:r>
        <w:t>employment</w:t>
      </w:r>
      <w:r>
        <w:rPr>
          <w:spacing w:val="-2"/>
        </w:rPr>
        <w:t xml:space="preserve"> </w:t>
      </w:r>
      <w:r>
        <w:t>growth</w:t>
      </w:r>
      <w:r>
        <w:rPr>
          <w:spacing w:val="-5"/>
        </w:rPr>
        <w:t xml:space="preserve"> </w:t>
      </w:r>
      <w:r>
        <w:t>has</w:t>
      </w:r>
      <w:r>
        <w:rPr>
          <w:spacing w:val="-2"/>
        </w:rPr>
        <w:t xml:space="preserve"> </w:t>
      </w:r>
      <w:r>
        <w:t>been rapid (Biddle &amp; Markham,</w:t>
      </w:r>
      <w:r>
        <w:rPr>
          <w:spacing w:val="-2"/>
        </w:rPr>
        <w:t xml:space="preserve"> </w:t>
      </w:r>
      <w:r>
        <w:t>2017a).</w:t>
      </w:r>
    </w:p>
    <w:p w:rsidR="00135913" w:rsidRDefault="00135913" w:rsidP="007622E8">
      <w:pPr>
        <w:pStyle w:val="BodyText"/>
        <w:spacing w:before="10"/>
        <w:ind w:left="1440"/>
      </w:pPr>
    </w:p>
    <w:p w:rsidR="00135913" w:rsidRDefault="00135913" w:rsidP="007622E8">
      <w:pPr>
        <w:pStyle w:val="BodyText"/>
        <w:spacing w:line="312" w:lineRule="auto"/>
        <w:ind w:left="1440" w:right="1436"/>
        <w:jc w:val="both"/>
      </w:pPr>
      <w:r>
        <w:t>Despite</w:t>
      </w:r>
      <w:r>
        <w:rPr>
          <w:spacing w:val="-11"/>
        </w:rPr>
        <w:t xml:space="preserve"> </w:t>
      </w:r>
      <w:r>
        <w:t>these</w:t>
      </w:r>
      <w:r>
        <w:rPr>
          <w:spacing w:val="-11"/>
        </w:rPr>
        <w:t xml:space="preserve"> </w:t>
      </w:r>
      <w:r>
        <w:t>overall</w:t>
      </w:r>
      <w:r>
        <w:rPr>
          <w:spacing w:val="-11"/>
        </w:rPr>
        <w:t xml:space="preserve"> </w:t>
      </w:r>
      <w:r>
        <w:t>trends</w:t>
      </w:r>
      <w:r>
        <w:rPr>
          <w:spacing w:val="-9"/>
        </w:rPr>
        <w:t xml:space="preserve"> </w:t>
      </w:r>
      <w:r>
        <w:t>in</w:t>
      </w:r>
      <w:r>
        <w:rPr>
          <w:spacing w:val="-11"/>
        </w:rPr>
        <w:t xml:space="preserve"> </w:t>
      </w:r>
      <w:r>
        <w:t>disparity</w:t>
      </w:r>
      <w:r>
        <w:rPr>
          <w:spacing w:val="-9"/>
        </w:rPr>
        <w:t xml:space="preserve"> </w:t>
      </w:r>
      <w:r>
        <w:t>of</w:t>
      </w:r>
      <w:r>
        <w:rPr>
          <w:spacing w:val="-12"/>
        </w:rPr>
        <w:t xml:space="preserve"> </w:t>
      </w:r>
      <w:r>
        <w:t>progress</w:t>
      </w:r>
      <w:r>
        <w:rPr>
          <w:spacing w:val="-9"/>
        </w:rPr>
        <w:t xml:space="preserve"> </w:t>
      </w:r>
      <w:r>
        <w:t>relating</w:t>
      </w:r>
      <w:r>
        <w:rPr>
          <w:spacing w:val="-11"/>
        </w:rPr>
        <w:t xml:space="preserve"> </w:t>
      </w:r>
      <w:r>
        <w:t>to</w:t>
      </w:r>
      <w:r>
        <w:rPr>
          <w:spacing w:val="-10"/>
        </w:rPr>
        <w:t xml:space="preserve"> </w:t>
      </w:r>
      <w:r>
        <w:t>remoteness,</w:t>
      </w:r>
      <w:r>
        <w:rPr>
          <w:spacing w:val="-11"/>
        </w:rPr>
        <w:t xml:space="preserve"> </w:t>
      </w:r>
      <w:r>
        <w:t>The</w:t>
      </w:r>
      <w:r>
        <w:rPr>
          <w:spacing w:val="-11"/>
        </w:rPr>
        <w:t xml:space="preserve"> </w:t>
      </w:r>
      <w:r>
        <w:t>Productivity</w:t>
      </w:r>
      <w:r>
        <w:rPr>
          <w:spacing w:val="-10"/>
        </w:rPr>
        <w:t xml:space="preserve"> </w:t>
      </w:r>
      <w:r>
        <w:t>Commission’s</w:t>
      </w:r>
      <w:r>
        <w:rPr>
          <w:spacing w:val="-9"/>
        </w:rPr>
        <w:t xml:space="preserve"> </w:t>
      </w:r>
      <w:r>
        <w:t>OID report</w:t>
      </w:r>
      <w:r>
        <w:rPr>
          <w:spacing w:val="-10"/>
        </w:rPr>
        <w:t xml:space="preserve"> </w:t>
      </w:r>
      <w:r>
        <w:t>highlights</w:t>
      </w:r>
      <w:r>
        <w:rPr>
          <w:spacing w:val="-9"/>
        </w:rPr>
        <w:t xml:space="preserve"> </w:t>
      </w:r>
      <w:r>
        <w:t>that</w:t>
      </w:r>
      <w:r>
        <w:rPr>
          <w:spacing w:val="-10"/>
        </w:rPr>
        <w:t xml:space="preserve"> </w:t>
      </w:r>
      <w:r>
        <w:t>there</w:t>
      </w:r>
      <w:r>
        <w:rPr>
          <w:spacing w:val="-10"/>
        </w:rPr>
        <w:t xml:space="preserve"> </w:t>
      </w:r>
      <w:r>
        <w:t>are</w:t>
      </w:r>
      <w:r>
        <w:rPr>
          <w:spacing w:val="-10"/>
        </w:rPr>
        <w:t xml:space="preserve"> </w:t>
      </w:r>
      <w:r>
        <w:t>some</w:t>
      </w:r>
      <w:r>
        <w:rPr>
          <w:spacing w:val="-11"/>
        </w:rPr>
        <w:t xml:space="preserve"> </w:t>
      </w:r>
      <w:r>
        <w:t>important</w:t>
      </w:r>
      <w:r>
        <w:rPr>
          <w:spacing w:val="-10"/>
        </w:rPr>
        <w:t xml:space="preserve"> </w:t>
      </w:r>
      <w:r>
        <w:t>cultural</w:t>
      </w:r>
      <w:r>
        <w:rPr>
          <w:spacing w:val="-10"/>
        </w:rPr>
        <w:t xml:space="preserve"> </w:t>
      </w:r>
      <w:r>
        <w:t>indicators,</w:t>
      </w:r>
      <w:r>
        <w:rPr>
          <w:spacing w:val="-10"/>
        </w:rPr>
        <w:t xml:space="preserve"> </w:t>
      </w:r>
      <w:r>
        <w:t>such</w:t>
      </w:r>
      <w:r>
        <w:rPr>
          <w:spacing w:val="-10"/>
        </w:rPr>
        <w:t xml:space="preserve"> </w:t>
      </w:r>
      <w:r>
        <w:t>as</w:t>
      </w:r>
      <w:r>
        <w:rPr>
          <w:spacing w:val="-9"/>
        </w:rPr>
        <w:t xml:space="preserve"> </w:t>
      </w:r>
      <w:r>
        <w:t>connection</w:t>
      </w:r>
      <w:r>
        <w:rPr>
          <w:spacing w:val="-10"/>
        </w:rPr>
        <w:t xml:space="preserve"> </w:t>
      </w:r>
      <w:r>
        <w:t>to</w:t>
      </w:r>
      <w:r>
        <w:rPr>
          <w:spacing w:val="-8"/>
        </w:rPr>
        <w:t xml:space="preserve"> </w:t>
      </w:r>
      <w:r>
        <w:t>country</w:t>
      </w:r>
      <w:r>
        <w:rPr>
          <w:spacing w:val="-9"/>
        </w:rPr>
        <w:t xml:space="preserve"> </w:t>
      </w:r>
      <w:r>
        <w:t>and</w:t>
      </w:r>
      <w:r>
        <w:rPr>
          <w:spacing w:val="-11"/>
        </w:rPr>
        <w:t xml:space="preserve"> </w:t>
      </w:r>
      <w:r>
        <w:t>language maintenance and revitalisation where outcomes are better in remote areas (SCRGSP,</w:t>
      </w:r>
      <w:r>
        <w:rPr>
          <w:spacing w:val="-3"/>
        </w:rPr>
        <w:t xml:space="preserve"> </w:t>
      </w:r>
      <w:r>
        <w:t>2016).</w:t>
      </w:r>
    </w:p>
    <w:p w:rsidR="00135913" w:rsidRDefault="00135913" w:rsidP="007622E8">
      <w:pPr>
        <w:pStyle w:val="BodyText"/>
        <w:spacing w:before="8"/>
        <w:ind w:left="1440"/>
      </w:pPr>
    </w:p>
    <w:p w:rsidR="00135913" w:rsidRDefault="00135913" w:rsidP="007622E8">
      <w:pPr>
        <w:pStyle w:val="BodyText"/>
        <w:spacing w:before="1" w:line="312" w:lineRule="auto"/>
        <w:ind w:left="1440" w:right="1440"/>
        <w:jc w:val="both"/>
      </w:pPr>
      <w:r>
        <w:t>There are difficulties in establishing long-term trends and in making long term predictions, particularly given the complex nature of disadvantage and how disadvantage evolves over life cycles and generations (Hunter 2007; Altman 2008). Altman notes that it is likely that the long run trends in Indigenous socioeconomic status will be positive and that the recent discourse around policy failure are likely to be</w:t>
      </w:r>
      <w:r>
        <w:rPr>
          <w:spacing w:val="-13"/>
        </w:rPr>
        <w:t xml:space="preserve"> </w:t>
      </w:r>
      <w:r>
        <w:t>overstated.</w:t>
      </w:r>
    </w:p>
    <w:p w:rsidR="00135913" w:rsidRDefault="00135913" w:rsidP="007622E8">
      <w:pPr>
        <w:pStyle w:val="BodyText"/>
        <w:spacing w:before="8"/>
        <w:ind w:left="1440"/>
      </w:pPr>
    </w:p>
    <w:p w:rsidR="00135913" w:rsidRDefault="00135913" w:rsidP="007622E8">
      <w:pPr>
        <w:pStyle w:val="BodyText"/>
        <w:spacing w:line="312" w:lineRule="auto"/>
        <w:ind w:left="1440" w:right="1436"/>
        <w:jc w:val="both"/>
      </w:pPr>
      <w:r>
        <w:t>The OID report stresses that only a small number of Closing the Gap programs have been rigorously evaluated and suggests that there is a need for more and better-quality evaluations of Indigenous policies and programs nationally to gain better understanding of what works to improve outcomes for Aboriginal and Torres Strait Islander Australians (SCRGSP,</w:t>
      </w:r>
      <w:r>
        <w:rPr>
          <w:spacing w:val="3"/>
        </w:rPr>
        <w:t xml:space="preserve"> </w:t>
      </w:r>
      <w:r>
        <w:t>2016).</w:t>
      </w:r>
    </w:p>
    <w:p w:rsidR="00135913" w:rsidRDefault="00135913" w:rsidP="007622E8">
      <w:pPr>
        <w:pStyle w:val="BodyText"/>
        <w:spacing w:before="8"/>
        <w:ind w:left="1440"/>
      </w:pPr>
    </w:p>
    <w:p w:rsidR="00135913" w:rsidRDefault="00135913" w:rsidP="007622E8">
      <w:pPr>
        <w:pStyle w:val="Heading4"/>
        <w:ind w:left="1440"/>
      </w:pPr>
      <w:r>
        <w:t>Good Practice – Priorities for</w:t>
      </w:r>
      <w:r>
        <w:rPr>
          <w:spacing w:val="-18"/>
        </w:rPr>
        <w:t xml:space="preserve"> </w:t>
      </w:r>
      <w:r>
        <w:t>Action</w:t>
      </w:r>
    </w:p>
    <w:p w:rsidR="00135913" w:rsidRDefault="00135913" w:rsidP="007622E8">
      <w:pPr>
        <w:pStyle w:val="BodyText"/>
        <w:spacing w:before="8"/>
        <w:ind w:left="1440"/>
        <w:rPr>
          <w:b/>
          <w:sz w:val="25"/>
        </w:rPr>
      </w:pPr>
    </w:p>
    <w:p w:rsidR="00135913" w:rsidRDefault="00135913" w:rsidP="007622E8">
      <w:pPr>
        <w:pStyle w:val="BodyText"/>
        <w:spacing w:line="312" w:lineRule="auto"/>
        <w:ind w:left="1440" w:right="1441"/>
        <w:jc w:val="both"/>
      </w:pPr>
      <w:r>
        <w:t>While most of the literature discusses Closing the Gap in relation to specific programs focused in the area of health, education, and employment, some broader themes have been identified in term of good practice and priorities for action and these are discussed below.</w:t>
      </w:r>
    </w:p>
    <w:p w:rsidR="00135913" w:rsidRDefault="00135913" w:rsidP="007622E8">
      <w:pPr>
        <w:pStyle w:val="BodyText"/>
        <w:spacing w:before="9"/>
        <w:ind w:left="1440"/>
      </w:pPr>
    </w:p>
    <w:p w:rsidR="00135913" w:rsidRDefault="00135913" w:rsidP="007622E8">
      <w:pPr>
        <w:pStyle w:val="BodyText"/>
        <w:spacing w:line="312" w:lineRule="auto"/>
        <w:ind w:left="1440" w:right="1437"/>
        <w:jc w:val="both"/>
      </w:pPr>
      <w:r>
        <w:t>An extensive review of the literature undertaken by the Closing the Gap Clearinghouse in 2012 identified the following key factors in relation to what works to overcome Indigenous disadvantage:</w:t>
      </w:r>
    </w:p>
    <w:p w:rsidR="00135913" w:rsidRDefault="00135913" w:rsidP="007622E8">
      <w:pPr>
        <w:pStyle w:val="BodyText"/>
        <w:spacing w:before="7"/>
        <w:ind w:left="1440"/>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flexibility in design and delivery so that local needs and contexts can be taken into</w:t>
      </w:r>
      <w:r>
        <w:rPr>
          <w:spacing w:val="-8"/>
        </w:rPr>
        <w:t xml:space="preserve"> </w:t>
      </w:r>
      <w:r>
        <w:t>account</w:t>
      </w:r>
    </w:p>
    <w:p w:rsidR="00135913" w:rsidRDefault="00135913" w:rsidP="007622E8">
      <w:pPr>
        <w:pStyle w:val="BodyText"/>
        <w:spacing w:before="7"/>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community involvement and engagement in both the development and delivery of</w:t>
      </w:r>
      <w:r>
        <w:rPr>
          <w:spacing w:val="-8"/>
        </w:rPr>
        <w:t xml:space="preserve"> </w:t>
      </w:r>
      <w:r>
        <w:t>programs</w:t>
      </w:r>
    </w:p>
    <w:p w:rsidR="00135913" w:rsidRDefault="00135913" w:rsidP="007622E8">
      <w:pPr>
        <w:pStyle w:val="BodyText"/>
        <w:spacing w:before="10"/>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the importance of building trust and</w:t>
      </w:r>
      <w:r>
        <w:rPr>
          <w:spacing w:val="-5"/>
        </w:rPr>
        <w:t xml:space="preserve"> </w:t>
      </w:r>
      <w:r>
        <w:t>relationships</w:t>
      </w:r>
    </w:p>
    <w:p w:rsidR="00135913" w:rsidRDefault="00135913" w:rsidP="007622E8">
      <w:pPr>
        <w:pStyle w:val="BodyText"/>
        <w:spacing w:before="8"/>
        <w:ind w:left="1440"/>
        <w:rPr>
          <w:sz w:val="25"/>
        </w:rPr>
      </w:pPr>
    </w:p>
    <w:p w:rsidR="00135913" w:rsidRDefault="00135913" w:rsidP="007622E8">
      <w:pPr>
        <w:pStyle w:val="BodyText"/>
        <w:tabs>
          <w:tab w:val="left" w:pos="2189"/>
        </w:tabs>
        <w:ind w:left="1440"/>
      </w:pPr>
      <w:r>
        <w:rPr>
          <w:rFonts w:ascii="Wingdings 2" w:hAnsi="Wingdings 2"/>
          <w:color w:val="DA291C"/>
        </w:rPr>
        <w:t></w:t>
      </w:r>
      <w:r>
        <w:rPr>
          <w:rFonts w:ascii="Wingdings 2" w:hAnsi="Wingdings 2"/>
          <w:color w:val="DA291C"/>
        </w:rPr>
        <w:tab/>
      </w:r>
      <w:r>
        <w:t>a well-trained and well-resourced workforce, with an emphasis on retention of</w:t>
      </w:r>
      <w:r>
        <w:rPr>
          <w:spacing w:val="-3"/>
        </w:rPr>
        <w:t xml:space="preserve"> </w:t>
      </w:r>
      <w:r>
        <w:t>staff</w:t>
      </w:r>
    </w:p>
    <w:p w:rsidR="00135913" w:rsidRDefault="00135913" w:rsidP="007622E8">
      <w:pPr>
        <w:pStyle w:val="BodyText"/>
        <w:spacing w:before="8"/>
        <w:ind w:left="1440"/>
        <w:rPr>
          <w:sz w:val="25"/>
        </w:rPr>
      </w:pPr>
    </w:p>
    <w:p w:rsidR="00135913" w:rsidRDefault="00135913" w:rsidP="007622E8">
      <w:pPr>
        <w:pStyle w:val="BodyText"/>
        <w:tabs>
          <w:tab w:val="left" w:pos="2148"/>
        </w:tabs>
        <w:ind w:left="1440"/>
      </w:pPr>
      <w:r>
        <w:rPr>
          <w:rFonts w:ascii="Wingdings 2" w:hAnsi="Wingdings 2"/>
          <w:color w:val="DA291C"/>
        </w:rPr>
        <w:t></w:t>
      </w:r>
      <w:r>
        <w:rPr>
          <w:rFonts w:ascii="Wingdings 2" w:hAnsi="Wingdings 2"/>
          <w:color w:val="DA291C"/>
        </w:rPr>
        <w:tab/>
      </w:r>
      <w:r>
        <w:t>continuity and coordination of services (Australian Institute of Health and Welfare,</w:t>
      </w:r>
      <w:r>
        <w:rPr>
          <w:spacing w:val="-4"/>
        </w:rPr>
        <w:t xml:space="preserve"> </w:t>
      </w:r>
      <w:r>
        <w:t>2013)</w:t>
      </w:r>
    </w:p>
    <w:p w:rsidR="00135913" w:rsidRDefault="00135913" w:rsidP="00135913">
      <w:pPr>
        <w:sectPr w:rsidR="00135913">
          <w:pgSz w:w="11910" w:h="16840"/>
          <w:pgMar w:top="1380" w:right="0" w:bottom="980" w:left="0" w:header="0" w:footer="798" w:gutter="0"/>
          <w:cols w:space="720"/>
        </w:sectPr>
      </w:pPr>
    </w:p>
    <w:p w:rsidR="00135913" w:rsidRDefault="00135913" w:rsidP="007622E8">
      <w:pPr>
        <w:pStyle w:val="BodyText"/>
        <w:spacing w:before="41"/>
        <w:ind w:left="1440"/>
      </w:pPr>
      <w:r>
        <w:t>This list is regularly cited in relation to ‘what works’ (Cox, 2014).</w:t>
      </w:r>
    </w:p>
    <w:p w:rsidR="00135913" w:rsidRDefault="00135913" w:rsidP="007622E8">
      <w:pPr>
        <w:pStyle w:val="BodyText"/>
        <w:spacing w:before="7"/>
        <w:ind w:left="1440"/>
        <w:rPr>
          <w:sz w:val="25"/>
        </w:rPr>
      </w:pPr>
    </w:p>
    <w:p w:rsidR="00135913" w:rsidRDefault="00135913" w:rsidP="007622E8">
      <w:pPr>
        <w:pStyle w:val="BodyText"/>
        <w:spacing w:line="312" w:lineRule="auto"/>
        <w:ind w:left="1440" w:right="1435"/>
        <w:jc w:val="both"/>
      </w:pPr>
      <w:r>
        <w:t>There have been some evaluations and formal reviews of some of the cross-cutting, Indigenous-specific National Partnership Agreements and other initiatives which shed some light on what has worked. For example, an evaluation of the National Partnership Agreement on Remote Service Delivery published in 2013 showed mixed results with positive results around increases in service provision in target communities and improved service coordination, however, local service providers also reported that there had been limited achievements against Closing the Gap targets. The evaluation also found that there had been challenges in realising community engagement aspirations with the implementation of the Agreement and that greater devolution of decision-making responsibility to regional and local levels would improve the ability of Government to be responsive to community needs (Australian Government, 2014, p. 7).</w:t>
      </w:r>
    </w:p>
    <w:p w:rsidR="00135913" w:rsidRDefault="00135913" w:rsidP="007622E8">
      <w:pPr>
        <w:pStyle w:val="BodyText"/>
        <w:spacing w:before="2"/>
        <w:ind w:left="1440"/>
        <w:rPr>
          <w:sz w:val="26"/>
        </w:rPr>
      </w:pPr>
    </w:p>
    <w:p w:rsidR="00135913" w:rsidRDefault="00135913" w:rsidP="007622E8">
      <w:pPr>
        <w:pStyle w:val="BodyText"/>
        <w:spacing w:line="312" w:lineRule="auto"/>
        <w:ind w:left="1440" w:right="1435"/>
        <w:jc w:val="both"/>
      </w:pPr>
      <w:r>
        <w:t>Empowerment of Aboriginal and Torres Strait islander services and communities is a consistent theme in the literature</w:t>
      </w:r>
      <w:r>
        <w:rPr>
          <w:spacing w:val="-10"/>
        </w:rPr>
        <w:t xml:space="preserve"> </w:t>
      </w:r>
      <w:r>
        <w:t>and</w:t>
      </w:r>
      <w:r>
        <w:rPr>
          <w:spacing w:val="-11"/>
        </w:rPr>
        <w:t xml:space="preserve"> </w:t>
      </w:r>
      <w:r>
        <w:t>has</w:t>
      </w:r>
      <w:r>
        <w:rPr>
          <w:spacing w:val="-8"/>
        </w:rPr>
        <w:t xml:space="preserve"> </w:t>
      </w:r>
      <w:r>
        <w:t>been</w:t>
      </w:r>
      <w:r>
        <w:rPr>
          <w:spacing w:val="-8"/>
        </w:rPr>
        <w:t xml:space="preserve"> </w:t>
      </w:r>
      <w:r>
        <w:t>explicated</w:t>
      </w:r>
      <w:r>
        <w:rPr>
          <w:spacing w:val="-11"/>
        </w:rPr>
        <w:t xml:space="preserve"> </w:t>
      </w:r>
      <w:r>
        <w:t>in</w:t>
      </w:r>
      <w:r>
        <w:rPr>
          <w:spacing w:val="-9"/>
        </w:rPr>
        <w:t xml:space="preserve"> </w:t>
      </w:r>
      <w:r>
        <w:t>detail</w:t>
      </w:r>
      <w:r>
        <w:rPr>
          <w:spacing w:val="-9"/>
        </w:rPr>
        <w:t xml:space="preserve"> </w:t>
      </w:r>
      <w:r>
        <w:t>in</w:t>
      </w:r>
      <w:r>
        <w:rPr>
          <w:spacing w:val="-9"/>
        </w:rPr>
        <w:t xml:space="preserve"> </w:t>
      </w:r>
      <w:r>
        <w:t>the</w:t>
      </w:r>
      <w:r>
        <w:rPr>
          <w:spacing w:val="-10"/>
        </w:rPr>
        <w:t xml:space="preserve"> </w:t>
      </w:r>
      <w:r>
        <w:t>Empowered</w:t>
      </w:r>
      <w:r>
        <w:rPr>
          <w:spacing w:val="-10"/>
        </w:rPr>
        <w:t xml:space="preserve"> </w:t>
      </w:r>
      <w:r>
        <w:t>Communities:</w:t>
      </w:r>
      <w:r>
        <w:rPr>
          <w:spacing w:val="-9"/>
        </w:rPr>
        <w:t xml:space="preserve"> </w:t>
      </w:r>
      <w:r>
        <w:t>Empowered</w:t>
      </w:r>
      <w:r>
        <w:rPr>
          <w:spacing w:val="-8"/>
        </w:rPr>
        <w:t xml:space="preserve"> </w:t>
      </w:r>
      <w:r>
        <w:t>Peoples</w:t>
      </w:r>
      <w:r>
        <w:rPr>
          <w:spacing w:val="-2"/>
        </w:rPr>
        <w:t xml:space="preserve"> </w:t>
      </w:r>
      <w:r>
        <w:t>strategy</w:t>
      </w:r>
      <w:r>
        <w:rPr>
          <w:spacing w:val="-9"/>
        </w:rPr>
        <w:t xml:space="preserve"> </w:t>
      </w:r>
      <w:r>
        <w:t>with a headline policy agenda of Indigenous empowerment, and a paradigm shift away from the traditional social policy framework in which Indigenous affairs initiatives have been developed and delivered (Empowered Communities, 2015). The approach aims to link closing the gap goals with cultural recognition and determination, less duplication and red tape and a focus on investing in things that work (Empowered Communities,</w:t>
      </w:r>
      <w:r>
        <w:rPr>
          <w:spacing w:val="-1"/>
        </w:rPr>
        <w:t xml:space="preserve"> </w:t>
      </w:r>
      <w:r>
        <w:t>2015).</w:t>
      </w:r>
    </w:p>
    <w:p w:rsidR="00135913" w:rsidRDefault="00135913" w:rsidP="007622E8">
      <w:pPr>
        <w:pStyle w:val="BodyText"/>
        <w:spacing w:before="7"/>
        <w:ind w:left="1440"/>
      </w:pPr>
    </w:p>
    <w:p w:rsidR="00135913" w:rsidRDefault="00135913" w:rsidP="007622E8">
      <w:pPr>
        <w:pStyle w:val="BodyText"/>
        <w:spacing w:line="312" w:lineRule="auto"/>
        <w:ind w:left="1440" w:right="1442"/>
        <w:jc w:val="both"/>
      </w:pPr>
      <w:r>
        <w:t>This literature review has identified that, apart from the 2012 review by the Closing the Gap Clearinghouse, there</w:t>
      </w:r>
      <w:r>
        <w:rPr>
          <w:spacing w:val="-6"/>
        </w:rPr>
        <w:t xml:space="preserve"> </w:t>
      </w:r>
      <w:r>
        <w:t>has</w:t>
      </w:r>
      <w:r>
        <w:rPr>
          <w:spacing w:val="-4"/>
        </w:rPr>
        <w:t xml:space="preserve"> </w:t>
      </w:r>
      <w:r>
        <w:t>been</w:t>
      </w:r>
      <w:r>
        <w:rPr>
          <w:spacing w:val="-3"/>
        </w:rPr>
        <w:t xml:space="preserve"> </w:t>
      </w:r>
      <w:r>
        <w:t>limited</w:t>
      </w:r>
      <w:r>
        <w:rPr>
          <w:spacing w:val="-6"/>
        </w:rPr>
        <w:t xml:space="preserve"> </w:t>
      </w:r>
      <w:r>
        <w:t>attempts</w:t>
      </w:r>
      <w:r>
        <w:rPr>
          <w:spacing w:val="-5"/>
        </w:rPr>
        <w:t xml:space="preserve"> </w:t>
      </w:r>
      <w:r>
        <w:t>to</w:t>
      </w:r>
      <w:r>
        <w:rPr>
          <w:spacing w:val="-5"/>
        </w:rPr>
        <w:t xml:space="preserve"> </w:t>
      </w:r>
      <w:r>
        <w:t>bring</w:t>
      </w:r>
      <w:r>
        <w:rPr>
          <w:spacing w:val="-5"/>
        </w:rPr>
        <w:t xml:space="preserve"> </w:t>
      </w:r>
      <w:r>
        <w:t>together</w:t>
      </w:r>
      <w:r>
        <w:rPr>
          <w:spacing w:val="-5"/>
        </w:rPr>
        <w:t xml:space="preserve"> </w:t>
      </w:r>
      <w:r>
        <w:t>and</w:t>
      </w:r>
      <w:r>
        <w:rPr>
          <w:spacing w:val="-6"/>
        </w:rPr>
        <w:t xml:space="preserve"> </w:t>
      </w:r>
      <w:r>
        <w:t>synthesise</w:t>
      </w:r>
      <w:r>
        <w:rPr>
          <w:spacing w:val="-7"/>
        </w:rPr>
        <w:t xml:space="preserve"> </w:t>
      </w:r>
      <w:r>
        <w:t>findings</w:t>
      </w:r>
      <w:r>
        <w:rPr>
          <w:spacing w:val="-4"/>
        </w:rPr>
        <w:t xml:space="preserve"> </w:t>
      </w:r>
      <w:r>
        <w:t>from</w:t>
      </w:r>
      <w:r>
        <w:rPr>
          <w:spacing w:val="-5"/>
        </w:rPr>
        <w:t xml:space="preserve"> </w:t>
      </w:r>
      <w:r>
        <w:t>research</w:t>
      </w:r>
      <w:r>
        <w:rPr>
          <w:spacing w:val="-4"/>
        </w:rPr>
        <w:t xml:space="preserve"> </w:t>
      </w:r>
      <w:r>
        <w:t>and</w:t>
      </w:r>
      <w:r>
        <w:rPr>
          <w:spacing w:val="-7"/>
        </w:rPr>
        <w:t xml:space="preserve"> </w:t>
      </w:r>
      <w:r>
        <w:t>evaluation</w:t>
      </w:r>
      <w:r>
        <w:rPr>
          <w:spacing w:val="-5"/>
        </w:rPr>
        <w:t xml:space="preserve"> </w:t>
      </w:r>
      <w:r>
        <w:t>across the various Closing the Gap initiatives to identify what has worked and what lessons have been learned from the implementation of the overarching Closing the Gap Policy framework. This would be a useful input to the current refresh of Closing the</w:t>
      </w:r>
      <w:r>
        <w:rPr>
          <w:spacing w:val="-4"/>
        </w:rPr>
        <w:t xml:space="preserve"> </w:t>
      </w:r>
      <w:r>
        <w:t>Gap.</w:t>
      </w:r>
    </w:p>
    <w:p w:rsidR="00135913" w:rsidRDefault="00135913" w:rsidP="00135913">
      <w:pPr>
        <w:spacing w:line="312" w:lineRule="auto"/>
        <w:jc w:val="both"/>
        <w:sectPr w:rsidR="00135913">
          <w:pgSz w:w="11910" w:h="16840"/>
          <w:pgMar w:top="1380" w:right="0" w:bottom="980" w:left="0" w:header="0" w:footer="798" w:gutter="0"/>
          <w:cols w:space="720"/>
        </w:sectPr>
      </w:pPr>
    </w:p>
    <w:p w:rsidR="00135913" w:rsidRDefault="00135913" w:rsidP="00D76EAE">
      <w:pPr>
        <w:pStyle w:val="Heading3"/>
      </w:pPr>
      <w:r>
        <w:t>Conclusion and</w:t>
      </w:r>
      <w:r>
        <w:rPr>
          <w:spacing w:val="-20"/>
        </w:rPr>
        <w:t xml:space="preserve"> </w:t>
      </w:r>
      <w:r>
        <w:t>discussion</w:t>
      </w:r>
    </w:p>
    <w:p w:rsidR="00135913" w:rsidRDefault="00135913" w:rsidP="007622E8">
      <w:pPr>
        <w:pStyle w:val="BodyText"/>
        <w:spacing w:before="388" w:line="312" w:lineRule="auto"/>
        <w:ind w:left="1440" w:right="1437"/>
        <w:jc w:val="both"/>
      </w:pPr>
      <w:r>
        <w:t>Overall, this review found that there was very limited, published literature on the effectiveness and appropriateness of the overarching Closing the Gap policy framework including reflecting, acknowledging and reporting on lessons learned. In particular, there was very limited academic research on this</w:t>
      </w:r>
      <w:r>
        <w:rPr>
          <w:spacing w:val="-11"/>
        </w:rPr>
        <w:t xml:space="preserve"> </w:t>
      </w:r>
      <w:r>
        <w:t>topic.</w:t>
      </w:r>
    </w:p>
    <w:p w:rsidR="00135913" w:rsidRDefault="00135913" w:rsidP="007622E8">
      <w:pPr>
        <w:pStyle w:val="BodyText"/>
        <w:spacing w:before="9"/>
        <w:ind w:left="1440"/>
      </w:pPr>
    </w:p>
    <w:p w:rsidR="00135913" w:rsidRDefault="00135913" w:rsidP="007622E8">
      <w:pPr>
        <w:pStyle w:val="BodyText"/>
        <w:spacing w:line="312" w:lineRule="auto"/>
        <w:ind w:left="1440" w:right="1438"/>
        <w:jc w:val="both"/>
      </w:pPr>
      <w:r>
        <w:t>Overall,</w:t>
      </w:r>
      <w:r>
        <w:rPr>
          <w:spacing w:val="-8"/>
        </w:rPr>
        <w:t xml:space="preserve"> </w:t>
      </w:r>
      <w:r>
        <w:t>the</w:t>
      </w:r>
      <w:r>
        <w:rPr>
          <w:spacing w:val="-9"/>
        </w:rPr>
        <w:t xml:space="preserve"> </w:t>
      </w:r>
      <w:r>
        <w:t>literature</w:t>
      </w:r>
      <w:r>
        <w:rPr>
          <w:spacing w:val="-8"/>
        </w:rPr>
        <w:t xml:space="preserve"> </w:t>
      </w:r>
      <w:r>
        <w:t>concludes</w:t>
      </w:r>
      <w:r>
        <w:rPr>
          <w:spacing w:val="-8"/>
        </w:rPr>
        <w:t xml:space="preserve"> </w:t>
      </w:r>
      <w:r>
        <w:t>that</w:t>
      </w:r>
      <w:r>
        <w:rPr>
          <w:spacing w:val="-8"/>
        </w:rPr>
        <w:t xml:space="preserve"> </w:t>
      </w:r>
      <w:r>
        <w:t>there</w:t>
      </w:r>
      <w:r>
        <w:rPr>
          <w:spacing w:val="-9"/>
        </w:rPr>
        <w:t xml:space="preserve"> </w:t>
      </w:r>
      <w:r>
        <w:t>has</w:t>
      </w:r>
      <w:r>
        <w:rPr>
          <w:spacing w:val="-6"/>
        </w:rPr>
        <w:t xml:space="preserve"> </w:t>
      </w:r>
      <w:r>
        <w:t>been</w:t>
      </w:r>
      <w:r>
        <w:rPr>
          <w:spacing w:val="-8"/>
        </w:rPr>
        <w:t xml:space="preserve"> </w:t>
      </w:r>
      <w:r>
        <w:t>limited</w:t>
      </w:r>
      <w:r>
        <w:rPr>
          <w:spacing w:val="-7"/>
        </w:rPr>
        <w:t xml:space="preserve"> </w:t>
      </w:r>
      <w:r>
        <w:t>progress</w:t>
      </w:r>
      <w:r>
        <w:rPr>
          <w:spacing w:val="-4"/>
        </w:rPr>
        <w:t xml:space="preserve"> </w:t>
      </w:r>
      <w:r>
        <w:t>against</w:t>
      </w:r>
      <w:r>
        <w:rPr>
          <w:spacing w:val="-8"/>
        </w:rPr>
        <w:t xml:space="preserve"> </w:t>
      </w:r>
      <w:r>
        <w:t>the</w:t>
      </w:r>
      <w:r>
        <w:rPr>
          <w:spacing w:val="-9"/>
        </w:rPr>
        <w:t xml:space="preserve"> </w:t>
      </w:r>
      <w:r>
        <w:t>seven</w:t>
      </w:r>
      <w:r>
        <w:rPr>
          <w:spacing w:val="-7"/>
        </w:rPr>
        <w:t xml:space="preserve"> </w:t>
      </w:r>
      <w:r>
        <w:t>Closing</w:t>
      </w:r>
      <w:r>
        <w:rPr>
          <w:spacing w:val="-8"/>
        </w:rPr>
        <w:t xml:space="preserve"> </w:t>
      </w:r>
      <w:r>
        <w:t>the</w:t>
      </w:r>
      <w:r>
        <w:rPr>
          <w:spacing w:val="-9"/>
        </w:rPr>
        <w:t xml:space="preserve"> </w:t>
      </w:r>
      <w:r>
        <w:t>Gap</w:t>
      </w:r>
      <w:r>
        <w:rPr>
          <w:spacing w:val="-8"/>
        </w:rPr>
        <w:t xml:space="preserve"> </w:t>
      </w:r>
      <w:r>
        <w:t>targets with</w:t>
      </w:r>
      <w:r>
        <w:rPr>
          <w:spacing w:val="-5"/>
        </w:rPr>
        <w:t xml:space="preserve"> </w:t>
      </w:r>
      <w:r>
        <w:t>only</w:t>
      </w:r>
      <w:r>
        <w:rPr>
          <w:spacing w:val="-4"/>
        </w:rPr>
        <w:t xml:space="preserve"> </w:t>
      </w:r>
      <w:r>
        <w:t>one</w:t>
      </w:r>
      <w:r>
        <w:rPr>
          <w:spacing w:val="-5"/>
        </w:rPr>
        <w:t xml:space="preserve"> </w:t>
      </w:r>
      <w:r>
        <w:t>of</w:t>
      </w:r>
      <w:r>
        <w:rPr>
          <w:spacing w:val="-6"/>
        </w:rPr>
        <w:t xml:space="preserve"> </w:t>
      </w:r>
      <w:r>
        <w:t>the</w:t>
      </w:r>
      <w:r>
        <w:rPr>
          <w:spacing w:val="-3"/>
        </w:rPr>
        <w:t xml:space="preserve"> </w:t>
      </w:r>
      <w:r>
        <w:t>targets</w:t>
      </w:r>
      <w:r>
        <w:rPr>
          <w:spacing w:val="-4"/>
        </w:rPr>
        <w:t xml:space="preserve"> </w:t>
      </w:r>
      <w:r>
        <w:t>on</w:t>
      </w:r>
      <w:r>
        <w:rPr>
          <w:spacing w:val="-4"/>
        </w:rPr>
        <w:t xml:space="preserve"> </w:t>
      </w:r>
      <w:r>
        <w:t>track</w:t>
      </w:r>
      <w:r>
        <w:rPr>
          <w:spacing w:val="-6"/>
        </w:rPr>
        <w:t xml:space="preserve"> </w:t>
      </w:r>
      <w:r>
        <w:t>to</w:t>
      </w:r>
      <w:r>
        <w:rPr>
          <w:spacing w:val="-3"/>
        </w:rPr>
        <w:t xml:space="preserve"> </w:t>
      </w:r>
      <w:r>
        <w:t>be</w:t>
      </w:r>
      <w:r>
        <w:rPr>
          <w:spacing w:val="-3"/>
        </w:rPr>
        <w:t xml:space="preserve"> </w:t>
      </w:r>
      <w:r>
        <w:t>met.</w:t>
      </w:r>
      <w:r>
        <w:rPr>
          <w:spacing w:val="-2"/>
        </w:rPr>
        <w:t xml:space="preserve"> </w:t>
      </w:r>
      <w:r>
        <w:t>Progress</w:t>
      </w:r>
      <w:r>
        <w:rPr>
          <w:spacing w:val="-4"/>
        </w:rPr>
        <w:t xml:space="preserve"> </w:t>
      </w:r>
      <w:r>
        <w:t>varies</w:t>
      </w:r>
      <w:r>
        <w:rPr>
          <w:spacing w:val="-3"/>
        </w:rPr>
        <w:t xml:space="preserve"> </w:t>
      </w:r>
      <w:r>
        <w:t>significantly</w:t>
      </w:r>
      <w:r>
        <w:rPr>
          <w:spacing w:val="-3"/>
        </w:rPr>
        <w:t xml:space="preserve"> </w:t>
      </w:r>
      <w:r>
        <w:t>by jurisdiction</w:t>
      </w:r>
      <w:r>
        <w:rPr>
          <w:spacing w:val="-4"/>
        </w:rPr>
        <w:t xml:space="preserve"> </w:t>
      </w:r>
      <w:r>
        <w:t>and</w:t>
      </w:r>
      <w:r>
        <w:rPr>
          <w:spacing w:val="-6"/>
        </w:rPr>
        <w:t xml:space="preserve"> </w:t>
      </w:r>
      <w:r>
        <w:t>by</w:t>
      </w:r>
      <w:r>
        <w:rPr>
          <w:spacing w:val="-3"/>
        </w:rPr>
        <w:t xml:space="preserve"> </w:t>
      </w:r>
      <w:r>
        <w:t>remoteness, with progress being made in some locations against some of the targets. The literature also identifies some specific programs and initiatives that have positively contributed towards progress against the</w:t>
      </w:r>
      <w:r>
        <w:rPr>
          <w:spacing w:val="-24"/>
        </w:rPr>
        <w:t xml:space="preserve"> </w:t>
      </w:r>
      <w:r>
        <w:t>targets.</w:t>
      </w:r>
    </w:p>
    <w:p w:rsidR="00135913" w:rsidRDefault="00135913" w:rsidP="007622E8">
      <w:pPr>
        <w:pStyle w:val="BodyText"/>
        <w:spacing w:before="9"/>
        <w:ind w:left="1440"/>
      </w:pPr>
    </w:p>
    <w:p w:rsidR="00135913" w:rsidRDefault="00135913" w:rsidP="007622E8">
      <w:pPr>
        <w:pStyle w:val="BodyText"/>
        <w:spacing w:line="312" w:lineRule="auto"/>
        <w:ind w:left="1440" w:right="1440"/>
        <w:jc w:val="both"/>
      </w:pPr>
      <w:r>
        <w:t>There were a number of themes that emerged from a review of the limited, academic literature available for this review. Firstly, the literature emphasises the complexity of the challenge being addressed by the Closing the Gap initiative, particularly given the long-standing, entrenched inequalities faced by Aboriginal and Torres Strait</w:t>
      </w:r>
      <w:r>
        <w:rPr>
          <w:spacing w:val="-11"/>
        </w:rPr>
        <w:t xml:space="preserve"> </w:t>
      </w:r>
      <w:r>
        <w:t>Islander</w:t>
      </w:r>
      <w:r>
        <w:rPr>
          <w:spacing w:val="-9"/>
        </w:rPr>
        <w:t xml:space="preserve"> </w:t>
      </w:r>
      <w:r>
        <w:t>peoples</w:t>
      </w:r>
      <w:r>
        <w:rPr>
          <w:spacing w:val="-9"/>
        </w:rPr>
        <w:t xml:space="preserve"> </w:t>
      </w:r>
      <w:r>
        <w:t>in</w:t>
      </w:r>
      <w:r>
        <w:rPr>
          <w:spacing w:val="-10"/>
        </w:rPr>
        <w:t xml:space="preserve"> </w:t>
      </w:r>
      <w:r>
        <w:t>Australia</w:t>
      </w:r>
      <w:r>
        <w:rPr>
          <w:spacing w:val="-10"/>
        </w:rPr>
        <w:t xml:space="preserve"> </w:t>
      </w:r>
      <w:r>
        <w:t>and</w:t>
      </w:r>
      <w:r>
        <w:rPr>
          <w:spacing w:val="-11"/>
        </w:rPr>
        <w:t xml:space="preserve"> </w:t>
      </w:r>
      <w:r>
        <w:t>the</w:t>
      </w:r>
      <w:r>
        <w:rPr>
          <w:spacing w:val="-8"/>
        </w:rPr>
        <w:t xml:space="preserve"> </w:t>
      </w:r>
      <w:r>
        <w:t>interconnectedness</w:t>
      </w:r>
      <w:r>
        <w:rPr>
          <w:spacing w:val="-9"/>
        </w:rPr>
        <w:t xml:space="preserve"> </w:t>
      </w:r>
      <w:r>
        <w:t>of</w:t>
      </w:r>
      <w:r>
        <w:rPr>
          <w:spacing w:val="-11"/>
        </w:rPr>
        <w:t xml:space="preserve"> </w:t>
      </w:r>
      <w:r>
        <w:t>the</w:t>
      </w:r>
      <w:r>
        <w:rPr>
          <w:spacing w:val="-9"/>
        </w:rPr>
        <w:t xml:space="preserve"> </w:t>
      </w:r>
      <w:r>
        <w:t>indicators</w:t>
      </w:r>
      <w:r>
        <w:rPr>
          <w:spacing w:val="-9"/>
        </w:rPr>
        <w:t xml:space="preserve"> </w:t>
      </w:r>
      <w:r>
        <w:t>and</w:t>
      </w:r>
      <w:r>
        <w:rPr>
          <w:spacing w:val="-11"/>
        </w:rPr>
        <w:t xml:space="preserve"> </w:t>
      </w:r>
      <w:r>
        <w:t>targets</w:t>
      </w:r>
      <w:r>
        <w:rPr>
          <w:spacing w:val="-9"/>
        </w:rPr>
        <w:t xml:space="preserve"> </w:t>
      </w:r>
      <w:r>
        <w:t>which</w:t>
      </w:r>
      <w:r>
        <w:rPr>
          <w:spacing w:val="-10"/>
        </w:rPr>
        <w:t xml:space="preserve"> </w:t>
      </w:r>
      <w:r>
        <w:t>are</w:t>
      </w:r>
      <w:r>
        <w:rPr>
          <w:spacing w:val="-10"/>
        </w:rPr>
        <w:t xml:space="preserve"> </w:t>
      </w:r>
      <w:r>
        <w:t>the</w:t>
      </w:r>
      <w:r>
        <w:rPr>
          <w:spacing w:val="-9"/>
        </w:rPr>
        <w:t xml:space="preserve"> </w:t>
      </w:r>
      <w:r>
        <w:t>focus of the initiative. The literature stresses the need for a more holistic approach based on the social determinants of health that acknowledges the interconnectedness of these issues and incorporates a much broader set of indicators. Initiatives such as the Empowered Communities and National Aboriginal and Torres Strait Islander Health Plan are cited as recent policy developments which are in line with this approach.</w:t>
      </w:r>
    </w:p>
    <w:p w:rsidR="00135913" w:rsidRDefault="00135913" w:rsidP="007622E8">
      <w:pPr>
        <w:pStyle w:val="BodyText"/>
        <w:spacing w:before="6"/>
        <w:ind w:left="1440"/>
      </w:pPr>
    </w:p>
    <w:p w:rsidR="00135913" w:rsidRDefault="00135913" w:rsidP="007622E8">
      <w:pPr>
        <w:pStyle w:val="BodyText"/>
        <w:spacing w:line="312" w:lineRule="auto"/>
        <w:ind w:left="1440" w:right="1438"/>
        <w:jc w:val="both"/>
      </w:pPr>
      <w:r>
        <w:t>The literature also criticises the Closing the Gap initiative and its targets as having too strong a focus on individual responsibility and agency and that more attention needs to be paid to the context within which Aboriginal and Torres Strait Islander Communities live including structural imbalances, economics, racism and discrimination. The literature stresses that more emphasis needs to be placed on genuine engagement with, and</w:t>
      </w:r>
      <w:r>
        <w:rPr>
          <w:spacing w:val="-10"/>
        </w:rPr>
        <w:t xml:space="preserve"> </w:t>
      </w:r>
      <w:r>
        <w:t>empowerment</w:t>
      </w:r>
      <w:r>
        <w:rPr>
          <w:spacing w:val="-9"/>
        </w:rPr>
        <w:t xml:space="preserve"> </w:t>
      </w:r>
      <w:r>
        <w:t>of</w:t>
      </w:r>
      <w:r>
        <w:rPr>
          <w:spacing w:val="-10"/>
        </w:rPr>
        <w:t xml:space="preserve"> </w:t>
      </w:r>
      <w:r>
        <w:t>Aboriginal</w:t>
      </w:r>
      <w:r>
        <w:rPr>
          <w:spacing w:val="-9"/>
        </w:rPr>
        <w:t xml:space="preserve"> </w:t>
      </w:r>
      <w:r>
        <w:t>and</w:t>
      </w:r>
      <w:r>
        <w:rPr>
          <w:spacing w:val="-10"/>
        </w:rPr>
        <w:t xml:space="preserve"> </w:t>
      </w:r>
      <w:r>
        <w:t>Torres</w:t>
      </w:r>
      <w:r>
        <w:rPr>
          <w:spacing w:val="-8"/>
        </w:rPr>
        <w:t xml:space="preserve"> </w:t>
      </w:r>
      <w:r>
        <w:t>Strait</w:t>
      </w:r>
      <w:r>
        <w:rPr>
          <w:spacing w:val="-8"/>
        </w:rPr>
        <w:t xml:space="preserve"> </w:t>
      </w:r>
      <w:r>
        <w:t>Islander</w:t>
      </w:r>
      <w:r>
        <w:rPr>
          <w:spacing w:val="-6"/>
        </w:rPr>
        <w:t xml:space="preserve"> </w:t>
      </w:r>
      <w:r>
        <w:t>communities</w:t>
      </w:r>
      <w:r>
        <w:rPr>
          <w:spacing w:val="-7"/>
        </w:rPr>
        <w:t xml:space="preserve"> </w:t>
      </w:r>
      <w:r>
        <w:t>to</w:t>
      </w:r>
      <w:r>
        <w:rPr>
          <w:spacing w:val="-9"/>
        </w:rPr>
        <w:t xml:space="preserve"> </w:t>
      </w:r>
      <w:r>
        <w:t>implement</w:t>
      </w:r>
      <w:r>
        <w:rPr>
          <w:spacing w:val="-8"/>
        </w:rPr>
        <w:t xml:space="preserve"> </w:t>
      </w:r>
      <w:r>
        <w:t>this</w:t>
      </w:r>
      <w:r>
        <w:rPr>
          <w:spacing w:val="-8"/>
        </w:rPr>
        <w:t xml:space="preserve"> </w:t>
      </w:r>
      <w:r>
        <w:t>and</w:t>
      </w:r>
      <w:r>
        <w:rPr>
          <w:spacing w:val="-10"/>
        </w:rPr>
        <w:t xml:space="preserve"> </w:t>
      </w:r>
      <w:r>
        <w:t>other</w:t>
      </w:r>
      <w:r>
        <w:rPr>
          <w:spacing w:val="-8"/>
        </w:rPr>
        <w:t xml:space="preserve"> </w:t>
      </w:r>
      <w:r>
        <w:t>initiatives in the</w:t>
      </w:r>
      <w:r>
        <w:rPr>
          <w:spacing w:val="-2"/>
        </w:rPr>
        <w:t xml:space="preserve"> </w:t>
      </w:r>
      <w:r>
        <w:t>future.</w:t>
      </w:r>
    </w:p>
    <w:p w:rsidR="00135913" w:rsidRDefault="00135913" w:rsidP="007622E8">
      <w:pPr>
        <w:pStyle w:val="BodyText"/>
        <w:spacing w:before="9"/>
        <w:ind w:left="1440"/>
      </w:pPr>
    </w:p>
    <w:p w:rsidR="00135913" w:rsidRDefault="00135913" w:rsidP="007622E8">
      <w:pPr>
        <w:pStyle w:val="BodyText"/>
        <w:spacing w:line="312" w:lineRule="auto"/>
        <w:ind w:left="1440" w:right="1439"/>
        <w:jc w:val="both"/>
      </w:pPr>
      <w:r>
        <w:t>Finally, the literature criticises the approach to measurement and evaluation of the Closing the Gap initiative identifying the need for a broader set of indicators which have been developed in line with the aspirations of Aboriginal and Torres Strait Islander communities. It also identifies the need for more rigorous evaluation of key programs and initiatives to demonstrate progress in the future.</w:t>
      </w:r>
    </w:p>
    <w:p w:rsidR="00135913" w:rsidRDefault="00135913" w:rsidP="007622E8">
      <w:pPr>
        <w:pStyle w:val="BodyText"/>
        <w:spacing w:before="9"/>
        <w:ind w:left="1440"/>
      </w:pPr>
    </w:p>
    <w:p w:rsidR="00135913" w:rsidRDefault="00135913" w:rsidP="007622E8">
      <w:pPr>
        <w:pStyle w:val="BodyText"/>
        <w:spacing w:line="312" w:lineRule="auto"/>
        <w:ind w:left="1440" w:right="1444"/>
        <w:jc w:val="both"/>
      </w:pPr>
      <w:r>
        <w:t>Although outside the scope of this review, a substantial body of literature was identified which explored the effectiveness and progress of specific components or targets of the Closing the Gap initiative, however, there has</w:t>
      </w:r>
      <w:r>
        <w:rPr>
          <w:spacing w:val="-10"/>
        </w:rPr>
        <w:t xml:space="preserve"> </w:t>
      </w:r>
      <w:r>
        <w:t>been</w:t>
      </w:r>
      <w:r>
        <w:rPr>
          <w:spacing w:val="-10"/>
        </w:rPr>
        <w:t xml:space="preserve"> </w:t>
      </w:r>
      <w:r>
        <w:t>very</w:t>
      </w:r>
      <w:r>
        <w:rPr>
          <w:spacing w:val="-8"/>
        </w:rPr>
        <w:t xml:space="preserve"> </w:t>
      </w:r>
      <w:r>
        <w:t>limited</w:t>
      </w:r>
      <w:r>
        <w:rPr>
          <w:spacing w:val="-11"/>
        </w:rPr>
        <w:t xml:space="preserve"> </w:t>
      </w:r>
      <w:r>
        <w:t>attempts</w:t>
      </w:r>
      <w:r>
        <w:rPr>
          <w:spacing w:val="-9"/>
        </w:rPr>
        <w:t xml:space="preserve"> </w:t>
      </w:r>
      <w:r>
        <w:t>to</w:t>
      </w:r>
      <w:r>
        <w:rPr>
          <w:spacing w:val="-10"/>
        </w:rPr>
        <w:t xml:space="preserve"> </w:t>
      </w:r>
      <w:r>
        <w:t>synthesise</w:t>
      </w:r>
      <w:r>
        <w:rPr>
          <w:spacing w:val="-11"/>
        </w:rPr>
        <w:t xml:space="preserve"> </w:t>
      </w:r>
      <w:r>
        <w:t>the</w:t>
      </w:r>
      <w:r>
        <w:rPr>
          <w:spacing w:val="-11"/>
        </w:rPr>
        <w:t xml:space="preserve"> </w:t>
      </w:r>
      <w:r>
        <w:t>findings</w:t>
      </w:r>
      <w:r>
        <w:rPr>
          <w:spacing w:val="-9"/>
        </w:rPr>
        <w:t xml:space="preserve"> </w:t>
      </w:r>
      <w:r>
        <w:t>of</w:t>
      </w:r>
      <w:r>
        <w:rPr>
          <w:spacing w:val="-8"/>
        </w:rPr>
        <w:t xml:space="preserve"> </w:t>
      </w:r>
      <w:r>
        <w:t>this</w:t>
      </w:r>
      <w:r>
        <w:rPr>
          <w:spacing w:val="-9"/>
        </w:rPr>
        <w:t xml:space="preserve"> </w:t>
      </w:r>
      <w:r>
        <w:t>body</w:t>
      </w:r>
      <w:r>
        <w:rPr>
          <w:spacing w:val="-7"/>
        </w:rPr>
        <w:t xml:space="preserve"> </w:t>
      </w:r>
      <w:r>
        <w:t>of</w:t>
      </w:r>
      <w:r>
        <w:rPr>
          <w:spacing w:val="-11"/>
        </w:rPr>
        <w:t xml:space="preserve"> </w:t>
      </w:r>
      <w:r>
        <w:t>research</w:t>
      </w:r>
      <w:r>
        <w:rPr>
          <w:spacing w:val="-8"/>
        </w:rPr>
        <w:t xml:space="preserve"> </w:t>
      </w:r>
      <w:r>
        <w:t>to</w:t>
      </w:r>
      <w:r>
        <w:rPr>
          <w:spacing w:val="-10"/>
        </w:rPr>
        <w:t xml:space="preserve"> </w:t>
      </w:r>
      <w:r>
        <w:t>provide</w:t>
      </w:r>
      <w:r>
        <w:rPr>
          <w:spacing w:val="-9"/>
        </w:rPr>
        <w:t xml:space="preserve"> </w:t>
      </w:r>
      <w:r>
        <w:t>overall</w:t>
      </w:r>
      <w:r>
        <w:rPr>
          <w:spacing w:val="-8"/>
        </w:rPr>
        <w:t xml:space="preserve"> </w:t>
      </w:r>
      <w:r>
        <w:t>conclusions about</w:t>
      </w:r>
      <w:r>
        <w:rPr>
          <w:spacing w:val="-9"/>
        </w:rPr>
        <w:t xml:space="preserve"> </w:t>
      </w:r>
      <w:r>
        <w:t>the</w:t>
      </w:r>
      <w:r>
        <w:rPr>
          <w:spacing w:val="-6"/>
        </w:rPr>
        <w:t xml:space="preserve"> </w:t>
      </w:r>
      <w:r>
        <w:t>effectiveness</w:t>
      </w:r>
      <w:r>
        <w:rPr>
          <w:spacing w:val="-8"/>
        </w:rPr>
        <w:t xml:space="preserve"> </w:t>
      </w:r>
      <w:r>
        <w:t>and</w:t>
      </w:r>
      <w:r>
        <w:rPr>
          <w:spacing w:val="-9"/>
        </w:rPr>
        <w:t xml:space="preserve"> </w:t>
      </w:r>
      <w:r>
        <w:t>appropriateness</w:t>
      </w:r>
      <w:r>
        <w:rPr>
          <w:spacing w:val="-8"/>
        </w:rPr>
        <w:t xml:space="preserve"> </w:t>
      </w:r>
      <w:r>
        <w:t>of</w:t>
      </w:r>
      <w:r>
        <w:rPr>
          <w:spacing w:val="-9"/>
        </w:rPr>
        <w:t xml:space="preserve"> </w:t>
      </w:r>
      <w:r>
        <w:t>the</w:t>
      </w:r>
      <w:r>
        <w:rPr>
          <w:spacing w:val="-8"/>
        </w:rPr>
        <w:t xml:space="preserve"> </w:t>
      </w:r>
      <w:r>
        <w:t>overarching</w:t>
      </w:r>
      <w:r>
        <w:rPr>
          <w:spacing w:val="-9"/>
        </w:rPr>
        <w:t xml:space="preserve"> </w:t>
      </w:r>
      <w:r>
        <w:t>Closing</w:t>
      </w:r>
      <w:r>
        <w:rPr>
          <w:spacing w:val="-7"/>
        </w:rPr>
        <w:t xml:space="preserve"> </w:t>
      </w:r>
      <w:r>
        <w:t>the</w:t>
      </w:r>
      <w:r>
        <w:rPr>
          <w:spacing w:val="-7"/>
        </w:rPr>
        <w:t xml:space="preserve"> </w:t>
      </w:r>
      <w:r>
        <w:t>Gap</w:t>
      </w:r>
      <w:r>
        <w:rPr>
          <w:spacing w:val="-8"/>
        </w:rPr>
        <w:t xml:space="preserve"> </w:t>
      </w:r>
      <w:r>
        <w:t>policy</w:t>
      </w:r>
      <w:r>
        <w:rPr>
          <w:spacing w:val="-5"/>
        </w:rPr>
        <w:t xml:space="preserve"> </w:t>
      </w:r>
      <w:r>
        <w:t>framework.</w:t>
      </w:r>
      <w:r>
        <w:rPr>
          <w:spacing w:val="-8"/>
        </w:rPr>
        <w:t xml:space="preserve"> </w:t>
      </w:r>
      <w:r>
        <w:t>This</w:t>
      </w:r>
      <w:r>
        <w:rPr>
          <w:spacing w:val="-7"/>
        </w:rPr>
        <w:t xml:space="preserve"> </w:t>
      </w:r>
      <w:r>
        <w:t>is</w:t>
      </w:r>
      <w:r>
        <w:rPr>
          <w:spacing w:val="-8"/>
        </w:rPr>
        <w:t xml:space="preserve"> </w:t>
      </w:r>
      <w:r>
        <w:t>a</w:t>
      </w:r>
      <w:r>
        <w:rPr>
          <w:spacing w:val="-7"/>
        </w:rPr>
        <w:t xml:space="preserve"> </w:t>
      </w:r>
      <w:r>
        <w:t>key gap</w:t>
      </w:r>
      <w:r>
        <w:rPr>
          <w:spacing w:val="-3"/>
        </w:rPr>
        <w:t xml:space="preserve"> </w:t>
      </w:r>
      <w:r>
        <w:t>in</w:t>
      </w:r>
      <w:r>
        <w:rPr>
          <w:spacing w:val="-2"/>
        </w:rPr>
        <w:t xml:space="preserve"> </w:t>
      </w:r>
      <w:r>
        <w:t>the</w:t>
      </w:r>
      <w:r>
        <w:rPr>
          <w:spacing w:val="-3"/>
        </w:rPr>
        <w:t xml:space="preserve"> </w:t>
      </w:r>
      <w:r>
        <w:t>evidence</w:t>
      </w:r>
      <w:r>
        <w:rPr>
          <w:spacing w:val="-3"/>
        </w:rPr>
        <w:t xml:space="preserve"> </w:t>
      </w:r>
      <w:r>
        <w:t>base and</w:t>
      </w:r>
      <w:r>
        <w:rPr>
          <w:spacing w:val="-1"/>
        </w:rPr>
        <w:t xml:space="preserve"> </w:t>
      </w:r>
      <w:r>
        <w:t>would</w:t>
      </w:r>
      <w:r>
        <w:rPr>
          <w:spacing w:val="-3"/>
        </w:rPr>
        <w:t xml:space="preserve"> </w:t>
      </w:r>
      <w:r>
        <w:t>be</w:t>
      </w:r>
      <w:r>
        <w:rPr>
          <w:spacing w:val="-1"/>
        </w:rPr>
        <w:t xml:space="preserve"> </w:t>
      </w:r>
      <w:r>
        <w:t>a</w:t>
      </w:r>
      <w:r>
        <w:rPr>
          <w:spacing w:val="-1"/>
        </w:rPr>
        <w:t xml:space="preserve"> </w:t>
      </w:r>
      <w:r>
        <w:t>valuable</w:t>
      </w:r>
      <w:r>
        <w:rPr>
          <w:spacing w:val="-3"/>
        </w:rPr>
        <w:t xml:space="preserve"> </w:t>
      </w:r>
      <w:r>
        <w:t>input</w:t>
      </w:r>
      <w:r>
        <w:rPr>
          <w:spacing w:val="-2"/>
        </w:rPr>
        <w:t xml:space="preserve"> </w:t>
      </w:r>
      <w:r>
        <w:t>to</w:t>
      </w:r>
      <w:r>
        <w:rPr>
          <w:spacing w:val="-2"/>
        </w:rPr>
        <w:t xml:space="preserve"> </w:t>
      </w:r>
      <w:r>
        <w:t>the</w:t>
      </w:r>
      <w:r>
        <w:rPr>
          <w:spacing w:val="-3"/>
        </w:rPr>
        <w:t xml:space="preserve"> </w:t>
      </w:r>
      <w:r>
        <w:t>current</w:t>
      </w:r>
      <w:r>
        <w:rPr>
          <w:spacing w:val="-2"/>
        </w:rPr>
        <w:t xml:space="preserve"> </w:t>
      </w:r>
      <w:r>
        <w:t>refresh</w:t>
      </w:r>
      <w:r>
        <w:rPr>
          <w:spacing w:val="-3"/>
        </w:rPr>
        <w:t xml:space="preserve"> </w:t>
      </w:r>
      <w:r>
        <w:t>of</w:t>
      </w:r>
      <w:r>
        <w:rPr>
          <w:spacing w:val="-3"/>
        </w:rPr>
        <w:t xml:space="preserve"> </w:t>
      </w:r>
      <w:r>
        <w:t>the</w:t>
      </w:r>
      <w:r>
        <w:rPr>
          <w:spacing w:val="-3"/>
        </w:rPr>
        <w:t xml:space="preserve"> </w:t>
      </w:r>
      <w:r>
        <w:t>Closing</w:t>
      </w:r>
      <w:r>
        <w:rPr>
          <w:spacing w:val="-2"/>
        </w:rPr>
        <w:t xml:space="preserve"> </w:t>
      </w:r>
      <w:r>
        <w:t>the</w:t>
      </w:r>
      <w:r>
        <w:rPr>
          <w:spacing w:val="-3"/>
        </w:rPr>
        <w:t xml:space="preserve"> </w:t>
      </w:r>
      <w:r>
        <w:t>Gap</w:t>
      </w:r>
      <w:r>
        <w:rPr>
          <w:spacing w:val="-2"/>
        </w:rPr>
        <w:t xml:space="preserve"> </w:t>
      </w:r>
      <w:r>
        <w:t>initiative.</w:t>
      </w:r>
    </w:p>
    <w:p w:rsidR="00135913" w:rsidRDefault="00135913" w:rsidP="00135913">
      <w:pPr>
        <w:spacing w:line="312" w:lineRule="auto"/>
        <w:jc w:val="both"/>
        <w:sectPr w:rsidR="00135913">
          <w:pgSz w:w="11910" w:h="16840"/>
          <w:pgMar w:top="1440" w:right="0" w:bottom="980" w:left="0" w:header="0" w:footer="798" w:gutter="0"/>
          <w:cols w:space="720"/>
        </w:sectPr>
      </w:pPr>
    </w:p>
    <w:p w:rsidR="00135913" w:rsidRDefault="00135913" w:rsidP="00D76EAE">
      <w:pPr>
        <w:pStyle w:val="Heading3"/>
      </w:pPr>
      <w:r>
        <w:t>References</w:t>
      </w:r>
    </w:p>
    <w:p w:rsidR="00135913" w:rsidRPr="00567CB3" w:rsidRDefault="00135913" w:rsidP="007622E8">
      <w:pPr>
        <w:pStyle w:val="BodyText"/>
        <w:spacing w:before="388"/>
        <w:ind w:left="1440"/>
        <w:rPr>
          <w:rFonts w:asciiTheme="minorHAnsi" w:hAnsiTheme="minorHAnsi" w:cstheme="minorHAnsi"/>
        </w:rPr>
      </w:pPr>
      <w:r w:rsidRPr="00567CB3">
        <w:rPr>
          <w:rFonts w:asciiTheme="minorHAnsi" w:hAnsiTheme="minorHAnsi" w:cstheme="minorHAnsi"/>
        </w:rPr>
        <w:t xml:space="preserve">Altman, J., 2013. 'Evaluation fetishism' is not Closing the Gap. </w:t>
      </w:r>
      <w:r w:rsidRPr="00567CB3">
        <w:rPr>
          <w:rFonts w:asciiTheme="minorHAnsi" w:hAnsiTheme="minorHAnsi" w:cstheme="minorHAnsi"/>
          <w:i/>
        </w:rPr>
        <w:t>Crikey</w:t>
      </w:r>
      <w:r w:rsidRPr="00567CB3">
        <w:rPr>
          <w:rFonts w:asciiTheme="minorHAnsi" w:hAnsiTheme="minorHAnsi" w:cstheme="minorHAnsi"/>
        </w:rPr>
        <w:t>, 30 April.</w:t>
      </w:r>
    </w:p>
    <w:p w:rsidR="00135913" w:rsidRPr="00567CB3" w:rsidRDefault="00135913" w:rsidP="007622E8">
      <w:pPr>
        <w:pStyle w:val="BodyText"/>
        <w:spacing w:before="8"/>
        <w:ind w:left="1440"/>
        <w:rPr>
          <w:rFonts w:asciiTheme="minorHAnsi" w:hAnsiTheme="minorHAnsi" w:cstheme="minorHAnsi"/>
        </w:rPr>
      </w:pPr>
    </w:p>
    <w:p w:rsidR="00135913" w:rsidRPr="00567CB3" w:rsidRDefault="00135913" w:rsidP="007622E8">
      <w:pPr>
        <w:pStyle w:val="BodyText"/>
        <w:spacing w:line="312" w:lineRule="auto"/>
        <w:ind w:left="1440" w:right="1440"/>
        <w:rPr>
          <w:rFonts w:asciiTheme="minorHAnsi" w:hAnsiTheme="minorHAnsi" w:cstheme="minorHAnsi"/>
        </w:rPr>
      </w:pPr>
      <w:r w:rsidRPr="00567CB3">
        <w:rPr>
          <w:rFonts w:asciiTheme="minorHAnsi" w:hAnsiTheme="minorHAnsi" w:cstheme="minorHAnsi"/>
        </w:rPr>
        <w:t xml:space="preserve">Altman, J., Biddle, N. &amp; Hunter, B., 2008. How Realistic are the Prospects for 'Closing the Gaps' in Socioeconomic Outcomes for Indigenous Australians?. </w:t>
      </w:r>
      <w:r w:rsidRPr="00567CB3">
        <w:rPr>
          <w:rFonts w:asciiTheme="minorHAnsi" w:hAnsiTheme="minorHAnsi" w:cstheme="minorHAnsi"/>
          <w:i/>
        </w:rPr>
        <w:t>CAEPR Discussion Paper</w:t>
      </w:r>
      <w:r w:rsidRPr="00567CB3">
        <w:rPr>
          <w:rFonts w:asciiTheme="minorHAnsi" w:hAnsiTheme="minorHAnsi" w:cstheme="minorHAnsi"/>
        </w:rPr>
        <w:t>, Volume 287.</w:t>
      </w:r>
    </w:p>
    <w:p w:rsidR="00135913" w:rsidRPr="00567CB3" w:rsidRDefault="00135913" w:rsidP="007622E8">
      <w:pPr>
        <w:pStyle w:val="BodyText"/>
        <w:spacing w:before="9"/>
        <w:ind w:left="1440"/>
        <w:rPr>
          <w:rFonts w:asciiTheme="minorHAnsi" w:hAnsiTheme="minorHAnsi" w:cstheme="minorHAnsi"/>
        </w:rPr>
      </w:pPr>
    </w:p>
    <w:p w:rsidR="00135913" w:rsidRPr="00567CB3" w:rsidRDefault="00135913" w:rsidP="007622E8">
      <w:pPr>
        <w:spacing w:line="312" w:lineRule="auto"/>
        <w:ind w:left="1440" w:right="1304"/>
        <w:rPr>
          <w:rFonts w:asciiTheme="minorHAnsi" w:hAnsiTheme="minorHAnsi" w:cstheme="minorHAnsi"/>
          <w:sz w:val="19"/>
          <w:szCs w:val="19"/>
        </w:rPr>
      </w:pPr>
      <w:r w:rsidRPr="00567CB3">
        <w:rPr>
          <w:rFonts w:asciiTheme="minorHAnsi" w:hAnsiTheme="minorHAnsi" w:cstheme="minorHAnsi"/>
          <w:sz w:val="19"/>
          <w:szCs w:val="19"/>
        </w:rPr>
        <w:t>Altman,</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J.</w:t>
      </w:r>
      <w:r w:rsidRPr="00567CB3">
        <w:rPr>
          <w:rFonts w:asciiTheme="minorHAnsi" w:hAnsiTheme="minorHAnsi" w:cstheme="minorHAnsi"/>
          <w:spacing w:val="-14"/>
          <w:sz w:val="19"/>
          <w:szCs w:val="19"/>
        </w:rPr>
        <w:t xml:space="preserve"> </w:t>
      </w:r>
      <w:r w:rsidRPr="00567CB3">
        <w:rPr>
          <w:rFonts w:asciiTheme="minorHAnsi" w:hAnsiTheme="minorHAnsi" w:cstheme="minorHAnsi"/>
          <w:sz w:val="19"/>
          <w:szCs w:val="19"/>
        </w:rPr>
        <w:t>&amp;</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Hunter,</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B.,</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2006.</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Influencing</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Indigenous</w:t>
      </w:r>
      <w:r w:rsidRPr="00567CB3">
        <w:rPr>
          <w:rFonts w:asciiTheme="minorHAnsi" w:hAnsiTheme="minorHAnsi" w:cstheme="minorHAnsi"/>
          <w:spacing w:val="-14"/>
          <w:sz w:val="19"/>
          <w:szCs w:val="19"/>
        </w:rPr>
        <w:t xml:space="preserve"> </w:t>
      </w:r>
      <w:r w:rsidRPr="00567CB3">
        <w:rPr>
          <w:rFonts w:asciiTheme="minorHAnsi" w:hAnsiTheme="minorHAnsi" w:cstheme="minorHAnsi"/>
          <w:sz w:val="19"/>
          <w:szCs w:val="19"/>
        </w:rPr>
        <w:t>policy</w:t>
      </w:r>
      <w:r w:rsidRPr="00567CB3">
        <w:rPr>
          <w:rFonts w:asciiTheme="minorHAnsi" w:hAnsiTheme="minorHAnsi" w:cstheme="minorHAnsi"/>
          <w:spacing w:val="-14"/>
          <w:sz w:val="19"/>
          <w:szCs w:val="19"/>
        </w:rPr>
        <w:t xml:space="preserve"> </w:t>
      </w:r>
      <w:r w:rsidRPr="00567CB3">
        <w:rPr>
          <w:rFonts w:asciiTheme="minorHAnsi" w:hAnsiTheme="minorHAnsi" w:cstheme="minorHAnsi"/>
          <w:sz w:val="19"/>
          <w:szCs w:val="19"/>
        </w:rPr>
        <w:t>making</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with</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statistics.</w:t>
      </w:r>
      <w:r w:rsidRPr="00567CB3">
        <w:rPr>
          <w:rFonts w:asciiTheme="minorHAnsi" w:hAnsiTheme="minorHAnsi" w:cstheme="minorHAnsi"/>
          <w:spacing w:val="-14"/>
          <w:sz w:val="19"/>
          <w:szCs w:val="19"/>
        </w:rPr>
        <w:t xml:space="preserve"> </w:t>
      </w:r>
      <w:r w:rsidRPr="00567CB3">
        <w:rPr>
          <w:rFonts w:asciiTheme="minorHAnsi" w:hAnsiTheme="minorHAnsi" w:cstheme="minorHAnsi"/>
          <w:sz w:val="19"/>
          <w:szCs w:val="19"/>
        </w:rPr>
        <w:t>In:</w:t>
      </w:r>
      <w:r w:rsidRPr="00567CB3">
        <w:rPr>
          <w:rFonts w:asciiTheme="minorHAnsi" w:hAnsiTheme="minorHAnsi" w:cstheme="minorHAnsi"/>
          <w:spacing w:val="-14"/>
          <w:sz w:val="19"/>
          <w:szCs w:val="19"/>
        </w:rPr>
        <w:t xml:space="preserve"> </w:t>
      </w:r>
      <w:r w:rsidRPr="00567CB3">
        <w:rPr>
          <w:rFonts w:asciiTheme="minorHAnsi" w:hAnsiTheme="minorHAnsi" w:cstheme="minorHAnsi"/>
          <w:sz w:val="19"/>
          <w:szCs w:val="19"/>
        </w:rPr>
        <w:t>B.</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Hunter,</w:t>
      </w:r>
      <w:r w:rsidRPr="00567CB3">
        <w:rPr>
          <w:rFonts w:asciiTheme="minorHAnsi" w:hAnsiTheme="minorHAnsi" w:cstheme="minorHAnsi"/>
          <w:spacing w:val="-14"/>
          <w:sz w:val="19"/>
          <w:szCs w:val="19"/>
        </w:rPr>
        <w:t xml:space="preserve"> </w:t>
      </w:r>
      <w:r w:rsidRPr="00567CB3">
        <w:rPr>
          <w:rFonts w:asciiTheme="minorHAnsi" w:hAnsiTheme="minorHAnsi" w:cstheme="minorHAnsi"/>
          <w:sz w:val="19"/>
          <w:szCs w:val="19"/>
        </w:rPr>
        <w:t>ed.</w:t>
      </w:r>
      <w:r w:rsidRPr="00567CB3">
        <w:rPr>
          <w:rFonts w:asciiTheme="minorHAnsi" w:hAnsiTheme="minorHAnsi" w:cstheme="minorHAnsi"/>
          <w:spacing w:val="-9"/>
          <w:sz w:val="19"/>
          <w:szCs w:val="19"/>
        </w:rPr>
        <w:t xml:space="preserve"> </w:t>
      </w:r>
      <w:r w:rsidRPr="00567CB3">
        <w:rPr>
          <w:rFonts w:asciiTheme="minorHAnsi" w:hAnsiTheme="minorHAnsi" w:cstheme="minorHAnsi"/>
          <w:i/>
          <w:sz w:val="19"/>
          <w:szCs w:val="19"/>
        </w:rPr>
        <w:t>Indigenous Socioeconomic</w:t>
      </w:r>
      <w:r w:rsidRPr="00567CB3">
        <w:rPr>
          <w:rFonts w:asciiTheme="minorHAnsi" w:hAnsiTheme="minorHAnsi" w:cstheme="minorHAnsi"/>
          <w:i/>
          <w:spacing w:val="-28"/>
          <w:sz w:val="19"/>
          <w:szCs w:val="19"/>
        </w:rPr>
        <w:t xml:space="preserve"> </w:t>
      </w:r>
      <w:r w:rsidRPr="00567CB3">
        <w:rPr>
          <w:rFonts w:asciiTheme="minorHAnsi" w:hAnsiTheme="minorHAnsi" w:cstheme="minorHAnsi"/>
          <w:i/>
          <w:sz w:val="19"/>
          <w:szCs w:val="19"/>
        </w:rPr>
        <w:t>Outcomes:</w:t>
      </w:r>
      <w:r w:rsidRPr="00567CB3">
        <w:rPr>
          <w:rFonts w:asciiTheme="minorHAnsi" w:hAnsiTheme="minorHAnsi" w:cstheme="minorHAnsi"/>
          <w:i/>
          <w:spacing w:val="-27"/>
          <w:sz w:val="19"/>
          <w:szCs w:val="19"/>
        </w:rPr>
        <w:t xml:space="preserve"> </w:t>
      </w:r>
      <w:r w:rsidRPr="00567CB3">
        <w:rPr>
          <w:rFonts w:asciiTheme="minorHAnsi" w:hAnsiTheme="minorHAnsi" w:cstheme="minorHAnsi"/>
          <w:i/>
          <w:sz w:val="19"/>
          <w:szCs w:val="19"/>
        </w:rPr>
        <w:t>Assessing</w:t>
      </w:r>
      <w:r w:rsidRPr="00567CB3">
        <w:rPr>
          <w:rFonts w:asciiTheme="minorHAnsi" w:hAnsiTheme="minorHAnsi" w:cstheme="minorHAnsi"/>
          <w:i/>
          <w:spacing w:val="-28"/>
          <w:sz w:val="19"/>
          <w:szCs w:val="19"/>
        </w:rPr>
        <w:t xml:space="preserve"> </w:t>
      </w:r>
      <w:r w:rsidRPr="00567CB3">
        <w:rPr>
          <w:rFonts w:asciiTheme="minorHAnsi" w:hAnsiTheme="minorHAnsi" w:cstheme="minorHAnsi"/>
          <w:i/>
          <w:sz w:val="19"/>
          <w:szCs w:val="19"/>
        </w:rPr>
        <w:t>Recent</w:t>
      </w:r>
      <w:r w:rsidRPr="00567CB3">
        <w:rPr>
          <w:rFonts w:asciiTheme="minorHAnsi" w:hAnsiTheme="minorHAnsi" w:cstheme="minorHAnsi"/>
          <w:i/>
          <w:spacing w:val="-25"/>
          <w:sz w:val="19"/>
          <w:szCs w:val="19"/>
        </w:rPr>
        <w:t xml:space="preserve"> </w:t>
      </w:r>
      <w:r w:rsidRPr="00567CB3">
        <w:rPr>
          <w:rFonts w:asciiTheme="minorHAnsi" w:hAnsiTheme="minorHAnsi" w:cstheme="minorHAnsi"/>
          <w:i/>
          <w:sz w:val="19"/>
          <w:szCs w:val="19"/>
        </w:rPr>
        <w:t>Evidence.</w:t>
      </w:r>
      <w:r w:rsidRPr="00567CB3">
        <w:rPr>
          <w:rFonts w:asciiTheme="minorHAnsi" w:hAnsiTheme="minorHAnsi" w:cstheme="minorHAnsi"/>
          <w:i/>
          <w:spacing w:val="-25"/>
          <w:sz w:val="19"/>
          <w:szCs w:val="19"/>
        </w:rPr>
        <w:t xml:space="preserve"> </w:t>
      </w:r>
      <w:r w:rsidRPr="00567CB3">
        <w:rPr>
          <w:rFonts w:asciiTheme="minorHAnsi" w:hAnsiTheme="minorHAnsi" w:cstheme="minorHAnsi"/>
          <w:sz w:val="19"/>
          <w:szCs w:val="19"/>
        </w:rPr>
        <w:t>Canberra:</w:t>
      </w:r>
      <w:r w:rsidRPr="00567CB3">
        <w:rPr>
          <w:rFonts w:asciiTheme="minorHAnsi" w:hAnsiTheme="minorHAnsi" w:cstheme="minorHAnsi"/>
          <w:spacing w:val="-11"/>
          <w:sz w:val="19"/>
          <w:szCs w:val="19"/>
        </w:rPr>
        <w:t xml:space="preserve"> </w:t>
      </w:r>
      <w:r w:rsidRPr="00567CB3">
        <w:rPr>
          <w:rFonts w:asciiTheme="minorHAnsi" w:hAnsiTheme="minorHAnsi" w:cstheme="minorHAnsi"/>
          <w:sz w:val="19"/>
          <w:szCs w:val="19"/>
        </w:rPr>
        <w:t>ANU</w:t>
      </w:r>
      <w:r w:rsidRPr="00567CB3">
        <w:rPr>
          <w:rFonts w:asciiTheme="minorHAnsi" w:hAnsiTheme="minorHAnsi" w:cstheme="minorHAnsi"/>
          <w:spacing w:val="-12"/>
          <w:sz w:val="19"/>
          <w:szCs w:val="19"/>
        </w:rPr>
        <w:t xml:space="preserve"> </w:t>
      </w:r>
      <w:r w:rsidRPr="00567CB3">
        <w:rPr>
          <w:rFonts w:asciiTheme="minorHAnsi" w:hAnsiTheme="minorHAnsi" w:cstheme="minorHAnsi"/>
          <w:sz w:val="19"/>
          <w:szCs w:val="19"/>
        </w:rPr>
        <w:t>ePress,</w:t>
      </w:r>
      <w:r w:rsidRPr="00567CB3">
        <w:rPr>
          <w:rFonts w:asciiTheme="minorHAnsi" w:hAnsiTheme="minorHAnsi" w:cstheme="minorHAnsi"/>
          <w:spacing w:val="-11"/>
          <w:sz w:val="19"/>
          <w:szCs w:val="19"/>
        </w:rPr>
        <w:t xml:space="preserve"> </w:t>
      </w:r>
      <w:r w:rsidRPr="00567CB3">
        <w:rPr>
          <w:rFonts w:asciiTheme="minorHAnsi" w:hAnsiTheme="minorHAnsi" w:cstheme="minorHAnsi"/>
          <w:sz w:val="19"/>
          <w:szCs w:val="19"/>
        </w:rPr>
        <w:t>pp.</w:t>
      </w:r>
      <w:r w:rsidRPr="00567CB3">
        <w:rPr>
          <w:rFonts w:asciiTheme="minorHAnsi" w:hAnsiTheme="minorHAnsi" w:cstheme="minorHAnsi"/>
          <w:spacing w:val="-12"/>
          <w:sz w:val="19"/>
          <w:szCs w:val="19"/>
        </w:rPr>
        <w:t xml:space="preserve"> </w:t>
      </w:r>
      <w:r w:rsidRPr="00567CB3">
        <w:rPr>
          <w:rFonts w:asciiTheme="minorHAnsi" w:hAnsiTheme="minorHAnsi" w:cstheme="minorHAnsi"/>
          <w:sz w:val="19"/>
          <w:szCs w:val="19"/>
        </w:rPr>
        <w:t>311-319.</w:t>
      </w:r>
    </w:p>
    <w:p w:rsidR="00135913" w:rsidRPr="00567CB3" w:rsidRDefault="00135913" w:rsidP="007622E8">
      <w:pPr>
        <w:pStyle w:val="BodyText"/>
        <w:spacing w:before="7"/>
        <w:ind w:left="1440"/>
        <w:rPr>
          <w:rFonts w:asciiTheme="minorHAnsi" w:hAnsiTheme="minorHAnsi" w:cstheme="minorHAnsi"/>
        </w:rPr>
      </w:pPr>
    </w:p>
    <w:p w:rsidR="00135913" w:rsidRPr="00567CB3" w:rsidRDefault="00135913" w:rsidP="007622E8">
      <w:pPr>
        <w:spacing w:before="1"/>
        <w:ind w:left="1440"/>
        <w:rPr>
          <w:rFonts w:asciiTheme="minorHAnsi" w:hAnsiTheme="minorHAnsi" w:cstheme="minorHAnsi"/>
          <w:i/>
          <w:sz w:val="19"/>
          <w:szCs w:val="19"/>
        </w:rPr>
      </w:pPr>
      <w:r w:rsidRPr="00567CB3">
        <w:rPr>
          <w:rFonts w:asciiTheme="minorHAnsi" w:hAnsiTheme="minorHAnsi" w:cstheme="minorHAnsi"/>
          <w:sz w:val="19"/>
          <w:szCs w:val="19"/>
        </w:rPr>
        <w:t xml:space="preserve">Australian Government, 2014. </w:t>
      </w:r>
      <w:r w:rsidRPr="00567CB3">
        <w:rPr>
          <w:rFonts w:asciiTheme="minorHAnsi" w:hAnsiTheme="minorHAnsi" w:cstheme="minorHAnsi"/>
          <w:i/>
          <w:sz w:val="19"/>
          <w:szCs w:val="19"/>
        </w:rPr>
        <w:t>National Partnership Agreement on Remote Service Delivery Evaluation 2013,</w:t>
      </w:r>
    </w:p>
    <w:p w:rsidR="00135913" w:rsidRPr="00567CB3" w:rsidRDefault="00135913" w:rsidP="007622E8">
      <w:pPr>
        <w:pStyle w:val="BodyText"/>
        <w:spacing w:before="72"/>
        <w:ind w:left="1440"/>
        <w:rPr>
          <w:rFonts w:asciiTheme="minorHAnsi" w:hAnsiTheme="minorHAnsi" w:cstheme="minorHAnsi"/>
        </w:rPr>
      </w:pPr>
      <w:r w:rsidRPr="00567CB3">
        <w:rPr>
          <w:rFonts w:asciiTheme="minorHAnsi" w:hAnsiTheme="minorHAnsi" w:cstheme="minorHAnsi"/>
        </w:rPr>
        <w:t>Canberra: Commonwealth of Australia.</w:t>
      </w:r>
    </w:p>
    <w:p w:rsidR="00135913" w:rsidRPr="00567CB3" w:rsidRDefault="00135913" w:rsidP="007622E8">
      <w:pPr>
        <w:pStyle w:val="BodyText"/>
        <w:spacing w:before="10"/>
        <w:ind w:left="1440"/>
        <w:rPr>
          <w:rFonts w:asciiTheme="minorHAnsi" w:hAnsiTheme="minorHAnsi" w:cstheme="minorHAnsi"/>
        </w:rPr>
      </w:pPr>
    </w:p>
    <w:p w:rsidR="00135913" w:rsidRPr="00567CB3" w:rsidRDefault="00135913" w:rsidP="007622E8">
      <w:pPr>
        <w:spacing w:line="312" w:lineRule="auto"/>
        <w:ind w:left="1440" w:right="1440"/>
        <w:rPr>
          <w:rFonts w:asciiTheme="minorHAnsi" w:hAnsiTheme="minorHAnsi" w:cstheme="minorHAnsi"/>
          <w:sz w:val="19"/>
          <w:szCs w:val="19"/>
        </w:rPr>
      </w:pPr>
      <w:r w:rsidRPr="00567CB3">
        <w:rPr>
          <w:rFonts w:asciiTheme="minorHAnsi" w:hAnsiTheme="minorHAnsi" w:cstheme="minorHAnsi"/>
          <w:sz w:val="19"/>
          <w:szCs w:val="19"/>
        </w:rPr>
        <w:t xml:space="preserve">Australian Institute of Health and Welfare, 2013. </w:t>
      </w:r>
      <w:r w:rsidRPr="00567CB3">
        <w:rPr>
          <w:rFonts w:asciiTheme="minorHAnsi" w:hAnsiTheme="minorHAnsi" w:cstheme="minorHAnsi"/>
          <w:i/>
          <w:sz w:val="19"/>
          <w:szCs w:val="19"/>
        </w:rPr>
        <w:t xml:space="preserve">What works to overcome Indigenous disadvantage: Key learnings and gaps in the evidence 2011-2012, </w:t>
      </w:r>
      <w:r w:rsidRPr="00567CB3">
        <w:rPr>
          <w:rFonts w:asciiTheme="minorHAnsi" w:hAnsiTheme="minorHAnsi" w:cstheme="minorHAnsi"/>
          <w:sz w:val="19"/>
          <w:szCs w:val="19"/>
        </w:rPr>
        <w:t>Canberra: Australian Institute of Health and Welfare.</w:t>
      </w:r>
    </w:p>
    <w:p w:rsidR="00135913" w:rsidRPr="00567CB3" w:rsidRDefault="00135913" w:rsidP="007622E8">
      <w:pPr>
        <w:pStyle w:val="BodyText"/>
        <w:spacing w:before="7"/>
        <w:ind w:left="1440"/>
        <w:rPr>
          <w:rFonts w:asciiTheme="minorHAnsi" w:hAnsiTheme="minorHAnsi" w:cstheme="minorHAnsi"/>
        </w:rPr>
      </w:pPr>
    </w:p>
    <w:p w:rsidR="00135913" w:rsidRPr="00567CB3" w:rsidRDefault="00135913" w:rsidP="007622E8">
      <w:pPr>
        <w:ind w:left="1440"/>
        <w:rPr>
          <w:rFonts w:asciiTheme="minorHAnsi" w:hAnsiTheme="minorHAnsi" w:cstheme="minorHAnsi"/>
          <w:i/>
          <w:sz w:val="19"/>
          <w:szCs w:val="19"/>
        </w:rPr>
      </w:pPr>
      <w:r w:rsidRPr="00567CB3">
        <w:rPr>
          <w:rFonts w:asciiTheme="minorHAnsi" w:hAnsiTheme="minorHAnsi" w:cstheme="minorHAnsi"/>
          <w:sz w:val="19"/>
          <w:szCs w:val="19"/>
        </w:rPr>
        <w:t xml:space="preserve">Australian Institute of Health and Welfare, 2015. </w:t>
      </w:r>
      <w:r w:rsidRPr="00567CB3">
        <w:rPr>
          <w:rFonts w:asciiTheme="minorHAnsi" w:hAnsiTheme="minorHAnsi" w:cstheme="minorHAnsi"/>
          <w:i/>
          <w:sz w:val="19"/>
          <w:szCs w:val="19"/>
        </w:rPr>
        <w:t>The health and welfare of Australia’s Aboriginal and Torres Strait</w:t>
      </w:r>
    </w:p>
    <w:p w:rsidR="00135913" w:rsidRPr="00567CB3" w:rsidRDefault="00135913" w:rsidP="007622E8">
      <w:pPr>
        <w:pStyle w:val="BodyText"/>
        <w:spacing w:before="73"/>
        <w:ind w:left="1440"/>
        <w:rPr>
          <w:rFonts w:asciiTheme="minorHAnsi" w:hAnsiTheme="minorHAnsi" w:cstheme="minorHAnsi"/>
        </w:rPr>
      </w:pPr>
      <w:r w:rsidRPr="00567CB3">
        <w:rPr>
          <w:rFonts w:asciiTheme="minorHAnsi" w:hAnsiTheme="minorHAnsi" w:cstheme="minorHAnsi"/>
          <w:i/>
        </w:rPr>
        <w:t xml:space="preserve">Islander, </w:t>
      </w:r>
      <w:r w:rsidRPr="00567CB3">
        <w:rPr>
          <w:rFonts w:asciiTheme="minorHAnsi" w:hAnsiTheme="minorHAnsi" w:cstheme="minorHAnsi"/>
        </w:rPr>
        <w:t>Canberra: Australian Institute of Health and Welfare.</w:t>
      </w:r>
    </w:p>
    <w:p w:rsidR="00135913" w:rsidRPr="00567CB3" w:rsidRDefault="00135913" w:rsidP="007622E8">
      <w:pPr>
        <w:pStyle w:val="BodyText"/>
        <w:spacing w:before="7"/>
        <w:ind w:left="1440"/>
        <w:rPr>
          <w:rFonts w:asciiTheme="minorHAnsi" w:hAnsiTheme="minorHAnsi" w:cstheme="minorHAnsi"/>
        </w:rPr>
      </w:pPr>
    </w:p>
    <w:p w:rsidR="00135913" w:rsidRPr="00567CB3" w:rsidRDefault="00135913" w:rsidP="007622E8">
      <w:pPr>
        <w:pStyle w:val="BodyText"/>
        <w:spacing w:line="549" w:lineRule="auto"/>
        <w:ind w:left="1440" w:right="1304"/>
        <w:rPr>
          <w:rFonts w:asciiTheme="minorHAnsi" w:hAnsiTheme="minorHAnsi" w:cstheme="minorHAnsi"/>
        </w:rPr>
      </w:pPr>
      <w:r w:rsidRPr="00567CB3">
        <w:rPr>
          <w:rFonts w:asciiTheme="minorHAnsi" w:hAnsiTheme="minorHAnsi" w:cstheme="minorHAnsi"/>
        </w:rPr>
        <w:t xml:space="preserve">Australian Public Service Commission, 2012. Tackling wicked problems: A public policy perspective. 2012 May. Behrendt, L., 2008. Rethinking indigenous policy. </w:t>
      </w:r>
      <w:r w:rsidRPr="00567CB3">
        <w:rPr>
          <w:rFonts w:asciiTheme="minorHAnsi" w:hAnsiTheme="minorHAnsi" w:cstheme="minorHAnsi"/>
          <w:i/>
        </w:rPr>
        <w:t>Federal Politics</w:t>
      </w:r>
      <w:r w:rsidRPr="00567CB3">
        <w:rPr>
          <w:rFonts w:asciiTheme="minorHAnsi" w:hAnsiTheme="minorHAnsi" w:cstheme="minorHAnsi"/>
        </w:rPr>
        <w:t>, 25 August.</w:t>
      </w:r>
    </w:p>
    <w:p w:rsidR="00135913" w:rsidRPr="00567CB3" w:rsidRDefault="00135913" w:rsidP="007622E8">
      <w:pPr>
        <w:pStyle w:val="BodyText"/>
        <w:spacing w:line="312" w:lineRule="auto"/>
        <w:ind w:left="1440" w:right="1440"/>
        <w:rPr>
          <w:rFonts w:asciiTheme="minorHAnsi" w:hAnsiTheme="minorHAnsi" w:cstheme="minorHAnsi"/>
        </w:rPr>
      </w:pPr>
      <w:r w:rsidRPr="00567CB3">
        <w:rPr>
          <w:rFonts w:asciiTheme="minorHAnsi" w:hAnsiTheme="minorHAnsi" w:cstheme="minorHAnsi"/>
        </w:rPr>
        <w:t xml:space="preserve">Biddle, N. &amp; Markham, F., 2017a. Census data shows just how bad we've been at closing inequality gaps. </w:t>
      </w:r>
      <w:r w:rsidRPr="00567CB3">
        <w:rPr>
          <w:rFonts w:asciiTheme="minorHAnsi" w:hAnsiTheme="minorHAnsi" w:cstheme="minorHAnsi"/>
          <w:i/>
        </w:rPr>
        <w:t>The Conversation</w:t>
      </w:r>
      <w:r w:rsidRPr="00567CB3">
        <w:rPr>
          <w:rFonts w:asciiTheme="minorHAnsi" w:hAnsiTheme="minorHAnsi" w:cstheme="minorHAnsi"/>
        </w:rPr>
        <w:t>, 27 October.</w:t>
      </w:r>
    </w:p>
    <w:p w:rsidR="00135913" w:rsidRPr="00567CB3" w:rsidRDefault="00135913" w:rsidP="007622E8">
      <w:pPr>
        <w:pStyle w:val="BodyText"/>
        <w:spacing w:before="5"/>
        <w:ind w:left="1440"/>
        <w:rPr>
          <w:rFonts w:asciiTheme="minorHAnsi" w:hAnsiTheme="minorHAnsi" w:cstheme="minorHAnsi"/>
        </w:rPr>
      </w:pPr>
    </w:p>
    <w:p w:rsidR="00135913" w:rsidRPr="00567CB3" w:rsidRDefault="00135913" w:rsidP="007622E8">
      <w:pPr>
        <w:pStyle w:val="BodyText"/>
        <w:spacing w:line="314" w:lineRule="auto"/>
        <w:ind w:left="1440" w:right="1440"/>
        <w:rPr>
          <w:rFonts w:asciiTheme="minorHAnsi" w:hAnsiTheme="minorHAnsi" w:cstheme="minorHAnsi"/>
        </w:rPr>
      </w:pPr>
      <w:r w:rsidRPr="00567CB3">
        <w:rPr>
          <w:rFonts w:asciiTheme="minorHAnsi" w:hAnsiTheme="minorHAnsi" w:cstheme="minorHAnsi"/>
        </w:rPr>
        <w:t xml:space="preserve">Biddle, N. &amp; Markham, F., 2017b. Radical rethink of Closing the Gap required, despite some progress. </w:t>
      </w:r>
      <w:r w:rsidRPr="00567CB3">
        <w:rPr>
          <w:rFonts w:asciiTheme="minorHAnsi" w:hAnsiTheme="minorHAnsi" w:cstheme="minorHAnsi"/>
          <w:i/>
        </w:rPr>
        <w:t>The Conversation</w:t>
      </w:r>
      <w:r w:rsidRPr="00567CB3">
        <w:rPr>
          <w:rFonts w:asciiTheme="minorHAnsi" w:hAnsiTheme="minorHAnsi" w:cstheme="minorHAnsi"/>
        </w:rPr>
        <w:t>, 4 December.</w:t>
      </w:r>
    </w:p>
    <w:p w:rsidR="00135913" w:rsidRPr="00567CB3" w:rsidRDefault="00135913" w:rsidP="007622E8">
      <w:pPr>
        <w:pStyle w:val="BodyText"/>
        <w:spacing w:before="5"/>
        <w:ind w:left="1440"/>
        <w:rPr>
          <w:rFonts w:asciiTheme="minorHAnsi" w:hAnsiTheme="minorHAnsi" w:cstheme="minorHAnsi"/>
        </w:rPr>
      </w:pPr>
    </w:p>
    <w:p w:rsidR="00135913" w:rsidRPr="00567CB3" w:rsidRDefault="00135913" w:rsidP="007622E8">
      <w:pPr>
        <w:spacing w:line="312" w:lineRule="auto"/>
        <w:ind w:left="1440" w:right="1440"/>
        <w:rPr>
          <w:rFonts w:asciiTheme="minorHAnsi" w:hAnsiTheme="minorHAnsi" w:cstheme="minorHAnsi"/>
          <w:sz w:val="19"/>
          <w:szCs w:val="19"/>
        </w:rPr>
      </w:pPr>
      <w:r w:rsidRPr="00567CB3">
        <w:rPr>
          <w:rFonts w:asciiTheme="minorHAnsi" w:hAnsiTheme="minorHAnsi" w:cstheme="minorHAnsi"/>
          <w:sz w:val="19"/>
          <w:szCs w:val="19"/>
        </w:rPr>
        <w:t>Calma,</w:t>
      </w:r>
      <w:r w:rsidRPr="00567CB3">
        <w:rPr>
          <w:rFonts w:asciiTheme="minorHAnsi" w:hAnsiTheme="minorHAnsi" w:cstheme="minorHAnsi"/>
          <w:spacing w:val="2"/>
          <w:sz w:val="19"/>
          <w:szCs w:val="19"/>
        </w:rPr>
        <w:t xml:space="preserve"> </w:t>
      </w:r>
      <w:r w:rsidRPr="00567CB3">
        <w:rPr>
          <w:rFonts w:asciiTheme="minorHAnsi" w:hAnsiTheme="minorHAnsi" w:cstheme="minorHAnsi"/>
          <w:sz w:val="19"/>
          <w:szCs w:val="19"/>
        </w:rPr>
        <w:t>T.,</w:t>
      </w:r>
      <w:r w:rsidRPr="00567CB3">
        <w:rPr>
          <w:rFonts w:asciiTheme="minorHAnsi" w:hAnsiTheme="minorHAnsi" w:cstheme="minorHAnsi"/>
          <w:spacing w:val="3"/>
          <w:sz w:val="19"/>
          <w:szCs w:val="19"/>
        </w:rPr>
        <w:t xml:space="preserve"> </w:t>
      </w:r>
      <w:r w:rsidRPr="00567CB3">
        <w:rPr>
          <w:rFonts w:asciiTheme="minorHAnsi" w:hAnsiTheme="minorHAnsi" w:cstheme="minorHAnsi"/>
          <w:sz w:val="19"/>
          <w:szCs w:val="19"/>
        </w:rPr>
        <w:t>2007.</w:t>
      </w:r>
      <w:r w:rsidRPr="00567CB3">
        <w:rPr>
          <w:rFonts w:asciiTheme="minorHAnsi" w:hAnsiTheme="minorHAnsi" w:cstheme="minorHAnsi"/>
          <w:spacing w:val="4"/>
          <w:sz w:val="19"/>
          <w:szCs w:val="19"/>
        </w:rPr>
        <w:t xml:space="preserve"> </w:t>
      </w:r>
      <w:r w:rsidRPr="00567CB3">
        <w:rPr>
          <w:rFonts w:asciiTheme="minorHAnsi" w:hAnsiTheme="minorHAnsi" w:cstheme="minorHAnsi"/>
          <w:i/>
          <w:sz w:val="19"/>
          <w:szCs w:val="19"/>
        </w:rPr>
        <w:t>What</w:t>
      </w:r>
      <w:r w:rsidRPr="00567CB3">
        <w:rPr>
          <w:rFonts w:asciiTheme="minorHAnsi" w:hAnsiTheme="minorHAnsi" w:cstheme="minorHAnsi"/>
          <w:i/>
          <w:spacing w:val="-13"/>
          <w:sz w:val="19"/>
          <w:szCs w:val="19"/>
        </w:rPr>
        <w:t xml:space="preserve"> </w:t>
      </w:r>
      <w:r w:rsidRPr="00567CB3">
        <w:rPr>
          <w:rFonts w:asciiTheme="minorHAnsi" w:hAnsiTheme="minorHAnsi" w:cstheme="minorHAnsi"/>
          <w:i/>
          <w:sz w:val="19"/>
          <w:szCs w:val="19"/>
        </w:rPr>
        <w:t>makes</w:t>
      </w:r>
      <w:r w:rsidRPr="00567CB3">
        <w:rPr>
          <w:rFonts w:asciiTheme="minorHAnsi" w:hAnsiTheme="minorHAnsi" w:cstheme="minorHAnsi"/>
          <w:i/>
          <w:spacing w:val="-12"/>
          <w:sz w:val="19"/>
          <w:szCs w:val="19"/>
        </w:rPr>
        <w:t xml:space="preserve"> </w:t>
      </w:r>
      <w:r w:rsidRPr="00567CB3">
        <w:rPr>
          <w:rFonts w:asciiTheme="minorHAnsi" w:hAnsiTheme="minorHAnsi" w:cstheme="minorHAnsi"/>
          <w:i/>
          <w:sz w:val="19"/>
          <w:szCs w:val="19"/>
        </w:rPr>
        <w:t>good</w:t>
      </w:r>
      <w:r w:rsidRPr="00567CB3">
        <w:rPr>
          <w:rFonts w:asciiTheme="minorHAnsi" w:hAnsiTheme="minorHAnsi" w:cstheme="minorHAnsi"/>
          <w:i/>
          <w:spacing w:val="-13"/>
          <w:sz w:val="19"/>
          <w:szCs w:val="19"/>
        </w:rPr>
        <w:t xml:space="preserve"> </w:t>
      </w:r>
      <w:r w:rsidRPr="00567CB3">
        <w:rPr>
          <w:rFonts w:asciiTheme="minorHAnsi" w:hAnsiTheme="minorHAnsi" w:cstheme="minorHAnsi"/>
          <w:i/>
          <w:sz w:val="19"/>
          <w:szCs w:val="19"/>
        </w:rPr>
        <w:t>Indigenous</w:t>
      </w:r>
      <w:r w:rsidRPr="00567CB3">
        <w:rPr>
          <w:rFonts w:asciiTheme="minorHAnsi" w:hAnsiTheme="minorHAnsi" w:cstheme="minorHAnsi"/>
          <w:i/>
          <w:spacing w:val="-13"/>
          <w:sz w:val="19"/>
          <w:szCs w:val="19"/>
        </w:rPr>
        <w:t xml:space="preserve"> </w:t>
      </w:r>
      <w:r w:rsidRPr="00567CB3">
        <w:rPr>
          <w:rFonts w:asciiTheme="minorHAnsi" w:hAnsiTheme="minorHAnsi" w:cstheme="minorHAnsi"/>
          <w:i/>
          <w:sz w:val="19"/>
          <w:szCs w:val="19"/>
        </w:rPr>
        <w:t>Policy</w:t>
      </w:r>
      <w:r w:rsidRPr="00567CB3">
        <w:rPr>
          <w:rFonts w:asciiTheme="minorHAnsi" w:hAnsiTheme="minorHAnsi" w:cstheme="minorHAnsi"/>
          <w:i/>
          <w:spacing w:val="-11"/>
          <w:sz w:val="19"/>
          <w:szCs w:val="19"/>
        </w:rPr>
        <w:t xml:space="preserve"> </w:t>
      </w:r>
      <w:r w:rsidRPr="00567CB3">
        <w:rPr>
          <w:rFonts w:asciiTheme="minorHAnsi" w:hAnsiTheme="minorHAnsi" w:cstheme="minorHAnsi"/>
          <w:i/>
          <w:sz w:val="19"/>
          <w:szCs w:val="19"/>
        </w:rPr>
        <w:t>-</w:t>
      </w:r>
      <w:r w:rsidRPr="00567CB3">
        <w:rPr>
          <w:rFonts w:asciiTheme="minorHAnsi" w:hAnsiTheme="minorHAnsi" w:cstheme="minorHAnsi"/>
          <w:i/>
          <w:spacing w:val="-11"/>
          <w:sz w:val="19"/>
          <w:szCs w:val="19"/>
        </w:rPr>
        <w:t xml:space="preserve"> </w:t>
      </w:r>
      <w:r w:rsidRPr="00567CB3">
        <w:rPr>
          <w:rFonts w:asciiTheme="minorHAnsi" w:hAnsiTheme="minorHAnsi" w:cstheme="minorHAnsi"/>
          <w:i/>
          <w:sz w:val="19"/>
          <w:szCs w:val="19"/>
        </w:rPr>
        <w:t>Good,</w:t>
      </w:r>
      <w:r w:rsidRPr="00567CB3">
        <w:rPr>
          <w:rFonts w:asciiTheme="minorHAnsi" w:hAnsiTheme="minorHAnsi" w:cstheme="minorHAnsi"/>
          <w:i/>
          <w:spacing w:val="-13"/>
          <w:sz w:val="19"/>
          <w:szCs w:val="19"/>
        </w:rPr>
        <w:t xml:space="preserve"> </w:t>
      </w:r>
      <w:r w:rsidRPr="00567CB3">
        <w:rPr>
          <w:rFonts w:asciiTheme="minorHAnsi" w:hAnsiTheme="minorHAnsi" w:cstheme="minorHAnsi"/>
          <w:i/>
          <w:sz w:val="19"/>
          <w:szCs w:val="19"/>
        </w:rPr>
        <w:t>Better,</w:t>
      </w:r>
      <w:r w:rsidRPr="00567CB3">
        <w:rPr>
          <w:rFonts w:asciiTheme="minorHAnsi" w:hAnsiTheme="minorHAnsi" w:cstheme="minorHAnsi"/>
          <w:i/>
          <w:spacing w:val="-13"/>
          <w:sz w:val="19"/>
          <w:szCs w:val="19"/>
        </w:rPr>
        <w:t xml:space="preserve"> </w:t>
      </w:r>
      <w:r w:rsidRPr="00567CB3">
        <w:rPr>
          <w:rFonts w:asciiTheme="minorHAnsi" w:hAnsiTheme="minorHAnsi" w:cstheme="minorHAnsi"/>
          <w:i/>
          <w:sz w:val="19"/>
          <w:szCs w:val="19"/>
        </w:rPr>
        <w:t>Best</w:t>
      </w:r>
      <w:r w:rsidRPr="00567CB3">
        <w:rPr>
          <w:rFonts w:asciiTheme="minorHAnsi" w:hAnsiTheme="minorHAnsi" w:cstheme="minorHAnsi"/>
          <w:i/>
          <w:spacing w:val="-12"/>
          <w:sz w:val="19"/>
          <w:szCs w:val="19"/>
        </w:rPr>
        <w:t xml:space="preserve"> </w:t>
      </w:r>
      <w:r w:rsidRPr="00567CB3">
        <w:rPr>
          <w:rFonts w:asciiTheme="minorHAnsi" w:hAnsiTheme="minorHAnsi" w:cstheme="minorHAnsi"/>
          <w:i/>
          <w:sz w:val="19"/>
          <w:szCs w:val="19"/>
        </w:rPr>
        <w:t>-</w:t>
      </w:r>
      <w:r w:rsidRPr="00567CB3">
        <w:rPr>
          <w:rFonts w:asciiTheme="minorHAnsi" w:hAnsiTheme="minorHAnsi" w:cstheme="minorHAnsi"/>
          <w:i/>
          <w:spacing w:val="-13"/>
          <w:sz w:val="19"/>
          <w:szCs w:val="19"/>
        </w:rPr>
        <w:t xml:space="preserve"> </w:t>
      </w:r>
      <w:r w:rsidRPr="00567CB3">
        <w:rPr>
          <w:rFonts w:asciiTheme="minorHAnsi" w:hAnsiTheme="minorHAnsi" w:cstheme="minorHAnsi"/>
          <w:i/>
          <w:sz w:val="19"/>
          <w:szCs w:val="19"/>
        </w:rPr>
        <w:t>Policy</w:t>
      </w:r>
      <w:r w:rsidRPr="00567CB3">
        <w:rPr>
          <w:rFonts w:asciiTheme="minorHAnsi" w:hAnsiTheme="minorHAnsi" w:cstheme="minorHAnsi"/>
          <w:i/>
          <w:spacing w:val="-11"/>
          <w:sz w:val="19"/>
          <w:szCs w:val="19"/>
        </w:rPr>
        <w:t xml:space="preserve"> </w:t>
      </w:r>
      <w:r w:rsidRPr="00567CB3">
        <w:rPr>
          <w:rFonts w:asciiTheme="minorHAnsi" w:hAnsiTheme="minorHAnsi" w:cstheme="minorHAnsi"/>
          <w:i/>
          <w:sz w:val="19"/>
          <w:szCs w:val="19"/>
        </w:rPr>
        <w:t>Making</w:t>
      </w:r>
      <w:r w:rsidRPr="00567CB3">
        <w:rPr>
          <w:rFonts w:asciiTheme="minorHAnsi" w:hAnsiTheme="minorHAnsi" w:cstheme="minorHAnsi"/>
          <w:i/>
          <w:spacing w:val="-13"/>
          <w:sz w:val="19"/>
          <w:szCs w:val="19"/>
        </w:rPr>
        <w:t xml:space="preserve"> </w:t>
      </w:r>
      <w:r w:rsidRPr="00567CB3">
        <w:rPr>
          <w:rFonts w:asciiTheme="minorHAnsi" w:hAnsiTheme="minorHAnsi" w:cstheme="minorHAnsi"/>
          <w:i/>
          <w:sz w:val="19"/>
          <w:szCs w:val="19"/>
        </w:rPr>
        <w:t>for</w:t>
      </w:r>
      <w:r w:rsidRPr="00567CB3">
        <w:rPr>
          <w:rFonts w:asciiTheme="minorHAnsi" w:hAnsiTheme="minorHAnsi" w:cstheme="minorHAnsi"/>
          <w:i/>
          <w:spacing w:val="-14"/>
          <w:sz w:val="19"/>
          <w:szCs w:val="19"/>
        </w:rPr>
        <w:t xml:space="preserve"> </w:t>
      </w:r>
      <w:r w:rsidRPr="00567CB3">
        <w:rPr>
          <w:rFonts w:asciiTheme="minorHAnsi" w:hAnsiTheme="minorHAnsi" w:cstheme="minorHAnsi"/>
          <w:i/>
          <w:sz w:val="19"/>
          <w:szCs w:val="19"/>
        </w:rPr>
        <w:t xml:space="preserve">Indigenous Australians. </w:t>
      </w:r>
      <w:r w:rsidRPr="00567CB3">
        <w:rPr>
          <w:rFonts w:asciiTheme="minorHAnsi" w:hAnsiTheme="minorHAnsi" w:cstheme="minorHAnsi"/>
          <w:sz w:val="19"/>
          <w:szCs w:val="19"/>
        </w:rPr>
        <w:t>s.l., Australian Human Rights</w:t>
      </w:r>
      <w:r w:rsidRPr="00567CB3">
        <w:rPr>
          <w:rFonts w:asciiTheme="minorHAnsi" w:hAnsiTheme="minorHAnsi" w:cstheme="minorHAnsi"/>
          <w:spacing w:val="-19"/>
          <w:sz w:val="19"/>
          <w:szCs w:val="19"/>
        </w:rPr>
        <w:t xml:space="preserve"> </w:t>
      </w:r>
      <w:r w:rsidRPr="00567CB3">
        <w:rPr>
          <w:rFonts w:asciiTheme="minorHAnsi" w:hAnsiTheme="minorHAnsi" w:cstheme="minorHAnsi"/>
          <w:sz w:val="19"/>
          <w:szCs w:val="19"/>
        </w:rPr>
        <w:t>Commission.</w:t>
      </w:r>
    </w:p>
    <w:p w:rsidR="00135913" w:rsidRPr="00567CB3" w:rsidRDefault="00135913" w:rsidP="007622E8">
      <w:pPr>
        <w:pStyle w:val="BodyText"/>
        <w:spacing w:before="7"/>
        <w:ind w:left="1440"/>
        <w:rPr>
          <w:rFonts w:asciiTheme="minorHAnsi" w:hAnsiTheme="minorHAnsi" w:cstheme="minorHAnsi"/>
        </w:rPr>
      </w:pPr>
    </w:p>
    <w:p w:rsidR="00135913" w:rsidRPr="00567CB3" w:rsidRDefault="00135913" w:rsidP="007622E8">
      <w:pPr>
        <w:spacing w:line="314" w:lineRule="auto"/>
        <w:ind w:left="1440" w:right="1440"/>
        <w:rPr>
          <w:rFonts w:asciiTheme="minorHAnsi" w:hAnsiTheme="minorHAnsi" w:cstheme="minorHAnsi"/>
          <w:sz w:val="19"/>
          <w:szCs w:val="19"/>
        </w:rPr>
      </w:pPr>
      <w:r w:rsidRPr="00567CB3">
        <w:rPr>
          <w:rFonts w:asciiTheme="minorHAnsi" w:hAnsiTheme="minorHAnsi" w:cstheme="minorHAnsi"/>
          <w:sz w:val="19"/>
          <w:szCs w:val="19"/>
        </w:rPr>
        <w:t xml:space="preserve">COAG, 2009. </w:t>
      </w:r>
      <w:r w:rsidRPr="00567CB3">
        <w:rPr>
          <w:rFonts w:asciiTheme="minorHAnsi" w:hAnsiTheme="minorHAnsi" w:cstheme="minorHAnsi"/>
          <w:i/>
          <w:sz w:val="19"/>
          <w:szCs w:val="19"/>
        </w:rPr>
        <w:t xml:space="preserve">National Indigenous Reform Agreement (Closing the Gap), </w:t>
      </w:r>
      <w:r w:rsidRPr="00567CB3">
        <w:rPr>
          <w:rFonts w:asciiTheme="minorHAnsi" w:hAnsiTheme="minorHAnsi" w:cstheme="minorHAnsi"/>
          <w:sz w:val="19"/>
          <w:szCs w:val="19"/>
        </w:rPr>
        <w:t>Canberra: Council of Australian Governments.</w:t>
      </w:r>
    </w:p>
    <w:p w:rsidR="00135913" w:rsidRPr="00567CB3" w:rsidRDefault="00135913" w:rsidP="007622E8">
      <w:pPr>
        <w:pStyle w:val="BodyText"/>
        <w:spacing w:before="5"/>
        <w:ind w:left="1440"/>
        <w:rPr>
          <w:rFonts w:asciiTheme="minorHAnsi" w:hAnsiTheme="minorHAnsi" w:cstheme="minorHAnsi"/>
        </w:rPr>
      </w:pPr>
    </w:p>
    <w:p w:rsidR="00135913" w:rsidRPr="00567CB3" w:rsidRDefault="00135913" w:rsidP="007622E8">
      <w:pPr>
        <w:pStyle w:val="BodyText"/>
        <w:spacing w:line="312" w:lineRule="auto"/>
        <w:ind w:left="1440" w:right="1304"/>
        <w:rPr>
          <w:rFonts w:asciiTheme="minorHAnsi" w:hAnsiTheme="minorHAnsi" w:cstheme="minorHAnsi"/>
        </w:rPr>
      </w:pPr>
      <w:r w:rsidRPr="00567CB3">
        <w:rPr>
          <w:rFonts w:asciiTheme="minorHAnsi" w:hAnsiTheme="minorHAnsi" w:cstheme="minorHAnsi"/>
        </w:rPr>
        <w:t xml:space="preserve">Collins, B., 2016. Indigenous leaders respond to the Closing the Gap progress report. </w:t>
      </w:r>
      <w:r w:rsidRPr="00567CB3">
        <w:rPr>
          <w:rFonts w:asciiTheme="minorHAnsi" w:hAnsiTheme="minorHAnsi" w:cstheme="minorHAnsi"/>
          <w:i/>
        </w:rPr>
        <w:t>ABC Premium News</w:t>
      </w:r>
      <w:r w:rsidRPr="00567CB3">
        <w:rPr>
          <w:rFonts w:asciiTheme="minorHAnsi" w:hAnsiTheme="minorHAnsi" w:cstheme="minorHAnsi"/>
        </w:rPr>
        <w:t>, 10 February.</w:t>
      </w:r>
    </w:p>
    <w:p w:rsidR="00135913" w:rsidRPr="00567CB3" w:rsidRDefault="00135913" w:rsidP="007622E8">
      <w:pPr>
        <w:pStyle w:val="BodyText"/>
        <w:spacing w:before="6"/>
        <w:ind w:left="1440"/>
        <w:rPr>
          <w:rFonts w:asciiTheme="minorHAnsi" w:hAnsiTheme="minorHAnsi" w:cstheme="minorHAnsi"/>
        </w:rPr>
      </w:pPr>
    </w:p>
    <w:p w:rsidR="00135913" w:rsidRPr="00567CB3" w:rsidRDefault="00135913" w:rsidP="007622E8">
      <w:pPr>
        <w:pStyle w:val="BodyText"/>
        <w:spacing w:before="1" w:line="314" w:lineRule="auto"/>
        <w:ind w:left="1440" w:right="1304"/>
        <w:rPr>
          <w:rFonts w:asciiTheme="minorHAnsi" w:hAnsiTheme="minorHAnsi" w:cstheme="minorHAnsi"/>
        </w:rPr>
      </w:pPr>
      <w:r w:rsidRPr="00567CB3">
        <w:rPr>
          <w:rFonts w:asciiTheme="minorHAnsi" w:hAnsiTheme="minorHAnsi" w:cstheme="minorHAnsi"/>
        </w:rPr>
        <w:t>Cowlishaw,</w:t>
      </w:r>
      <w:r w:rsidRPr="00567CB3">
        <w:rPr>
          <w:rFonts w:asciiTheme="minorHAnsi" w:hAnsiTheme="minorHAnsi" w:cstheme="minorHAnsi"/>
          <w:spacing w:val="-8"/>
        </w:rPr>
        <w:t xml:space="preserve"> </w:t>
      </w:r>
      <w:r w:rsidRPr="00567CB3">
        <w:rPr>
          <w:rFonts w:asciiTheme="minorHAnsi" w:hAnsiTheme="minorHAnsi" w:cstheme="minorHAnsi"/>
        </w:rPr>
        <w:t>G.,</w:t>
      </w:r>
      <w:r w:rsidRPr="00567CB3">
        <w:rPr>
          <w:rFonts w:asciiTheme="minorHAnsi" w:hAnsiTheme="minorHAnsi" w:cstheme="minorHAnsi"/>
          <w:spacing w:val="-8"/>
        </w:rPr>
        <w:t xml:space="preserve"> </w:t>
      </w:r>
      <w:r w:rsidRPr="00567CB3">
        <w:rPr>
          <w:rFonts w:asciiTheme="minorHAnsi" w:hAnsiTheme="minorHAnsi" w:cstheme="minorHAnsi"/>
        </w:rPr>
        <w:t>2003.</w:t>
      </w:r>
      <w:r w:rsidRPr="00567CB3">
        <w:rPr>
          <w:rFonts w:asciiTheme="minorHAnsi" w:hAnsiTheme="minorHAnsi" w:cstheme="minorHAnsi"/>
          <w:spacing w:val="-7"/>
        </w:rPr>
        <w:t xml:space="preserve"> </w:t>
      </w:r>
      <w:r w:rsidRPr="00567CB3">
        <w:rPr>
          <w:rFonts w:asciiTheme="minorHAnsi" w:hAnsiTheme="minorHAnsi" w:cstheme="minorHAnsi"/>
        </w:rPr>
        <w:t>Disappointing</w:t>
      </w:r>
      <w:r w:rsidRPr="00567CB3">
        <w:rPr>
          <w:rFonts w:asciiTheme="minorHAnsi" w:hAnsiTheme="minorHAnsi" w:cstheme="minorHAnsi"/>
          <w:spacing w:val="-8"/>
        </w:rPr>
        <w:t xml:space="preserve"> </w:t>
      </w:r>
      <w:r w:rsidRPr="00567CB3">
        <w:rPr>
          <w:rFonts w:asciiTheme="minorHAnsi" w:hAnsiTheme="minorHAnsi" w:cstheme="minorHAnsi"/>
        </w:rPr>
        <w:t>Indigenous</w:t>
      </w:r>
      <w:r w:rsidRPr="00567CB3">
        <w:rPr>
          <w:rFonts w:asciiTheme="minorHAnsi" w:hAnsiTheme="minorHAnsi" w:cstheme="minorHAnsi"/>
          <w:spacing w:val="-8"/>
        </w:rPr>
        <w:t xml:space="preserve"> </w:t>
      </w:r>
      <w:r w:rsidRPr="00567CB3">
        <w:rPr>
          <w:rFonts w:asciiTheme="minorHAnsi" w:hAnsiTheme="minorHAnsi" w:cstheme="minorHAnsi"/>
        </w:rPr>
        <w:t>People:</w:t>
      </w:r>
      <w:r w:rsidRPr="00567CB3">
        <w:rPr>
          <w:rFonts w:asciiTheme="minorHAnsi" w:hAnsiTheme="minorHAnsi" w:cstheme="minorHAnsi"/>
          <w:spacing w:val="-7"/>
        </w:rPr>
        <w:t xml:space="preserve"> </w:t>
      </w:r>
      <w:r w:rsidRPr="00567CB3">
        <w:rPr>
          <w:rFonts w:asciiTheme="minorHAnsi" w:hAnsiTheme="minorHAnsi" w:cstheme="minorHAnsi"/>
        </w:rPr>
        <w:t>Violence</w:t>
      </w:r>
      <w:r w:rsidRPr="00567CB3">
        <w:rPr>
          <w:rFonts w:asciiTheme="minorHAnsi" w:hAnsiTheme="minorHAnsi" w:cstheme="minorHAnsi"/>
          <w:spacing w:val="-9"/>
        </w:rPr>
        <w:t xml:space="preserve"> </w:t>
      </w:r>
      <w:r w:rsidRPr="00567CB3">
        <w:rPr>
          <w:rFonts w:asciiTheme="minorHAnsi" w:hAnsiTheme="minorHAnsi" w:cstheme="minorHAnsi"/>
        </w:rPr>
        <w:t>and</w:t>
      </w:r>
      <w:r w:rsidRPr="00567CB3">
        <w:rPr>
          <w:rFonts w:asciiTheme="minorHAnsi" w:hAnsiTheme="minorHAnsi" w:cstheme="minorHAnsi"/>
          <w:spacing w:val="-8"/>
        </w:rPr>
        <w:t xml:space="preserve"> </w:t>
      </w:r>
      <w:r w:rsidRPr="00567CB3">
        <w:rPr>
          <w:rFonts w:asciiTheme="minorHAnsi" w:hAnsiTheme="minorHAnsi" w:cstheme="minorHAnsi"/>
        </w:rPr>
        <w:t>the</w:t>
      </w:r>
      <w:r w:rsidRPr="00567CB3">
        <w:rPr>
          <w:rFonts w:asciiTheme="minorHAnsi" w:hAnsiTheme="minorHAnsi" w:cstheme="minorHAnsi"/>
          <w:spacing w:val="-3"/>
        </w:rPr>
        <w:t xml:space="preserve"> </w:t>
      </w:r>
      <w:r w:rsidRPr="00567CB3">
        <w:rPr>
          <w:rFonts w:asciiTheme="minorHAnsi" w:hAnsiTheme="minorHAnsi" w:cstheme="minorHAnsi"/>
        </w:rPr>
        <w:t>Refusal</w:t>
      </w:r>
      <w:r w:rsidRPr="00567CB3">
        <w:rPr>
          <w:rFonts w:asciiTheme="minorHAnsi" w:hAnsiTheme="minorHAnsi" w:cstheme="minorHAnsi"/>
          <w:spacing w:val="-8"/>
        </w:rPr>
        <w:t xml:space="preserve"> </w:t>
      </w:r>
      <w:r w:rsidRPr="00567CB3">
        <w:rPr>
          <w:rFonts w:asciiTheme="minorHAnsi" w:hAnsiTheme="minorHAnsi" w:cstheme="minorHAnsi"/>
        </w:rPr>
        <w:t>of</w:t>
      </w:r>
      <w:r w:rsidRPr="00567CB3">
        <w:rPr>
          <w:rFonts w:asciiTheme="minorHAnsi" w:hAnsiTheme="minorHAnsi" w:cstheme="minorHAnsi"/>
          <w:spacing w:val="-8"/>
        </w:rPr>
        <w:t xml:space="preserve"> </w:t>
      </w:r>
      <w:r w:rsidRPr="00567CB3">
        <w:rPr>
          <w:rFonts w:asciiTheme="minorHAnsi" w:hAnsiTheme="minorHAnsi" w:cstheme="minorHAnsi"/>
        </w:rPr>
        <w:t>Help.</w:t>
      </w:r>
      <w:r w:rsidRPr="00567CB3">
        <w:rPr>
          <w:rFonts w:asciiTheme="minorHAnsi" w:hAnsiTheme="minorHAnsi" w:cstheme="minorHAnsi"/>
          <w:spacing w:val="-7"/>
        </w:rPr>
        <w:t xml:space="preserve"> </w:t>
      </w:r>
      <w:r w:rsidRPr="00567CB3">
        <w:rPr>
          <w:rFonts w:asciiTheme="minorHAnsi" w:hAnsiTheme="minorHAnsi" w:cstheme="minorHAnsi"/>
          <w:i/>
        </w:rPr>
        <w:t>Public</w:t>
      </w:r>
      <w:r w:rsidRPr="00567CB3">
        <w:rPr>
          <w:rFonts w:asciiTheme="minorHAnsi" w:hAnsiTheme="minorHAnsi" w:cstheme="minorHAnsi"/>
          <w:i/>
          <w:spacing w:val="-24"/>
        </w:rPr>
        <w:t xml:space="preserve"> </w:t>
      </w:r>
      <w:r w:rsidRPr="00567CB3">
        <w:rPr>
          <w:rFonts w:asciiTheme="minorHAnsi" w:hAnsiTheme="minorHAnsi" w:cstheme="minorHAnsi"/>
          <w:i/>
        </w:rPr>
        <w:t>Culture,</w:t>
      </w:r>
      <w:r w:rsidRPr="00567CB3">
        <w:rPr>
          <w:rFonts w:asciiTheme="minorHAnsi" w:hAnsiTheme="minorHAnsi" w:cstheme="minorHAnsi"/>
          <w:i/>
          <w:spacing w:val="-21"/>
        </w:rPr>
        <w:t xml:space="preserve"> </w:t>
      </w:r>
      <w:r w:rsidRPr="00567CB3">
        <w:rPr>
          <w:rFonts w:asciiTheme="minorHAnsi" w:hAnsiTheme="minorHAnsi" w:cstheme="minorHAnsi"/>
        </w:rPr>
        <w:t>15(1), pp.</w:t>
      </w:r>
      <w:r w:rsidRPr="00567CB3">
        <w:rPr>
          <w:rFonts w:asciiTheme="minorHAnsi" w:hAnsiTheme="minorHAnsi" w:cstheme="minorHAnsi"/>
          <w:spacing w:val="-1"/>
        </w:rPr>
        <w:t xml:space="preserve"> </w:t>
      </w:r>
      <w:r w:rsidRPr="00567CB3">
        <w:rPr>
          <w:rFonts w:asciiTheme="minorHAnsi" w:hAnsiTheme="minorHAnsi" w:cstheme="minorHAnsi"/>
        </w:rPr>
        <w:t>103-125.</w:t>
      </w:r>
    </w:p>
    <w:p w:rsidR="00135913" w:rsidRPr="00567CB3" w:rsidRDefault="00135913" w:rsidP="007622E8">
      <w:pPr>
        <w:pStyle w:val="BodyText"/>
        <w:spacing w:before="4"/>
        <w:ind w:left="1440"/>
        <w:rPr>
          <w:rFonts w:asciiTheme="minorHAnsi" w:hAnsiTheme="minorHAnsi" w:cstheme="minorHAnsi"/>
        </w:rPr>
      </w:pPr>
    </w:p>
    <w:p w:rsidR="00135913" w:rsidRPr="00567CB3" w:rsidRDefault="00135913" w:rsidP="007622E8">
      <w:pPr>
        <w:pStyle w:val="BodyText"/>
        <w:ind w:left="1440"/>
        <w:rPr>
          <w:rFonts w:asciiTheme="minorHAnsi" w:hAnsiTheme="minorHAnsi" w:cstheme="minorHAnsi"/>
        </w:rPr>
      </w:pPr>
      <w:r w:rsidRPr="00567CB3">
        <w:rPr>
          <w:rFonts w:asciiTheme="minorHAnsi" w:hAnsiTheme="minorHAnsi" w:cstheme="minorHAnsi"/>
        </w:rPr>
        <w:t xml:space="preserve">Cox, E., 2014. Closing the Gap: we know what works, so why don't we do it?. </w:t>
      </w:r>
      <w:r w:rsidRPr="00567CB3">
        <w:rPr>
          <w:rFonts w:asciiTheme="minorHAnsi" w:hAnsiTheme="minorHAnsi" w:cstheme="minorHAnsi"/>
          <w:i/>
        </w:rPr>
        <w:t>The Conversation</w:t>
      </w:r>
      <w:r w:rsidRPr="00567CB3">
        <w:rPr>
          <w:rFonts w:asciiTheme="minorHAnsi" w:hAnsiTheme="minorHAnsi" w:cstheme="minorHAnsi"/>
        </w:rPr>
        <w:t>, 19 February.</w:t>
      </w:r>
    </w:p>
    <w:p w:rsidR="00135913" w:rsidRPr="00567CB3" w:rsidRDefault="00135913" w:rsidP="007622E8">
      <w:pPr>
        <w:pStyle w:val="BodyText"/>
        <w:spacing w:before="7"/>
        <w:ind w:left="1440"/>
        <w:rPr>
          <w:rFonts w:asciiTheme="minorHAnsi" w:hAnsiTheme="minorHAnsi" w:cstheme="minorHAnsi"/>
        </w:rPr>
      </w:pPr>
    </w:p>
    <w:p w:rsidR="00135913" w:rsidRPr="00567CB3" w:rsidRDefault="00135913" w:rsidP="007622E8">
      <w:pPr>
        <w:pStyle w:val="BodyText"/>
        <w:spacing w:before="1" w:line="312" w:lineRule="auto"/>
        <w:ind w:left="1440" w:right="1304"/>
        <w:rPr>
          <w:rFonts w:asciiTheme="minorHAnsi" w:hAnsiTheme="minorHAnsi" w:cstheme="minorHAnsi"/>
        </w:rPr>
      </w:pPr>
      <w:r w:rsidRPr="00567CB3">
        <w:rPr>
          <w:rFonts w:asciiTheme="minorHAnsi" w:hAnsiTheme="minorHAnsi" w:cstheme="minorHAnsi"/>
        </w:rPr>
        <w:t>Davies,</w:t>
      </w:r>
      <w:r w:rsidRPr="00567CB3">
        <w:rPr>
          <w:rFonts w:asciiTheme="minorHAnsi" w:hAnsiTheme="minorHAnsi" w:cstheme="minorHAnsi"/>
          <w:spacing w:val="-9"/>
        </w:rPr>
        <w:t xml:space="preserve"> </w:t>
      </w:r>
      <w:r w:rsidRPr="00567CB3">
        <w:rPr>
          <w:rFonts w:asciiTheme="minorHAnsi" w:hAnsiTheme="minorHAnsi" w:cstheme="minorHAnsi"/>
        </w:rPr>
        <w:t>K.,</w:t>
      </w:r>
      <w:r w:rsidRPr="00567CB3">
        <w:rPr>
          <w:rFonts w:asciiTheme="minorHAnsi" w:hAnsiTheme="minorHAnsi" w:cstheme="minorHAnsi"/>
          <w:spacing w:val="-9"/>
        </w:rPr>
        <w:t xml:space="preserve"> </w:t>
      </w:r>
      <w:r w:rsidRPr="00567CB3">
        <w:rPr>
          <w:rFonts w:asciiTheme="minorHAnsi" w:hAnsiTheme="minorHAnsi" w:cstheme="minorHAnsi"/>
        </w:rPr>
        <w:t>2012.</w:t>
      </w:r>
      <w:r w:rsidRPr="00567CB3">
        <w:rPr>
          <w:rFonts w:asciiTheme="minorHAnsi" w:hAnsiTheme="minorHAnsi" w:cstheme="minorHAnsi"/>
          <w:spacing w:val="-9"/>
        </w:rPr>
        <w:t xml:space="preserve"> </w:t>
      </w:r>
      <w:r w:rsidRPr="00567CB3">
        <w:rPr>
          <w:rFonts w:asciiTheme="minorHAnsi" w:hAnsiTheme="minorHAnsi" w:cstheme="minorHAnsi"/>
        </w:rPr>
        <w:t>Closing</w:t>
      </w:r>
      <w:r w:rsidRPr="00567CB3">
        <w:rPr>
          <w:rFonts w:asciiTheme="minorHAnsi" w:hAnsiTheme="minorHAnsi" w:cstheme="minorHAnsi"/>
          <w:spacing w:val="-8"/>
        </w:rPr>
        <w:t xml:space="preserve"> </w:t>
      </w:r>
      <w:r w:rsidRPr="00567CB3">
        <w:rPr>
          <w:rFonts w:asciiTheme="minorHAnsi" w:hAnsiTheme="minorHAnsi" w:cstheme="minorHAnsi"/>
        </w:rPr>
        <w:t>the</w:t>
      </w:r>
      <w:r w:rsidRPr="00567CB3">
        <w:rPr>
          <w:rFonts w:asciiTheme="minorHAnsi" w:hAnsiTheme="minorHAnsi" w:cstheme="minorHAnsi"/>
          <w:spacing w:val="-10"/>
        </w:rPr>
        <w:t xml:space="preserve"> </w:t>
      </w:r>
      <w:r w:rsidRPr="00567CB3">
        <w:rPr>
          <w:rFonts w:asciiTheme="minorHAnsi" w:hAnsiTheme="minorHAnsi" w:cstheme="minorHAnsi"/>
        </w:rPr>
        <w:t>gap,</w:t>
      </w:r>
      <w:r w:rsidRPr="00567CB3">
        <w:rPr>
          <w:rFonts w:asciiTheme="minorHAnsi" w:hAnsiTheme="minorHAnsi" w:cstheme="minorHAnsi"/>
          <w:spacing w:val="-8"/>
        </w:rPr>
        <w:t xml:space="preserve"> </w:t>
      </w:r>
      <w:r w:rsidRPr="00567CB3">
        <w:rPr>
          <w:rFonts w:asciiTheme="minorHAnsi" w:hAnsiTheme="minorHAnsi" w:cstheme="minorHAnsi"/>
        </w:rPr>
        <w:t>or</w:t>
      </w:r>
      <w:r w:rsidRPr="00567CB3">
        <w:rPr>
          <w:rFonts w:asciiTheme="minorHAnsi" w:hAnsiTheme="minorHAnsi" w:cstheme="minorHAnsi"/>
          <w:spacing w:val="-9"/>
        </w:rPr>
        <w:t xml:space="preserve"> </w:t>
      </w:r>
      <w:r w:rsidRPr="00567CB3">
        <w:rPr>
          <w:rFonts w:asciiTheme="minorHAnsi" w:hAnsiTheme="minorHAnsi" w:cstheme="minorHAnsi"/>
        </w:rPr>
        <w:t>making</w:t>
      </w:r>
      <w:r w:rsidRPr="00567CB3">
        <w:rPr>
          <w:rFonts w:asciiTheme="minorHAnsi" w:hAnsiTheme="minorHAnsi" w:cstheme="minorHAnsi"/>
          <w:spacing w:val="-10"/>
        </w:rPr>
        <w:t xml:space="preserve"> </w:t>
      </w:r>
      <w:r w:rsidRPr="00567CB3">
        <w:rPr>
          <w:rFonts w:asciiTheme="minorHAnsi" w:hAnsiTheme="minorHAnsi" w:cstheme="minorHAnsi"/>
        </w:rPr>
        <w:t>it</w:t>
      </w:r>
      <w:r w:rsidRPr="00567CB3">
        <w:rPr>
          <w:rFonts w:asciiTheme="minorHAnsi" w:hAnsiTheme="minorHAnsi" w:cstheme="minorHAnsi"/>
          <w:spacing w:val="-7"/>
        </w:rPr>
        <w:t xml:space="preserve"> </w:t>
      </w:r>
      <w:r w:rsidRPr="00567CB3">
        <w:rPr>
          <w:rFonts w:asciiTheme="minorHAnsi" w:hAnsiTheme="minorHAnsi" w:cstheme="minorHAnsi"/>
        </w:rPr>
        <w:t>wider?</w:t>
      </w:r>
      <w:r w:rsidRPr="00567CB3">
        <w:rPr>
          <w:rFonts w:asciiTheme="minorHAnsi" w:hAnsiTheme="minorHAnsi" w:cstheme="minorHAnsi"/>
          <w:spacing w:val="-7"/>
        </w:rPr>
        <w:t xml:space="preserve"> </w:t>
      </w:r>
      <w:r w:rsidRPr="00567CB3">
        <w:rPr>
          <w:rFonts w:asciiTheme="minorHAnsi" w:hAnsiTheme="minorHAnsi" w:cstheme="minorHAnsi"/>
        </w:rPr>
        <w:t>Putting</w:t>
      </w:r>
      <w:r w:rsidRPr="00567CB3">
        <w:rPr>
          <w:rFonts w:asciiTheme="minorHAnsi" w:hAnsiTheme="minorHAnsi" w:cstheme="minorHAnsi"/>
          <w:spacing w:val="-9"/>
        </w:rPr>
        <w:t xml:space="preserve"> </w:t>
      </w:r>
      <w:r w:rsidRPr="00567CB3">
        <w:rPr>
          <w:rFonts w:asciiTheme="minorHAnsi" w:hAnsiTheme="minorHAnsi" w:cstheme="minorHAnsi"/>
        </w:rPr>
        <w:t>a</w:t>
      </w:r>
      <w:r w:rsidRPr="00567CB3">
        <w:rPr>
          <w:rFonts w:asciiTheme="minorHAnsi" w:hAnsiTheme="minorHAnsi" w:cstheme="minorHAnsi"/>
          <w:spacing w:val="-8"/>
        </w:rPr>
        <w:t xml:space="preserve"> </w:t>
      </w:r>
      <w:r w:rsidRPr="00567CB3">
        <w:rPr>
          <w:rFonts w:asciiTheme="minorHAnsi" w:hAnsiTheme="minorHAnsi" w:cstheme="minorHAnsi"/>
        </w:rPr>
        <w:t>value</w:t>
      </w:r>
      <w:r w:rsidRPr="00567CB3">
        <w:rPr>
          <w:rFonts w:asciiTheme="minorHAnsi" w:hAnsiTheme="minorHAnsi" w:cstheme="minorHAnsi"/>
          <w:spacing w:val="-10"/>
        </w:rPr>
        <w:t xml:space="preserve"> </w:t>
      </w:r>
      <w:r w:rsidRPr="00567CB3">
        <w:rPr>
          <w:rFonts w:asciiTheme="minorHAnsi" w:hAnsiTheme="minorHAnsi" w:cstheme="minorHAnsi"/>
        </w:rPr>
        <w:t>on</w:t>
      </w:r>
      <w:r w:rsidRPr="00567CB3">
        <w:rPr>
          <w:rFonts w:asciiTheme="minorHAnsi" w:hAnsiTheme="minorHAnsi" w:cstheme="minorHAnsi"/>
          <w:spacing w:val="-9"/>
        </w:rPr>
        <w:t xml:space="preserve"> </w:t>
      </w:r>
      <w:r w:rsidRPr="00567CB3">
        <w:rPr>
          <w:rFonts w:asciiTheme="minorHAnsi" w:hAnsiTheme="minorHAnsi" w:cstheme="minorHAnsi"/>
        </w:rPr>
        <w:t>Indigenous</w:t>
      </w:r>
      <w:r w:rsidRPr="00567CB3">
        <w:rPr>
          <w:rFonts w:asciiTheme="minorHAnsi" w:hAnsiTheme="minorHAnsi" w:cstheme="minorHAnsi"/>
          <w:spacing w:val="-8"/>
        </w:rPr>
        <w:t xml:space="preserve"> </w:t>
      </w:r>
      <w:r w:rsidRPr="00567CB3">
        <w:rPr>
          <w:rFonts w:asciiTheme="minorHAnsi" w:hAnsiTheme="minorHAnsi" w:cstheme="minorHAnsi"/>
        </w:rPr>
        <w:t>jobs.</w:t>
      </w:r>
      <w:r w:rsidRPr="00567CB3">
        <w:rPr>
          <w:rFonts w:asciiTheme="minorHAnsi" w:hAnsiTheme="minorHAnsi" w:cstheme="minorHAnsi"/>
          <w:spacing w:val="-2"/>
        </w:rPr>
        <w:t xml:space="preserve"> </w:t>
      </w:r>
      <w:r w:rsidRPr="00567CB3">
        <w:rPr>
          <w:rFonts w:asciiTheme="minorHAnsi" w:hAnsiTheme="minorHAnsi" w:cstheme="minorHAnsi"/>
          <w:i/>
        </w:rPr>
        <w:t>The</w:t>
      </w:r>
      <w:r w:rsidRPr="00567CB3">
        <w:rPr>
          <w:rFonts w:asciiTheme="minorHAnsi" w:hAnsiTheme="minorHAnsi" w:cstheme="minorHAnsi"/>
          <w:i/>
          <w:spacing w:val="-25"/>
        </w:rPr>
        <w:t xml:space="preserve"> </w:t>
      </w:r>
      <w:r w:rsidRPr="00567CB3">
        <w:rPr>
          <w:rFonts w:asciiTheme="minorHAnsi" w:hAnsiTheme="minorHAnsi" w:cstheme="minorHAnsi"/>
          <w:i/>
        </w:rPr>
        <w:t>Conversation</w:t>
      </w:r>
      <w:r w:rsidRPr="00567CB3">
        <w:rPr>
          <w:rFonts w:asciiTheme="minorHAnsi" w:hAnsiTheme="minorHAnsi" w:cstheme="minorHAnsi"/>
        </w:rPr>
        <w:t>,</w:t>
      </w:r>
      <w:r w:rsidRPr="00567CB3">
        <w:rPr>
          <w:rFonts w:asciiTheme="minorHAnsi" w:hAnsiTheme="minorHAnsi" w:cstheme="minorHAnsi"/>
          <w:spacing w:val="-8"/>
        </w:rPr>
        <w:t xml:space="preserve"> </w:t>
      </w:r>
      <w:r w:rsidRPr="00567CB3">
        <w:rPr>
          <w:rFonts w:asciiTheme="minorHAnsi" w:hAnsiTheme="minorHAnsi" w:cstheme="minorHAnsi"/>
        </w:rPr>
        <w:t>18 May.</w:t>
      </w:r>
    </w:p>
    <w:p w:rsidR="00135913" w:rsidRPr="00567CB3" w:rsidRDefault="00135913" w:rsidP="00135913">
      <w:pPr>
        <w:spacing w:line="312" w:lineRule="auto"/>
        <w:rPr>
          <w:rFonts w:asciiTheme="minorHAnsi" w:hAnsiTheme="minorHAnsi" w:cstheme="minorHAnsi"/>
          <w:sz w:val="19"/>
          <w:szCs w:val="19"/>
        </w:rPr>
        <w:sectPr w:rsidR="00135913" w:rsidRPr="00567CB3">
          <w:pgSz w:w="11910" w:h="16840"/>
          <w:pgMar w:top="1440" w:right="0" w:bottom="980" w:left="0" w:header="0" w:footer="798" w:gutter="0"/>
          <w:cols w:space="720"/>
        </w:sectPr>
      </w:pPr>
    </w:p>
    <w:p w:rsidR="00135913" w:rsidRPr="00567CB3" w:rsidRDefault="00135913" w:rsidP="00305C0E">
      <w:pPr>
        <w:spacing w:before="41" w:line="312" w:lineRule="auto"/>
        <w:ind w:left="1440" w:right="1304"/>
        <w:rPr>
          <w:rFonts w:asciiTheme="minorHAnsi" w:hAnsiTheme="minorHAnsi" w:cstheme="minorHAnsi"/>
          <w:sz w:val="19"/>
          <w:szCs w:val="19"/>
        </w:rPr>
      </w:pPr>
      <w:r w:rsidRPr="00567CB3">
        <w:rPr>
          <w:rFonts w:asciiTheme="minorHAnsi" w:hAnsiTheme="minorHAnsi" w:cstheme="minorHAnsi"/>
          <w:w w:val="95"/>
          <w:sz w:val="19"/>
          <w:szCs w:val="19"/>
        </w:rPr>
        <w:t xml:space="preserve">Department of Health, 2015. </w:t>
      </w:r>
      <w:r w:rsidRPr="00567CB3">
        <w:rPr>
          <w:rFonts w:asciiTheme="minorHAnsi" w:hAnsiTheme="minorHAnsi" w:cstheme="minorHAnsi"/>
          <w:i/>
          <w:w w:val="95"/>
          <w:sz w:val="19"/>
          <w:szCs w:val="19"/>
        </w:rPr>
        <w:t xml:space="preserve">Implementation Plan for the National Aboriginal and Torres Strait Islander Health </w:t>
      </w:r>
      <w:r w:rsidRPr="00567CB3">
        <w:rPr>
          <w:rFonts w:asciiTheme="minorHAnsi" w:hAnsiTheme="minorHAnsi" w:cstheme="minorHAnsi"/>
          <w:i/>
          <w:sz w:val="19"/>
          <w:szCs w:val="19"/>
        </w:rPr>
        <w:t xml:space="preserve">Plan 2013 - 2023, </w:t>
      </w:r>
      <w:r w:rsidRPr="00567CB3">
        <w:rPr>
          <w:rFonts w:asciiTheme="minorHAnsi" w:hAnsiTheme="minorHAnsi" w:cstheme="minorHAnsi"/>
          <w:sz w:val="19"/>
          <w:szCs w:val="19"/>
        </w:rPr>
        <w:t>Canberra: Australian Government.</w:t>
      </w:r>
    </w:p>
    <w:p w:rsidR="00135913" w:rsidRPr="00567CB3" w:rsidRDefault="00135913" w:rsidP="00305C0E">
      <w:pPr>
        <w:pStyle w:val="BodyText"/>
        <w:spacing w:before="7"/>
        <w:ind w:left="1440"/>
        <w:rPr>
          <w:rFonts w:asciiTheme="minorHAnsi" w:hAnsiTheme="minorHAnsi" w:cstheme="minorHAnsi"/>
        </w:rPr>
      </w:pPr>
    </w:p>
    <w:p w:rsidR="00135913" w:rsidRPr="00567CB3" w:rsidRDefault="00135913" w:rsidP="00305C0E">
      <w:pPr>
        <w:spacing w:line="314" w:lineRule="auto"/>
        <w:ind w:left="1440" w:right="1304"/>
        <w:rPr>
          <w:rFonts w:asciiTheme="minorHAnsi" w:hAnsiTheme="minorHAnsi" w:cstheme="minorHAnsi"/>
          <w:sz w:val="19"/>
          <w:szCs w:val="19"/>
        </w:rPr>
      </w:pPr>
      <w:r w:rsidRPr="00567CB3">
        <w:rPr>
          <w:rFonts w:asciiTheme="minorHAnsi" w:hAnsiTheme="minorHAnsi" w:cstheme="minorHAnsi"/>
          <w:sz w:val="19"/>
          <w:szCs w:val="19"/>
        </w:rPr>
        <w:t>Department</w:t>
      </w:r>
      <w:r w:rsidRPr="00567CB3">
        <w:rPr>
          <w:rFonts w:asciiTheme="minorHAnsi" w:hAnsiTheme="minorHAnsi" w:cstheme="minorHAnsi"/>
          <w:spacing w:val="-21"/>
          <w:sz w:val="19"/>
          <w:szCs w:val="19"/>
        </w:rPr>
        <w:t xml:space="preserve"> </w:t>
      </w:r>
      <w:r w:rsidRPr="00567CB3">
        <w:rPr>
          <w:rFonts w:asciiTheme="minorHAnsi" w:hAnsiTheme="minorHAnsi" w:cstheme="minorHAnsi"/>
          <w:sz w:val="19"/>
          <w:szCs w:val="19"/>
        </w:rPr>
        <w:t>of</w:t>
      </w:r>
      <w:r w:rsidRPr="00567CB3">
        <w:rPr>
          <w:rFonts w:asciiTheme="minorHAnsi" w:hAnsiTheme="minorHAnsi" w:cstheme="minorHAnsi"/>
          <w:spacing w:val="-22"/>
          <w:sz w:val="19"/>
          <w:szCs w:val="19"/>
        </w:rPr>
        <w:t xml:space="preserve"> </w:t>
      </w:r>
      <w:r w:rsidRPr="00567CB3">
        <w:rPr>
          <w:rFonts w:asciiTheme="minorHAnsi" w:hAnsiTheme="minorHAnsi" w:cstheme="minorHAnsi"/>
          <w:sz w:val="19"/>
          <w:szCs w:val="19"/>
        </w:rPr>
        <w:t>the</w:t>
      </w:r>
      <w:r w:rsidRPr="00567CB3">
        <w:rPr>
          <w:rFonts w:asciiTheme="minorHAnsi" w:hAnsiTheme="minorHAnsi" w:cstheme="minorHAnsi"/>
          <w:spacing w:val="-20"/>
          <w:sz w:val="19"/>
          <w:szCs w:val="19"/>
        </w:rPr>
        <w:t xml:space="preserve"> </w:t>
      </w:r>
      <w:r w:rsidRPr="00567CB3">
        <w:rPr>
          <w:rFonts w:asciiTheme="minorHAnsi" w:hAnsiTheme="minorHAnsi" w:cstheme="minorHAnsi"/>
          <w:sz w:val="19"/>
          <w:szCs w:val="19"/>
        </w:rPr>
        <w:t>Prime</w:t>
      </w:r>
      <w:r w:rsidRPr="00567CB3">
        <w:rPr>
          <w:rFonts w:asciiTheme="minorHAnsi" w:hAnsiTheme="minorHAnsi" w:cstheme="minorHAnsi"/>
          <w:spacing w:val="-22"/>
          <w:sz w:val="19"/>
          <w:szCs w:val="19"/>
        </w:rPr>
        <w:t xml:space="preserve"> </w:t>
      </w:r>
      <w:r w:rsidRPr="00567CB3">
        <w:rPr>
          <w:rFonts w:asciiTheme="minorHAnsi" w:hAnsiTheme="minorHAnsi" w:cstheme="minorHAnsi"/>
          <w:sz w:val="19"/>
          <w:szCs w:val="19"/>
        </w:rPr>
        <w:t>Minister</w:t>
      </w:r>
      <w:r w:rsidRPr="00567CB3">
        <w:rPr>
          <w:rFonts w:asciiTheme="minorHAnsi" w:hAnsiTheme="minorHAnsi" w:cstheme="minorHAnsi"/>
          <w:spacing w:val="-21"/>
          <w:sz w:val="19"/>
          <w:szCs w:val="19"/>
        </w:rPr>
        <w:t xml:space="preserve"> </w:t>
      </w:r>
      <w:r w:rsidRPr="00567CB3">
        <w:rPr>
          <w:rFonts w:asciiTheme="minorHAnsi" w:hAnsiTheme="minorHAnsi" w:cstheme="minorHAnsi"/>
          <w:sz w:val="19"/>
          <w:szCs w:val="19"/>
        </w:rPr>
        <w:t>and</w:t>
      </w:r>
      <w:r w:rsidRPr="00567CB3">
        <w:rPr>
          <w:rFonts w:asciiTheme="minorHAnsi" w:hAnsiTheme="minorHAnsi" w:cstheme="minorHAnsi"/>
          <w:spacing w:val="-22"/>
          <w:sz w:val="19"/>
          <w:szCs w:val="19"/>
        </w:rPr>
        <w:t xml:space="preserve"> </w:t>
      </w:r>
      <w:r w:rsidRPr="00567CB3">
        <w:rPr>
          <w:rFonts w:asciiTheme="minorHAnsi" w:hAnsiTheme="minorHAnsi" w:cstheme="minorHAnsi"/>
          <w:sz w:val="19"/>
          <w:szCs w:val="19"/>
        </w:rPr>
        <w:t>Cabinet,</w:t>
      </w:r>
      <w:r w:rsidRPr="00567CB3">
        <w:rPr>
          <w:rFonts w:asciiTheme="minorHAnsi" w:hAnsiTheme="minorHAnsi" w:cstheme="minorHAnsi"/>
          <w:spacing w:val="-20"/>
          <w:sz w:val="19"/>
          <w:szCs w:val="19"/>
        </w:rPr>
        <w:t xml:space="preserve"> </w:t>
      </w:r>
      <w:r w:rsidRPr="00567CB3">
        <w:rPr>
          <w:rFonts w:asciiTheme="minorHAnsi" w:hAnsiTheme="minorHAnsi" w:cstheme="minorHAnsi"/>
          <w:sz w:val="19"/>
          <w:szCs w:val="19"/>
        </w:rPr>
        <w:t>2017.</w:t>
      </w:r>
      <w:r w:rsidRPr="00567CB3">
        <w:rPr>
          <w:rFonts w:asciiTheme="minorHAnsi" w:hAnsiTheme="minorHAnsi" w:cstheme="minorHAnsi"/>
          <w:spacing w:val="-19"/>
          <w:sz w:val="19"/>
          <w:szCs w:val="19"/>
        </w:rPr>
        <w:t xml:space="preserve"> </w:t>
      </w:r>
      <w:r w:rsidRPr="00567CB3">
        <w:rPr>
          <w:rFonts w:asciiTheme="minorHAnsi" w:hAnsiTheme="minorHAnsi" w:cstheme="minorHAnsi"/>
          <w:i/>
          <w:sz w:val="19"/>
          <w:szCs w:val="19"/>
        </w:rPr>
        <w:t>Closing</w:t>
      </w:r>
      <w:r w:rsidRPr="00567CB3">
        <w:rPr>
          <w:rFonts w:asciiTheme="minorHAnsi" w:hAnsiTheme="minorHAnsi" w:cstheme="minorHAnsi"/>
          <w:i/>
          <w:spacing w:val="-37"/>
          <w:sz w:val="19"/>
          <w:szCs w:val="19"/>
        </w:rPr>
        <w:t xml:space="preserve"> </w:t>
      </w:r>
      <w:r w:rsidRPr="00567CB3">
        <w:rPr>
          <w:rFonts w:asciiTheme="minorHAnsi" w:hAnsiTheme="minorHAnsi" w:cstheme="minorHAnsi"/>
          <w:i/>
          <w:sz w:val="19"/>
          <w:szCs w:val="19"/>
        </w:rPr>
        <w:t>the</w:t>
      </w:r>
      <w:r w:rsidRPr="00567CB3">
        <w:rPr>
          <w:rFonts w:asciiTheme="minorHAnsi" w:hAnsiTheme="minorHAnsi" w:cstheme="minorHAnsi"/>
          <w:i/>
          <w:spacing w:val="-37"/>
          <w:sz w:val="19"/>
          <w:szCs w:val="19"/>
        </w:rPr>
        <w:t xml:space="preserve"> </w:t>
      </w:r>
      <w:r w:rsidRPr="00567CB3">
        <w:rPr>
          <w:rFonts w:asciiTheme="minorHAnsi" w:hAnsiTheme="minorHAnsi" w:cstheme="minorHAnsi"/>
          <w:i/>
          <w:sz w:val="19"/>
          <w:szCs w:val="19"/>
        </w:rPr>
        <w:t>Gap:</w:t>
      </w:r>
      <w:r w:rsidRPr="00567CB3">
        <w:rPr>
          <w:rFonts w:asciiTheme="minorHAnsi" w:hAnsiTheme="minorHAnsi" w:cstheme="minorHAnsi"/>
          <w:i/>
          <w:spacing w:val="-36"/>
          <w:sz w:val="19"/>
          <w:szCs w:val="19"/>
        </w:rPr>
        <w:t xml:space="preserve"> </w:t>
      </w:r>
      <w:r w:rsidRPr="00567CB3">
        <w:rPr>
          <w:rFonts w:asciiTheme="minorHAnsi" w:hAnsiTheme="minorHAnsi" w:cstheme="minorHAnsi"/>
          <w:i/>
          <w:sz w:val="19"/>
          <w:szCs w:val="19"/>
        </w:rPr>
        <w:t>Prime</w:t>
      </w:r>
      <w:r w:rsidRPr="00567CB3">
        <w:rPr>
          <w:rFonts w:asciiTheme="minorHAnsi" w:hAnsiTheme="minorHAnsi" w:cstheme="minorHAnsi"/>
          <w:i/>
          <w:spacing w:val="-37"/>
          <w:sz w:val="19"/>
          <w:szCs w:val="19"/>
        </w:rPr>
        <w:t xml:space="preserve"> </w:t>
      </w:r>
      <w:r w:rsidRPr="00567CB3">
        <w:rPr>
          <w:rFonts w:asciiTheme="minorHAnsi" w:hAnsiTheme="minorHAnsi" w:cstheme="minorHAnsi"/>
          <w:i/>
          <w:sz w:val="19"/>
          <w:szCs w:val="19"/>
        </w:rPr>
        <w:t>Minister's</w:t>
      </w:r>
      <w:r w:rsidRPr="00567CB3">
        <w:rPr>
          <w:rFonts w:asciiTheme="minorHAnsi" w:hAnsiTheme="minorHAnsi" w:cstheme="minorHAnsi"/>
          <w:i/>
          <w:spacing w:val="-36"/>
          <w:sz w:val="19"/>
          <w:szCs w:val="19"/>
        </w:rPr>
        <w:t xml:space="preserve"> </w:t>
      </w:r>
      <w:r w:rsidRPr="00567CB3">
        <w:rPr>
          <w:rFonts w:asciiTheme="minorHAnsi" w:hAnsiTheme="minorHAnsi" w:cstheme="minorHAnsi"/>
          <w:i/>
          <w:sz w:val="19"/>
          <w:szCs w:val="19"/>
        </w:rPr>
        <w:t>Report</w:t>
      </w:r>
      <w:r w:rsidRPr="00567CB3">
        <w:rPr>
          <w:rFonts w:asciiTheme="minorHAnsi" w:hAnsiTheme="minorHAnsi" w:cstheme="minorHAnsi"/>
          <w:i/>
          <w:spacing w:val="-37"/>
          <w:sz w:val="19"/>
          <w:szCs w:val="19"/>
        </w:rPr>
        <w:t xml:space="preserve"> </w:t>
      </w:r>
      <w:r w:rsidRPr="00567CB3">
        <w:rPr>
          <w:rFonts w:asciiTheme="minorHAnsi" w:hAnsiTheme="minorHAnsi" w:cstheme="minorHAnsi"/>
          <w:i/>
          <w:sz w:val="19"/>
          <w:szCs w:val="19"/>
        </w:rPr>
        <w:t>2017,</w:t>
      </w:r>
      <w:r w:rsidRPr="00567CB3">
        <w:rPr>
          <w:rFonts w:asciiTheme="minorHAnsi" w:hAnsiTheme="minorHAnsi" w:cstheme="minorHAnsi"/>
          <w:i/>
          <w:spacing w:val="-35"/>
          <w:sz w:val="19"/>
          <w:szCs w:val="19"/>
        </w:rPr>
        <w:t xml:space="preserve"> </w:t>
      </w:r>
      <w:r w:rsidRPr="00567CB3">
        <w:rPr>
          <w:rFonts w:asciiTheme="minorHAnsi" w:hAnsiTheme="minorHAnsi" w:cstheme="minorHAnsi"/>
          <w:sz w:val="19"/>
          <w:szCs w:val="19"/>
        </w:rPr>
        <w:t>Canberra: Australian</w:t>
      </w:r>
      <w:r w:rsidRPr="00567CB3">
        <w:rPr>
          <w:rFonts w:asciiTheme="minorHAnsi" w:hAnsiTheme="minorHAnsi" w:cstheme="minorHAnsi"/>
          <w:spacing w:val="-1"/>
          <w:sz w:val="19"/>
          <w:szCs w:val="19"/>
        </w:rPr>
        <w:t xml:space="preserve"> </w:t>
      </w:r>
      <w:r w:rsidRPr="00567CB3">
        <w:rPr>
          <w:rFonts w:asciiTheme="minorHAnsi" w:hAnsiTheme="minorHAnsi" w:cstheme="minorHAnsi"/>
          <w:sz w:val="19"/>
          <w:szCs w:val="19"/>
        </w:rPr>
        <w:t>Government.</w:t>
      </w:r>
    </w:p>
    <w:p w:rsidR="00135913" w:rsidRPr="00567CB3" w:rsidRDefault="00135913" w:rsidP="00305C0E">
      <w:pPr>
        <w:pStyle w:val="BodyText"/>
        <w:spacing w:before="4"/>
        <w:ind w:left="1440"/>
        <w:rPr>
          <w:rFonts w:asciiTheme="minorHAnsi" w:hAnsiTheme="minorHAnsi" w:cstheme="minorHAnsi"/>
        </w:rPr>
      </w:pPr>
    </w:p>
    <w:p w:rsidR="00135913" w:rsidRPr="00567CB3" w:rsidRDefault="00135913" w:rsidP="00305C0E">
      <w:pPr>
        <w:spacing w:line="312" w:lineRule="auto"/>
        <w:ind w:left="1440" w:right="1440"/>
        <w:rPr>
          <w:rFonts w:asciiTheme="minorHAnsi" w:hAnsiTheme="minorHAnsi" w:cstheme="minorHAnsi"/>
          <w:sz w:val="19"/>
          <w:szCs w:val="19"/>
        </w:rPr>
      </w:pPr>
      <w:r w:rsidRPr="00567CB3">
        <w:rPr>
          <w:rFonts w:asciiTheme="minorHAnsi" w:hAnsiTheme="minorHAnsi" w:cstheme="minorHAnsi"/>
          <w:sz w:val="19"/>
          <w:szCs w:val="19"/>
        </w:rPr>
        <w:t xml:space="preserve">Empowered Communities, 2015. </w:t>
      </w:r>
      <w:r w:rsidRPr="00567CB3">
        <w:rPr>
          <w:rFonts w:asciiTheme="minorHAnsi" w:hAnsiTheme="minorHAnsi" w:cstheme="minorHAnsi"/>
          <w:i/>
          <w:sz w:val="19"/>
          <w:szCs w:val="19"/>
        </w:rPr>
        <w:t xml:space="preserve">Empowered Communities: Empowered Peoples, </w:t>
      </w:r>
      <w:r w:rsidRPr="00567CB3">
        <w:rPr>
          <w:rFonts w:asciiTheme="minorHAnsi" w:hAnsiTheme="minorHAnsi" w:cstheme="minorHAnsi"/>
          <w:sz w:val="19"/>
          <w:szCs w:val="19"/>
        </w:rPr>
        <w:t>Sydney: Empowered Communities.</w:t>
      </w:r>
    </w:p>
    <w:p w:rsidR="00135913" w:rsidRPr="00567CB3" w:rsidRDefault="00135913" w:rsidP="00305C0E">
      <w:pPr>
        <w:pStyle w:val="BodyText"/>
        <w:spacing w:before="7"/>
        <w:ind w:left="1440"/>
        <w:rPr>
          <w:rFonts w:asciiTheme="minorHAnsi" w:hAnsiTheme="minorHAnsi" w:cstheme="minorHAnsi"/>
        </w:rPr>
      </w:pPr>
    </w:p>
    <w:p w:rsidR="00135913" w:rsidRPr="00567CB3" w:rsidRDefault="00135913" w:rsidP="00305C0E">
      <w:pPr>
        <w:pStyle w:val="BodyText"/>
        <w:spacing w:line="314" w:lineRule="auto"/>
        <w:ind w:left="1440" w:right="1304"/>
        <w:rPr>
          <w:rFonts w:asciiTheme="minorHAnsi" w:hAnsiTheme="minorHAnsi" w:cstheme="minorHAnsi"/>
        </w:rPr>
      </w:pPr>
      <w:r w:rsidRPr="00567CB3">
        <w:rPr>
          <w:rFonts w:asciiTheme="minorHAnsi" w:hAnsiTheme="minorHAnsi" w:cstheme="minorHAnsi"/>
        </w:rPr>
        <w:t>Grattan,</w:t>
      </w:r>
      <w:r w:rsidRPr="00567CB3">
        <w:rPr>
          <w:rFonts w:asciiTheme="minorHAnsi" w:hAnsiTheme="minorHAnsi" w:cstheme="minorHAnsi"/>
          <w:spacing w:val="-11"/>
        </w:rPr>
        <w:t xml:space="preserve"> </w:t>
      </w:r>
      <w:r w:rsidRPr="00567CB3">
        <w:rPr>
          <w:rFonts w:asciiTheme="minorHAnsi" w:hAnsiTheme="minorHAnsi" w:cstheme="minorHAnsi"/>
        </w:rPr>
        <w:t>M.,</w:t>
      </w:r>
      <w:r w:rsidRPr="00567CB3">
        <w:rPr>
          <w:rFonts w:asciiTheme="minorHAnsi" w:hAnsiTheme="minorHAnsi" w:cstheme="minorHAnsi"/>
          <w:spacing w:val="-11"/>
        </w:rPr>
        <w:t xml:space="preserve"> </w:t>
      </w:r>
      <w:r w:rsidRPr="00567CB3">
        <w:rPr>
          <w:rFonts w:asciiTheme="minorHAnsi" w:hAnsiTheme="minorHAnsi" w:cstheme="minorHAnsi"/>
        </w:rPr>
        <w:t>2017.</w:t>
      </w:r>
      <w:r w:rsidRPr="00567CB3">
        <w:rPr>
          <w:rFonts w:asciiTheme="minorHAnsi" w:hAnsiTheme="minorHAnsi" w:cstheme="minorHAnsi"/>
          <w:spacing w:val="-11"/>
        </w:rPr>
        <w:t xml:space="preserve"> </w:t>
      </w:r>
      <w:r w:rsidRPr="00567CB3">
        <w:rPr>
          <w:rFonts w:asciiTheme="minorHAnsi" w:hAnsiTheme="minorHAnsi" w:cstheme="minorHAnsi"/>
        </w:rPr>
        <w:t>The</w:t>
      </w:r>
      <w:r w:rsidRPr="00567CB3">
        <w:rPr>
          <w:rFonts w:asciiTheme="minorHAnsi" w:hAnsiTheme="minorHAnsi" w:cstheme="minorHAnsi"/>
          <w:spacing w:val="-12"/>
        </w:rPr>
        <w:t xml:space="preserve"> </w:t>
      </w:r>
      <w:r w:rsidRPr="00567CB3">
        <w:rPr>
          <w:rFonts w:asciiTheme="minorHAnsi" w:hAnsiTheme="minorHAnsi" w:cstheme="minorHAnsi"/>
        </w:rPr>
        <w:t>gap</w:t>
      </w:r>
      <w:r w:rsidRPr="00567CB3">
        <w:rPr>
          <w:rFonts w:asciiTheme="minorHAnsi" w:hAnsiTheme="minorHAnsi" w:cstheme="minorHAnsi"/>
          <w:spacing w:val="-11"/>
        </w:rPr>
        <w:t xml:space="preserve"> </w:t>
      </w:r>
      <w:r w:rsidRPr="00567CB3">
        <w:rPr>
          <w:rFonts w:asciiTheme="minorHAnsi" w:hAnsiTheme="minorHAnsi" w:cstheme="minorHAnsi"/>
        </w:rPr>
        <w:t>of</w:t>
      </w:r>
      <w:r w:rsidRPr="00567CB3">
        <w:rPr>
          <w:rFonts w:asciiTheme="minorHAnsi" w:hAnsiTheme="minorHAnsi" w:cstheme="minorHAnsi"/>
          <w:spacing w:val="-12"/>
        </w:rPr>
        <w:t xml:space="preserve"> </w:t>
      </w:r>
      <w:r w:rsidRPr="00567CB3">
        <w:rPr>
          <w:rFonts w:asciiTheme="minorHAnsi" w:hAnsiTheme="minorHAnsi" w:cstheme="minorHAnsi"/>
        </w:rPr>
        <w:t>Indigenous</w:t>
      </w:r>
      <w:r w:rsidRPr="00567CB3">
        <w:rPr>
          <w:rFonts w:asciiTheme="minorHAnsi" w:hAnsiTheme="minorHAnsi" w:cstheme="minorHAnsi"/>
          <w:spacing w:val="-10"/>
        </w:rPr>
        <w:t xml:space="preserve"> </w:t>
      </w:r>
      <w:r w:rsidRPr="00567CB3">
        <w:rPr>
          <w:rFonts w:asciiTheme="minorHAnsi" w:hAnsiTheme="minorHAnsi" w:cstheme="minorHAnsi"/>
        </w:rPr>
        <w:t>disadvantage</w:t>
      </w:r>
      <w:r w:rsidRPr="00567CB3">
        <w:rPr>
          <w:rFonts w:asciiTheme="minorHAnsi" w:hAnsiTheme="minorHAnsi" w:cstheme="minorHAnsi"/>
          <w:spacing w:val="-11"/>
        </w:rPr>
        <w:t xml:space="preserve"> </w:t>
      </w:r>
      <w:r w:rsidRPr="00567CB3">
        <w:rPr>
          <w:rFonts w:asciiTheme="minorHAnsi" w:hAnsiTheme="minorHAnsi" w:cstheme="minorHAnsi"/>
        </w:rPr>
        <w:t>is</w:t>
      </w:r>
      <w:r w:rsidRPr="00567CB3">
        <w:rPr>
          <w:rFonts w:asciiTheme="minorHAnsi" w:hAnsiTheme="minorHAnsi" w:cstheme="minorHAnsi"/>
          <w:spacing w:val="-11"/>
        </w:rPr>
        <w:t xml:space="preserve"> </w:t>
      </w:r>
      <w:r w:rsidRPr="00567CB3">
        <w:rPr>
          <w:rFonts w:asciiTheme="minorHAnsi" w:hAnsiTheme="minorHAnsi" w:cstheme="minorHAnsi"/>
        </w:rPr>
        <w:t>being</w:t>
      </w:r>
      <w:r w:rsidRPr="00567CB3">
        <w:rPr>
          <w:rFonts w:asciiTheme="minorHAnsi" w:hAnsiTheme="minorHAnsi" w:cstheme="minorHAnsi"/>
          <w:spacing w:val="-11"/>
        </w:rPr>
        <w:t xml:space="preserve"> </w:t>
      </w:r>
      <w:r w:rsidRPr="00567CB3">
        <w:rPr>
          <w:rFonts w:asciiTheme="minorHAnsi" w:hAnsiTheme="minorHAnsi" w:cstheme="minorHAnsi"/>
        </w:rPr>
        <w:t>closed</w:t>
      </w:r>
      <w:r w:rsidRPr="00567CB3">
        <w:rPr>
          <w:rFonts w:asciiTheme="minorHAnsi" w:hAnsiTheme="minorHAnsi" w:cstheme="minorHAnsi"/>
          <w:spacing w:val="-12"/>
        </w:rPr>
        <w:t xml:space="preserve"> </w:t>
      </w:r>
      <w:r w:rsidRPr="00567CB3">
        <w:rPr>
          <w:rFonts w:asciiTheme="minorHAnsi" w:hAnsiTheme="minorHAnsi" w:cstheme="minorHAnsi"/>
        </w:rPr>
        <w:t>too</w:t>
      </w:r>
      <w:r w:rsidRPr="00567CB3">
        <w:rPr>
          <w:rFonts w:asciiTheme="minorHAnsi" w:hAnsiTheme="minorHAnsi" w:cstheme="minorHAnsi"/>
          <w:spacing w:val="-11"/>
        </w:rPr>
        <w:t xml:space="preserve"> </w:t>
      </w:r>
      <w:r w:rsidRPr="00567CB3">
        <w:rPr>
          <w:rFonts w:asciiTheme="minorHAnsi" w:hAnsiTheme="minorHAnsi" w:cstheme="minorHAnsi"/>
        </w:rPr>
        <w:t>slowly:</w:t>
      </w:r>
      <w:r w:rsidRPr="00567CB3">
        <w:rPr>
          <w:rFonts w:asciiTheme="minorHAnsi" w:hAnsiTheme="minorHAnsi" w:cstheme="minorHAnsi"/>
          <w:spacing w:val="-11"/>
        </w:rPr>
        <w:t xml:space="preserve"> </w:t>
      </w:r>
      <w:r w:rsidRPr="00567CB3">
        <w:rPr>
          <w:rFonts w:asciiTheme="minorHAnsi" w:hAnsiTheme="minorHAnsi" w:cstheme="minorHAnsi"/>
        </w:rPr>
        <w:t>report.</w:t>
      </w:r>
      <w:r w:rsidRPr="00567CB3">
        <w:rPr>
          <w:rFonts w:asciiTheme="minorHAnsi" w:hAnsiTheme="minorHAnsi" w:cstheme="minorHAnsi"/>
          <w:spacing w:val="-5"/>
        </w:rPr>
        <w:t xml:space="preserve"> </w:t>
      </w:r>
      <w:r w:rsidRPr="00567CB3">
        <w:rPr>
          <w:rFonts w:asciiTheme="minorHAnsi" w:hAnsiTheme="minorHAnsi" w:cstheme="minorHAnsi"/>
          <w:i/>
        </w:rPr>
        <w:t>The</w:t>
      </w:r>
      <w:r w:rsidRPr="00567CB3">
        <w:rPr>
          <w:rFonts w:asciiTheme="minorHAnsi" w:hAnsiTheme="minorHAnsi" w:cstheme="minorHAnsi"/>
          <w:i/>
          <w:spacing w:val="-26"/>
        </w:rPr>
        <w:t xml:space="preserve"> </w:t>
      </w:r>
      <w:r w:rsidRPr="00567CB3">
        <w:rPr>
          <w:rFonts w:asciiTheme="minorHAnsi" w:hAnsiTheme="minorHAnsi" w:cstheme="minorHAnsi"/>
          <w:i/>
        </w:rPr>
        <w:t>Conversation</w:t>
      </w:r>
      <w:r w:rsidRPr="00567CB3">
        <w:rPr>
          <w:rFonts w:asciiTheme="minorHAnsi" w:hAnsiTheme="minorHAnsi" w:cstheme="minorHAnsi"/>
        </w:rPr>
        <w:t>,</w:t>
      </w:r>
      <w:r w:rsidRPr="00567CB3">
        <w:rPr>
          <w:rFonts w:asciiTheme="minorHAnsi" w:hAnsiTheme="minorHAnsi" w:cstheme="minorHAnsi"/>
          <w:spacing w:val="-11"/>
        </w:rPr>
        <w:t xml:space="preserve"> </w:t>
      </w:r>
      <w:r w:rsidRPr="00567CB3">
        <w:rPr>
          <w:rFonts w:asciiTheme="minorHAnsi" w:hAnsiTheme="minorHAnsi" w:cstheme="minorHAnsi"/>
        </w:rPr>
        <w:t>14 February.</w:t>
      </w:r>
    </w:p>
    <w:p w:rsidR="00135913" w:rsidRPr="00567CB3" w:rsidRDefault="00135913" w:rsidP="00305C0E">
      <w:pPr>
        <w:pStyle w:val="BodyText"/>
        <w:spacing w:before="5"/>
        <w:ind w:left="1440"/>
        <w:rPr>
          <w:rFonts w:asciiTheme="minorHAnsi" w:hAnsiTheme="minorHAnsi" w:cstheme="minorHAnsi"/>
        </w:rPr>
      </w:pPr>
    </w:p>
    <w:p w:rsidR="00135913" w:rsidRPr="00567CB3" w:rsidRDefault="00135913" w:rsidP="00305C0E">
      <w:pPr>
        <w:spacing w:line="312" w:lineRule="auto"/>
        <w:ind w:left="1440" w:right="1437"/>
        <w:jc w:val="both"/>
        <w:rPr>
          <w:rFonts w:asciiTheme="minorHAnsi" w:hAnsiTheme="minorHAnsi" w:cstheme="minorHAnsi"/>
          <w:sz w:val="19"/>
          <w:szCs w:val="19"/>
        </w:rPr>
      </w:pPr>
      <w:r w:rsidRPr="00567CB3">
        <w:rPr>
          <w:rFonts w:asciiTheme="minorHAnsi" w:hAnsiTheme="minorHAnsi" w:cstheme="minorHAnsi"/>
          <w:sz w:val="19"/>
          <w:szCs w:val="19"/>
        </w:rPr>
        <w:t xml:space="preserve">Human Rights and Equal Opportunity Commission, 2008. </w:t>
      </w:r>
      <w:r w:rsidRPr="00567CB3">
        <w:rPr>
          <w:rFonts w:asciiTheme="minorHAnsi" w:hAnsiTheme="minorHAnsi" w:cstheme="minorHAnsi"/>
          <w:i/>
          <w:sz w:val="19"/>
          <w:szCs w:val="19"/>
        </w:rPr>
        <w:t xml:space="preserve">National Indigenous Health Equality Targets: </w:t>
      </w:r>
      <w:r w:rsidRPr="00567CB3">
        <w:rPr>
          <w:rFonts w:asciiTheme="minorHAnsi" w:hAnsiTheme="minorHAnsi" w:cstheme="minorHAnsi"/>
          <w:i/>
          <w:w w:val="95"/>
          <w:sz w:val="19"/>
          <w:szCs w:val="19"/>
        </w:rPr>
        <w:t>Outcomes</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from</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the</w:t>
      </w:r>
      <w:r w:rsidRPr="00567CB3">
        <w:rPr>
          <w:rFonts w:asciiTheme="minorHAnsi" w:hAnsiTheme="minorHAnsi" w:cstheme="minorHAnsi"/>
          <w:i/>
          <w:spacing w:val="-37"/>
          <w:w w:val="95"/>
          <w:sz w:val="19"/>
          <w:szCs w:val="19"/>
        </w:rPr>
        <w:t xml:space="preserve"> </w:t>
      </w:r>
      <w:r w:rsidRPr="00567CB3">
        <w:rPr>
          <w:rFonts w:asciiTheme="minorHAnsi" w:hAnsiTheme="minorHAnsi" w:cstheme="minorHAnsi"/>
          <w:i/>
          <w:w w:val="95"/>
          <w:sz w:val="19"/>
          <w:szCs w:val="19"/>
        </w:rPr>
        <w:t>National</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Indigenous</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Health</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Equality</w:t>
      </w:r>
      <w:r w:rsidRPr="00567CB3">
        <w:rPr>
          <w:rFonts w:asciiTheme="minorHAnsi" w:hAnsiTheme="minorHAnsi" w:cstheme="minorHAnsi"/>
          <w:i/>
          <w:spacing w:val="-37"/>
          <w:w w:val="95"/>
          <w:sz w:val="19"/>
          <w:szCs w:val="19"/>
        </w:rPr>
        <w:t xml:space="preserve"> </w:t>
      </w:r>
      <w:r w:rsidRPr="00567CB3">
        <w:rPr>
          <w:rFonts w:asciiTheme="minorHAnsi" w:hAnsiTheme="minorHAnsi" w:cstheme="minorHAnsi"/>
          <w:i/>
          <w:w w:val="95"/>
          <w:sz w:val="19"/>
          <w:szCs w:val="19"/>
        </w:rPr>
        <w:t>Summit</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Canberra,</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March18-20,</w:t>
      </w:r>
      <w:r w:rsidRPr="00567CB3">
        <w:rPr>
          <w:rFonts w:asciiTheme="minorHAnsi" w:hAnsiTheme="minorHAnsi" w:cstheme="minorHAnsi"/>
          <w:i/>
          <w:spacing w:val="-38"/>
          <w:w w:val="95"/>
          <w:sz w:val="19"/>
          <w:szCs w:val="19"/>
        </w:rPr>
        <w:t xml:space="preserve"> </w:t>
      </w:r>
      <w:r w:rsidRPr="00567CB3">
        <w:rPr>
          <w:rFonts w:asciiTheme="minorHAnsi" w:hAnsiTheme="minorHAnsi" w:cstheme="minorHAnsi"/>
          <w:i/>
          <w:w w:val="95"/>
          <w:sz w:val="19"/>
          <w:szCs w:val="19"/>
        </w:rPr>
        <w:t>2008,</w:t>
      </w:r>
      <w:r w:rsidRPr="00567CB3">
        <w:rPr>
          <w:rFonts w:asciiTheme="minorHAnsi" w:hAnsiTheme="minorHAnsi" w:cstheme="minorHAnsi"/>
          <w:i/>
          <w:spacing w:val="-37"/>
          <w:w w:val="95"/>
          <w:sz w:val="19"/>
          <w:szCs w:val="19"/>
        </w:rPr>
        <w:t xml:space="preserve"> </w:t>
      </w:r>
      <w:r w:rsidRPr="00567CB3">
        <w:rPr>
          <w:rFonts w:asciiTheme="minorHAnsi" w:hAnsiTheme="minorHAnsi" w:cstheme="minorHAnsi"/>
          <w:w w:val="95"/>
          <w:sz w:val="19"/>
          <w:szCs w:val="19"/>
        </w:rPr>
        <w:t>Sydney:</w:t>
      </w:r>
      <w:r w:rsidRPr="00567CB3">
        <w:rPr>
          <w:rFonts w:asciiTheme="minorHAnsi" w:hAnsiTheme="minorHAnsi" w:cstheme="minorHAnsi"/>
          <w:spacing w:val="-23"/>
          <w:w w:val="95"/>
          <w:sz w:val="19"/>
          <w:szCs w:val="19"/>
        </w:rPr>
        <w:t xml:space="preserve"> </w:t>
      </w:r>
      <w:r w:rsidRPr="00567CB3">
        <w:rPr>
          <w:rFonts w:asciiTheme="minorHAnsi" w:hAnsiTheme="minorHAnsi" w:cstheme="minorHAnsi"/>
          <w:w w:val="95"/>
          <w:sz w:val="19"/>
          <w:szCs w:val="19"/>
        </w:rPr>
        <w:t xml:space="preserve">Australian </w:t>
      </w:r>
      <w:r w:rsidRPr="00567CB3">
        <w:rPr>
          <w:rFonts w:asciiTheme="minorHAnsi" w:hAnsiTheme="minorHAnsi" w:cstheme="minorHAnsi"/>
          <w:sz w:val="19"/>
          <w:szCs w:val="19"/>
        </w:rPr>
        <w:t>Human Rights</w:t>
      </w:r>
      <w:r w:rsidRPr="00567CB3">
        <w:rPr>
          <w:rFonts w:asciiTheme="minorHAnsi" w:hAnsiTheme="minorHAnsi" w:cstheme="minorHAnsi"/>
          <w:spacing w:val="1"/>
          <w:sz w:val="19"/>
          <w:szCs w:val="19"/>
        </w:rPr>
        <w:t xml:space="preserve"> </w:t>
      </w:r>
      <w:r w:rsidRPr="00567CB3">
        <w:rPr>
          <w:rFonts w:asciiTheme="minorHAnsi" w:hAnsiTheme="minorHAnsi" w:cstheme="minorHAnsi"/>
          <w:sz w:val="19"/>
          <w:szCs w:val="19"/>
        </w:rPr>
        <w:t>Commission.</w:t>
      </w:r>
    </w:p>
    <w:p w:rsidR="00135913" w:rsidRPr="00567CB3" w:rsidRDefault="00135913" w:rsidP="00305C0E">
      <w:pPr>
        <w:pStyle w:val="BodyText"/>
        <w:spacing w:before="9"/>
        <w:ind w:left="1440"/>
        <w:rPr>
          <w:rFonts w:asciiTheme="minorHAnsi" w:hAnsiTheme="minorHAnsi" w:cstheme="minorHAnsi"/>
        </w:rPr>
      </w:pPr>
    </w:p>
    <w:p w:rsidR="00135913" w:rsidRPr="00567CB3" w:rsidRDefault="00135913" w:rsidP="00305C0E">
      <w:pPr>
        <w:pStyle w:val="BodyText"/>
        <w:ind w:left="1440"/>
        <w:rPr>
          <w:rFonts w:asciiTheme="minorHAnsi" w:hAnsiTheme="minorHAnsi" w:cstheme="minorHAnsi"/>
        </w:rPr>
      </w:pPr>
      <w:r w:rsidRPr="00567CB3">
        <w:rPr>
          <w:rFonts w:asciiTheme="minorHAnsi" w:hAnsiTheme="minorHAnsi" w:cstheme="minorHAnsi"/>
        </w:rPr>
        <w:t>Humpage, L., 2008. Relegitimating neoliberalism? Performance management and indigenous affairs policy.</w:t>
      </w:r>
    </w:p>
    <w:p w:rsidR="00135913" w:rsidRPr="00567CB3" w:rsidRDefault="00135913" w:rsidP="00305C0E">
      <w:pPr>
        <w:spacing w:before="72"/>
        <w:ind w:left="1440"/>
        <w:rPr>
          <w:rFonts w:asciiTheme="minorHAnsi" w:hAnsiTheme="minorHAnsi" w:cstheme="minorHAnsi"/>
          <w:sz w:val="19"/>
          <w:szCs w:val="19"/>
        </w:rPr>
      </w:pPr>
      <w:r w:rsidRPr="00567CB3">
        <w:rPr>
          <w:rFonts w:asciiTheme="minorHAnsi" w:hAnsiTheme="minorHAnsi" w:cstheme="minorHAnsi"/>
          <w:i/>
          <w:sz w:val="19"/>
          <w:szCs w:val="19"/>
        </w:rPr>
        <w:t xml:space="preserve">Policy &amp; Politics, </w:t>
      </w:r>
      <w:r w:rsidRPr="00567CB3">
        <w:rPr>
          <w:rFonts w:asciiTheme="minorHAnsi" w:hAnsiTheme="minorHAnsi" w:cstheme="minorHAnsi"/>
          <w:sz w:val="19"/>
          <w:szCs w:val="19"/>
        </w:rPr>
        <w:t>36(3), pp. 413-429.</w:t>
      </w:r>
    </w:p>
    <w:p w:rsidR="00135913" w:rsidRPr="00567CB3" w:rsidRDefault="00135913" w:rsidP="00305C0E">
      <w:pPr>
        <w:pStyle w:val="BodyText"/>
        <w:spacing w:before="8"/>
        <w:ind w:left="1440"/>
        <w:rPr>
          <w:rFonts w:asciiTheme="minorHAnsi" w:hAnsiTheme="minorHAnsi" w:cstheme="minorHAnsi"/>
        </w:rPr>
      </w:pPr>
    </w:p>
    <w:p w:rsidR="00135913" w:rsidRPr="00567CB3" w:rsidRDefault="00135913" w:rsidP="00305C0E">
      <w:pPr>
        <w:pStyle w:val="BodyText"/>
        <w:ind w:left="1440"/>
        <w:rPr>
          <w:rFonts w:asciiTheme="minorHAnsi" w:hAnsiTheme="minorHAnsi" w:cstheme="minorHAnsi"/>
        </w:rPr>
      </w:pPr>
      <w:r w:rsidRPr="00567CB3">
        <w:rPr>
          <w:rFonts w:asciiTheme="minorHAnsi" w:hAnsiTheme="minorHAnsi" w:cstheme="minorHAnsi"/>
        </w:rPr>
        <w:t xml:space="preserve">Hunt, J., 2008. Failure, Evidence &amp; New Ideas. </w:t>
      </w:r>
      <w:r w:rsidRPr="00567CB3">
        <w:rPr>
          <w:rFonts w:asciiTheme="minorHAnsi" w:hAnsiTheme="minorHAnsi" w:cstheme="minorHAnsi"/>
          <w:i/>
        </w:rPr>
        <w:t>Topical Issue</w:t>
      </w:r>
      <w:r w:rsidRPr="00567CB3">
        <w:rPr>
          <w:rFonts w:asciiTheme="minorHAnsi" w:hAnsiTheme="minorHAnsi" w:cstheme="minorHAnsi"/>
        </w:rPr>
        <w:t>, 59(1).</w:t>
      </w:r>
    </w:p>
    <w:p w:rsidR="00135913" w:rsidRPr="00567CB3" w:rsidRDefault="00135913" w:rsidP="00305C0E">
      <w:pPr>
        <w:pStyle w:val="BodyText"/>
        <w:spacing w:before="7"/>
        <w:ind w:left="1440"/>
        <w:rPr>
          <w:rFonts w:asciiTheme="minorHAnsi" w:hAnsiTheme="minorHAnsi" w:cstheme="minorHAnsi"/>
        </w:rPr>
      </w:pPr>
    </w:p>
    <w:p w:rsidR="00135913" w:rsidRPr="00567CB3" w:rsidRDefault="00135913" w:rsidP="00305C0E">
      <w:pPr>
        <w:spacing w:line="314" w:lineRule="auto"/>
        <w:ind w:left="1440" w:right="1440"/>
        <w:rPr>
          <w:rFonts w:asciiTheme="minorHAnsi" w:hAnsiTheme="minorHAnsi" w:cstheme="minorHAnsi"/>
          <w:sz w:val="19"/>
          <w:szCs w:val="19"/>
        </w:rPr>
      </w:pPr>
      <w:r w:rsidRPr="00567CB3">
        <w:rPr>
          <w:rFonts w:asciiTheme="minorHAnsi" w:hAnsiTheme="minorHAnsi" w:cstheme="minorHAnsi"/>
          <w:sz w:val="19"/>
          <w:szCs w:val="19"/>
        </w:rPr>
        <w:t>Hunt,</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J.,</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2013.</w:t>
      </w:r>
      <w:r w:rsidRPr="00567CB3">
        <w:rPr>
          <w:rFonts w:asciiTheme="minorHAnsi" w:hAnsiTheme="minorHAnsi" w:cstheme="minorHAnsi"/>
          <w:spacing w:val="-14"/>
          <w:sz w:val="19"/>
          <w:szCs w:val="19"/>
        </w:rPr>
        <w:t xml:space="preserve"> </w:t>
      </w:r>
      <w:r w:rsidRPr="00567CB3">
        <w:rPr>
          <w:rFonts w:asciiTheme="minorHAnsi" w:hAnsiTheme="minorHAnsi" w:cstheme="minorHAnsi"/>
          <w:i/>
          <w:sz w:val="19"/>
          <w:szCs w:val="19"/>
        </w:rPr>
        <w:t>Engaging</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with</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Indigenous</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Australia</w:t>
      </w:r>
      <w:r w:rsidRPr="00567CB3">
        <w:rPr>
          <w:rFonts w:asciiTheme="minorHAnsi" w:hAnsiTheme="minorHAnsi" w:cstheme="minorHAnsi"/>
          <w:i/>
          <w:spacing w:val="-30"/>
          <w:sz w:val="19"/>
          <w:szCs w:val="19"/>
        </w:rPr>
        <w:t xml:space="preserve"> </w:t>
      </w:r>
      <w:r w:rsidRPr="00567CB3">
        <w:rPr>
          <w:rFonts w:asciiTheme="minorHAnsi" w:hAnsiTheme="minorHAnsi" w:cstheme="minorHAnsi"/>
          <w:i/>
          <w:sz w:val="19"/>
          <w:szCs w:val="19"/>
        </w:rPr>
        <w:t>-</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Exploring</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the</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Conditions</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of</w:t>
      </w:r>
      <w:r w:rsidRPr="00567CB3">
        <w:rPr>
          <w:rFonts w:asciiTheme="minorHAnsi" w:hAnsiTheme="minorHAnsi" w:cstheme="minorHAnsi"/>
          <w:i/>
          <w:spacing w:val="-30"/>
          <w:sz w:val="19"/>
          <w:szCs w:val="19"/>
        </w:rPr>
        <w:t xml:space="preserve"> </w:t>
      </w:r>
      <w:r w:rsidRPr="00567CB3">
        <w:rPr>
          <w:rFonts w:asciiTheme="minorHAnsi" w:hAnsiTheme="minorHAnsi" w:cstheme="minorHAnsi"/>
          <w:i/>
          <w:sz w:val="19"/>
          <w:szCs w:val="19"/>
        </w:rPr>
        <w:t>Effective</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Relationships</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with Aboriginal</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and</w:t>
      </w:r>
      <w:r w:rsidRPr="00567CB3">
        <w:rPr>
          <w:rFonts w:asciiTheme="minorHAnsi" w:hAnsiTheme="minorHAnsi" w:cstheme="minorHAnsi"/>
          <w:i/>
          <w:spacing w:val="-30"/>
          <w:sz w:val="19"/>
          <w:szCs w:val="19"/>
        </w:rPr>
        <w:t xml:space="preserve"> </w:t>
      </w:r>
      <w:r w:rsidRPr="00567CB3">
        <w:rPr>
          <w:rFonts w:asciiTheme="minorHAnsi" w:hAnsiTheme="minorHAnsi" w:cstheme="minorHAnsi"/>
          <w:i/>
          <w:sz w:val="19"/>
          <w:szCs w:val="19"/>
        </w:rPr>
        <w:t>Torres</w:t>
      </w:r>
      <w:r w:rsidRPr="00567CB3">
        <w:rPr>
          <w:rFonts w:asciiTheme="minorHAnsi" w:hAnsiTheme="minorHAnsi" w:cstheme="minorHAnsi"/>
          <w:i/>
          <w:spacing w:val="-30"/>
          <w:sz w:val="19"/>
          <w:szCs w:val="19"/>
        </w:rPr>
        <w:t xml:space="preserve"> </w:t>
      </w:r>
      <w:r w:rsidRPr="00567CB3">
        <w:rPr>
          <w:rFonts w:asciiTheme="minorHAnsi" w:hAnsiTheme="minorHAnsi" w:cstheme="minorHAnsi"/>
          <w:i/>
          <w:sz w:val="19"/>
          <w:szCs w:val="19"/>
        </w:rPr>
        <w:t>Strait</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Islander</w:t>
      </w:r>
      <w:r w:rsidRPr="00567CB3">
        <w:rPr>
          <w:rFonts w:asciiTheme="minorHAnsi" w:hAnsiTheme="minorHAnsi" w:cstheme="minorHAnsi"/>
          <w:i/>
          <w:spacing w:val="-30"/>
          <w:sz w:val="19"/>
          <w:szCs w:val="19"/>
        </w:rPr>
        <w:t xml:space="preserve"> </w:t>
      </w:r>
      <w:r w:rsidRPr="00567CB3">
        <w:rPr>
          <w:rFonts w:asciiTheme="minorHAnsi" w:hAnsiTheme="minorHAnsi" w:cstheme="minorHAnsi"/>
          <w:i/>
          <w:sz w:val="19"/>
          <w:szCs w:val="19"/>
        </w:rPr>
        <w:t>Communities,</w:t>
      </w:r>
      <w:r w:rsidRPr="00567CB3">
        <w:rPr>
          <w:rFonts w:asciiTheme="minorHAnsi" w:hAnsiTheme="minorHAnsi" w:cstheme="minorHAnsi"/>
          <w:i/>
          <w:spacing w:val="-27"/>
          <w:sz w:val="19"/>
          <w:szCs w:val="19"/>
        </w:rPr>
        <w:t xml:space="preserve"> </w:t>
      </w:r>
      <w:r w:rsidRPr="00567CB3">
        <w:rPr>
          <w:rFonts w:asciiTheme="minorHAnsi" w:hAnsiTheme="minorHAnsi" w:cstheme="minorHAnsi"/>
          <w:sz w:val="19"/>
          <w:szCs w:val="19"/>
        </w:rPr>
        <w:t>Canberra:</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Australian</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Institute</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of</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Health</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and</w:t>
      </w:r>
      <w:r w:rsidRPr="00567CB3">
        <w:rPr>
          <w:rFonts w:asciiTheme="minorHAnsi" w:hAnsiTheme="minorHAnsi" w:cstheme="minorHAnsi"/>
          <w:spacing w:val="-15"/>
          <w:sz w:val="19"/>
          <w:szCs w:val="19"/>
        </w:rPr>
        <w:t xml:space="preserve"> </w:t>
      </w:r>
      <w:r w:rsidRPr="00567CB3">
        <w:rPr>
          <w:rFonts w:asciiTheme="minorHAnsi" w:hAnsiTheme="minorHAnsi" w:cstheme="minorHAnsi"/>
          <w:sz w:val="19"/>
          <w:szCs w:val="19"/>
        </w:rPr>
        <w:t>Welfare.</w:t>
      </w:r>
    </w:p>
    <w:p w:rsidR="00135913" w:rsidRPr="00567CB3" w:rsidRDefault="00135913" w:rsidP="00305C0E">
      <w:pPr>
        <w:pStyle w:val="BodyText"/>
        <w:spacing w:before="5"/>
        <w:ind w:left="1440"/>
        <w:rPr>
          <w:rFonts w:asciiTheme="minorHAnsi" w:hAnsiTheme="minorHAnsi" w:cstheme="minorHAnsi"/>
        </w:rPr>
      </w:pPr>
    </w:p>
    <w:p w:rsidR="00135913" w:rsidRPr="00567CB3" w:rsidRDefault="00135913" w:rsidP="00305C0E">
      <w:pPr>
        <w:spacing w:line="312" w:lineRule="auto"/>
        <w:ind w:left="1440" w:right="1440"/>
        <w:rPr>
          <w:rFonts w:asciiTheme="minorHAnsi" w:hAnsiTheme="minorHAnsi" w:cstheme="minorHAnsi"/>
          <w:sz w:val="19"/>
          <w:szCs w:val="19"/>
        </w:rPr>
      </w:pPr>
      <w:r w:rsidRPr="00567CB3">
        <w:rPr>
          <w:rFonts w:asciiTheme="minorHAnsi" w:hAnsiTheme="minorHAnsi" w:cstheme="minorHAnsi"/>
          <w:sz w:val="19"/>
          <w:szCs w:val="19"/>
        </w:rPr>
        <w:t>National</w:t>
      </w:r>
      <w:r w:rsidRPr="00567CB3">
        <w:rPr>
          <w:rFonts w:asciiTheme="minorHAnsi" w:hAnsiTheme="minorHAnsi" w:cstheme="minorHAnsi"/>
          <w:spacing w:val="-17"/>
          <w:sz w:val="19"/>
          <w:szCs w:val="19"/>
        </w:rPr>
        <w:t xml:space="preserve"> </w:t>
      </w:r>
      <w:r w:rsidRPr="00567CB3">
        <w:rPr>
          <w:rFonts w:asciiTheme="minorHAnsi" w:hAnsiTheme="minorHAnsi" w:cstheme="minorHAnsi"/>
          <w:sz w:val="19"/>
          <w:szCs w:val="19"/>
        </w:rPr>
        <w:t>Congress</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of</w:t>
      </w:r>
      <w:r w:rsidRPr="00567CB3">
        <w:rPr>
          <w:rFonts w:asciiTheme="minorHAnsi" w:hAnsiTheme="minorHAnsi" w:cstheme="minorHAnsi"/>
          <w:spacing w:val="-17"/>
          <w:sz w:val="19"/>
          <w:szCs w:val="19"/>
        </w:rPr>
        <w:t xml:space="preserve"> </w:t>
      </w:r>
      <w:r w:rsidRPr="00567CB3">
        <w:rPr>
          <w:rFonts w:asciiTheme="minorHAnsi" w:hAnsiTheme="minorHAnsi" w:cstheme="minorHAnsi"/>
          <w:sz w:val="19"/>
          <w:szCs w:val="19"/>
        </w:rPr>
        <w:t>Australia's</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First</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Peoples,</w:t>
      </w:r>
      <w:r w:rsidRPr="00567CB3">
        <w:rPr>
          <w:rFonts w:asciiTheme="minorHAnsi" w:hAnsiTheme="minorHAnsi" w:cstheme="minorHAnsi"/>
          <w:spacing w:val="-16"/>
          <w:sz w:val="19"/>
          <w:szCs w:val="19"/>
        </w:rPr>
        <w:t xml:space="preserve"> </w:t>
      </w:r>
      <w:r w:rsidRPr="00567CB3">
        <w:rPr>
          <w:rFonts w:asciiTheme="minorHAnsi" w:hAnsiTheme="minorHAnsi" w:cstheme="minorHAnsi"/>
          <w:sz w:val="19"/>
          <w:szCs w:val="19"/>
        </w:rPr>
        <w:t>2016.</w:t>
      </w:r>
      <w:r w:rsidRPr="00567CB3">
        <w:rPr>
          <w:rFonts w:asciiTheme="minorHAnsi" w:hAnsiTheme="minorHAnsi" w:cstheme="minorHAnsi"/>
          <w:spacing w:val="-13"/>
          <w:sz w:val="19"/>
          <w:szCs w:val="19"/>
        </w:rPr>
        <w:t xml:space="preserve"> </w:t>
      </w:r>
      <w:r w:rsidRPr="00567CB3">
        <w:rPr>
          <w:rFonts w:asciiTheme="minorHAnsi" w:hAnsiTheme="minorHAnsi" w:cstheme="minorHAnsi"/>
          <w:i/>
          <w:sz w:val="19"/>
          <w:szCs w:val="19"/>
        </w:rPr>
        <w:t>Aboriginal</w:t>
      </w:r>
      <w:r w:rsidRPr="00567CB3">
        <w:rPr>
          <w:rFonts w:asciiTheme="minorHAnsi" w:hAnsiTheme="minorHAnsi" w:cstheme="minorHAnsi"/>
          <w:i/>
          <w:spacing w:val="-32"/>
          <w:sz w:val="19"/>
          <w:szCs w:val="19"/>
        </w:rPr>
        <w:t xml:space="preserve"> </w:t>
      </w:r>
      <w:r w:rsidRPr="00567CB3">
        <w:rPr>
          <w:rFonts w:asciiTheme="minorHAnsi" w:hAnsiTheme="minorHAnsi" w:cstheme="minorHAnsi"/>
          <w:i/>
          <w:sz w:val="19"/>
          <w:szCs w:val="19"/>
        </w:rPr>
        <w:t>and</w:t>
      </w:r>
      <w:r w:rsidRPr="00567CB3">
        <w:rPr>
          <w:rFonts w:asciiTheme="minorHAnsi" w:hAnsiTheme="minorHAnsi" w:cstheme="minorHAnsi"/>
          <w:i/>
          <w:spacing w:val="-32"/>
          <w:sz w:val="19"/>
          <w:szCs w:val="19"/>
        </w:rPr>
        <w:t xml:space="preserve"> </w:t>
      </w:r>
      <w:r w:rsidRPr="00567CB3">
        <w:rPr>
          <w:rFonts w:asciiTheme="minorHAnsi" w:hAnsiTheme="minorHAnsi" w:cstheme="minorHAnsi"/>
          <w:i/>
          <w:sz w:val="19"/>
          <w:szCs w:val="19"/>
        </w:rPr>
        <w:t>Torres</w:t>
      </w:r>
      <w:r w:rsidRPr="00567CB3">
        <w:rPr>
          <w:rFonts w:asciiTheme="minorHAnsi" w:hAnsiTheme="minorHAnsi" w:cstheme="minorHAnsi"/>
          <w:i/>
          <w:spacing w:val="-32"/>
          <w:sz w:val="19"/>
          <w:szCs w:val="19"/>
        </w:rPr>
        <w:t xml:space="preserve"> </w:t>
      </w:r>
      <w:r w:rsidRPr="00567CB3">
        <w:rPr>
          <w:rFonts w:asciiTheme="minorHAnsi" w:hAnsiTheme="minorHAnsi" w:cstheme="minorHAnsi"/>
          <w:i/>
          <w:sz w:val="19"/>
          <w:szCs w:val="19"/>
        </w:rPr>
        <w:t>Strait</w:t>
      </w:r>
      <w:r w:rsidRPr="00567CB3">
        <w:rPr>
          <w:rFonts w:asciiTheme="minorHAnsi" w:hAnsiTheme="minorHAnsi" w:cstheme="minorHAnsi"/>
          <w:i/>
          <w:spacing w:val="-32"/>
          <w:sz w:val="19"/>
          <w:szCs w:val="19"/>
        </w:rPr>
        <w:t xml:space="preserve"> </w:t>
      </w:r>
      <w:r w:rsidRPr="00567CB3">
        <w:rPr>
          <w:rFonts w:asciiTheme="minorHAnsi" w:hAnsiTheme="minorHAnsi" w:cstheme="minorHAnsi"/>
          <w:i/>
          <w:sz w:val="19"/>
          <w:szCs w:val="19"/>
        </w:rPr>
        <w:t>Islander</w:t>
      </w:r>
      <w:r w:rsidRPr="00567CB3">
        <w:rPr>
          <w:rFonts w:asciiTheme="minorHAnsi" w:hAnsiTheme="minorHAnsi" w:cstheme="minorHAnsi"/>
          <w:i/>
          <w:spacing w:val="-32"/>
          <w:sz w:val="19"/>
          <w:szCs w:val="19"/>
        </w:rPr>
        <w:t xml:space="preserve"> </w:t>
      </w:r>
      <w:r w:rsidRPr="00567CB3">
        <w:rPr>
          <w:rFonts w:asciiTheme="minorHAnsi" w:hAnsiTheme="minorHAnsi" w:cstheme="minorHAnsi"/>
          <w:i/>
          <w:sz w:val="19"/>
          <w:szCs w:val="19"/>
        </w:rPr>
        <w:t>Peak</w:t>
      </w:r>
      <w:r w:rsidRPr="00567CB3">
        <w:rPr>
          <w:rFonts w:asciiTheme="minorHAnsi" w:hAnsiTheme="minorHAnsi" w:cstheme="minorHAnsi"/>
          <w:i/>
          <w:spacing w:val="-31"/>
          <w:sz w:val="19"/>
          <w:szCs w:val="19"/>
        </w:rPr>
        <w:t xml:space="preserve"> </w:t>
      </w:r>
      <w:r w:rsidRPr="00567CB3">
        <w:rPr>
          <w:rFonts w:asciiTheme="minorHAnsi" w:hAnsiTheme="minorHAnsi" w:cstheme="minorHAnsi"/>
          <w:i/>
          <w:sz w:val="19"/>
          <w:szCs w:val="19"/>
        </w:rPr>
        <w:t>Organisations Unite:</w:t>
      </w:r>
      <w:r w:rsidRPr="00567CB3">
        <w:rPr>
          <w:rFonts w:asciiTheme="minorHAnsi" w:hAnsiTheme="minorHAnsi" w:cstheme="minorHAnsi"/>
          <w:i/>
          <w:spacing w:val="-20"/>
          <w:sz w:val="19"/>
          <w:szCs w:val="19"/>
        </w:rPr>
        <w:t xml:space="preserve"> </w:t>
      </w:r>
      <w:r w:rsidRPr="00567CB3">
        <w:rPr>
          <w:rFonts w:asciiTheme="minorHAnsi" w:hAnsiTheme="minorHAnsi" w:cstheme="minorHAnsi"/>
          <w:i/>
          <w:sz w:val="19"/>
          <w:szCs w:val="19"/>
        </w:rPr>
        <w:t>The</w:t>
      </w:r>
      <w:r w:rsidRPr="00567CB3">
        <w:rPr>
          <w:rFonts w:asciiTheme="minorHAnsi" w:hAnsiTheme="minorHAnsi" w:cstheme="minorHAnsi"/>
          <w:i/>
          <w:spacing w:val="-20"/>
          <w:sz w:val="19"/>
          <w:szCs w:val="19"/>
        </w:rPr>
        <w:t xml:space="preserve"> </w:t>
      </w:r>
      <w:r w:rsidRPr="00567CB3">
        <w:rPr>
          <w:rFonts w:asciiTheme="minorHAnsi" w:hAnsiTheme="minorHAnsi" w:cstheme="minorHAnsi"/>
          <w:i/>
          <w:sz w:val="19"/>
          <w:szCs w:val="19"/>
        </w:rPr>
        <w:t>Redfern</w:t>
      </w:r>
      <w:r w:rsidRPr="00567CB3">
        <w:rPr>
          <w:rFonts w:asciiTheme="minorHAnsi" w:hAnsiTheme="minorHAnsi" w:cstheme="minorHAnsi"/>
          <w:i/>
          <w:spacing w:val="-20"/>
          <w:sz w:val="19"/>
          <w:szCs w:val="19"/>
        </w:rPr>
        <w:t xml:space="preserve"> </w:t>
      </w:r>
      <w:r w:rsidRPr="00567CB3">
        <w:rPr>
          <w:rFonts w:asciiTheme="minorHAnsi" w:hAnsiTheme="minorHAnsi" w:cstheme="minorHAnsi"/>
          <w:i/>
          <w:sz w:val="19"/>
          <w:szCs w:val="19"/>
        </w:rPr>
        <w:t>Statement,</w:t>
      </w:r>
      <w:r w:rsidRPr="00567CB3">
        <w:rPr>
          <w:rFonts w:asciiTheme="minorHAnsi" w:hAnsiTheme="minorHAnsi" w:cstheme="minorHAnsi"/>
          <w:i/>
          <w:spacing w:val="-14"/>
          <w:sz w:val="19"/>
          <w:szCs w:val="19"/>
        </w:rPr>
        <w:t xml:space="preserve"> </w:t>
      </w:r>
      <w:r w:rsidRPr="00567CB3">
        <w:rPr>
          <w:rFonts w:asciiTheme="minorHAnsi" w:hAnsiTheme="minorHAnsi" w:cstheme="minorHAnsi"/>
          <w:sz w:val="19"/>
          <w:szCs w:val="19"/>
        </w:rPr>
        <w:t>Sydney:</w:t>
      </w:r>
      <w:r w:rsidRPr="00567CB3">
        <w:rPr>
          <w:rFonts w:asciiTheme="minorHAnsi" w:hAnsiTheme="minorHAnsi" w:cstheme="minorHAnsi"/>
          <w:spacing w:val="-4"/>
          <w:sz w:val="19"/>
          <w:szCs w:val="19"/>
        </w:rPr>
        <w:t xml:space="preserve"> </w:t>
      </w:r>
      <w:r w:rsidRPr="00567CB3">
        <w:rPr>
          <w:rFonts w:asciiTheme="minorHAnsi" w:hAnsiTheme="minorHAnsi" w:cstheme="minorHAnsi"/>
          <w:sz w:val="19"/>
          <w:szCs w:val="19"/>
        </w:rPr>
        <w:t>National</w:t>
      </w:r>
      <w:r w:rsidRPr="00567CB3">
        <w:rPr>
          <w:rFonts w:asciiTheme="minorHAnsi" w:hAnsiTheme="minorHAnsi" w:cstheme="minorHAnsi"/>
          <w:spacing w:val="-4"/>
          <w:sz w:val="19"/>
          <w:szCs w:val="19"/>
        </w:rPr>
        <w:t xml:space="preserve"> </w:t>
      </w:r>
      <w:r w:rsidRPr="00567CB3">
        <w:rPr>
          <w:rFonts w:asciiTheme="minorHAnsi" w:hAnsiTheme="minorHAnsi" w:cstheme="minorHAnsi"/>
          <w:sz w:val="19"/>
          <w:szCs w:val="19"/>
        </w:rPr>
        <w:t>Congress</w:t>
      </w:r>
      <w:r w:rsidRPr="00567CB3">
        <w:rPr>
          <w:rFonts w:asciiTheme="minorHAnsi" w:hAnsiTheme="minorHAnsi" w:cstheme="minorHAnsi"/>
          <w:spacing w:val="-4"/>
          <w:sz w:val="19"/>
          <w:szCs w:val="19"/>
        </w:rPr>
        <w:t xml:space="preserve"> </w:t>
      </w:r>
      <w:r w:rsidRPr="00567CB3">
        <w:rPr>
          <w:rFonts w:asciiTheme="minorHAnsi" w:hAnsiTheme="minorHAnsi" w:cstheme="minorHAnsi"/>
          <w:sz w:val="19"/>
          <w:szCs w:val="19"/>
        </w:rPr>
        <w:t>of</w:t>
      </w:r>
      <w:r w:rsidRPr="00567CB3">
        <w:rPr>
          <w:rFonts w:asciiTheme="minorHAnsi" w:hAnsiTheme="minorHAnsi" w:cstheme="minorHAnsi"/>
          <w:spacing w:val="-6"/>
          <w:sz w:val="19"/>
          <w:szCs w:val="19"/>
        </w:rPr>
        <w:t xml:space="preserve"> </w:t>
      </w:r>
      <w:r w:rsidRPr="00567CB3">
        <w:rPr>
          <w:rFonts w:asciiTheme="minorHAnsi" w:hAnsiTheme="minorHAnsi" w:cstheme="minorHAnsi"/>
          <w:sz w:val="19"/>
          <w:szCs w:val="19"/>
        </w:rPr>
        <w:t>Australia's</w:t>
      </w:r>
      <w:r w:rsidRPr="00567CB3">
        <w:rPr>
          <w:rFonts w:asciiTheme="minorHAnsi" w:hAnsiTheme="minorHAnsi" w:cstheme="minorHAnsi"/>
          <w:spacing w:val="-3"/>
          <w:sz w:val="19"/>
          <w:szCs w:val="19"/>
        </w:rPr>
        <w:t xml:space="preserve"> </w:t>
      </w:r>
      <w:r w:rsidRPr="00567CB3">
        <w:rPr>
          <w:rFonts w:asciiTheme="minorHAnsi" w:hAnsiTheme="minorHAnsi" w:cstheme="minorHAnsi"/>
          <w:sz w:val="19"/>
          <w:szCs w:val="19"/>
        </w:rPr>
        <w:t>First</w:t>
      </w:r>
      <w:r w:rsidRPr="00567CB3">
        <w:rPr>
          <w:rFonts w:asciiTheme="minorHAnsi" w:hAnsiTheme="minorHAnsi" w:cstheme="minorHAnsi"/>
          <w:spacing w:val="-5"/>
          <w:sz w:val="19"/>
          <w:szCs w:val="19"/>
        </w:rPr>
        <w:t xml:space="preserve"> </w:t>
      </w:r>
      <w:r w:rsidRPr="00567CB3">
        <w:rPr>
          <w:rFonts w:asciiTheme="minorHAnsi" w:hAnsiTheme="minorHAnsi" w:cstheme="minorHAnsi"/>
          <w:sz w:val="19"/>
          <w:szCs w:val="19"/>
        </w:rPr>
        <w:t>Peoples.</w:t>
      </w:r>
    </w:p>
    <w:p w:rsidR="00135913" w:rsidRPr="00567CB3" w:rsidRDefault="00135913" w:rsidP="00305C0E">
      <w:pPr>
        <w:pStyle w:val="BodyText"/>
        <w:spacing w:before="7"/>
        <w:ind w:left="1440"/>
        <w:rPr>
          <w:rFonts w:asciiTheme="minorHAnsi" w:hAnsiTheme="minorHAnsi" w:cstheme="minorHAnsi"/>
        </w:rPr>
      </w:pPr>
    </w:p>
    <w:p w:rsidR="00135913" w:rsidRPr="00567CB3" w:rsidRDefault="00135913" w:rsidP="00305C0E">
      <w:pPr>
        <w:pStyle w:val="BodyText"/>
        <w:spacing w:line="314" w:lineRule="auto"/>
        <w:ind w:left="1440" w:right="1440"/>
        <w:rPr>
          <w:rFonts w:asciiTheme="minorHAnsi" w:hAnsiTheme="minorHAnsi" w:cstheme="minorHAnsi"/>
        </w:rPr>
      </w:pPr>
      <w:r w:rsidRPr="00567CB3">
        <w:rPr>
          <w:rFonts w:asciiTheme="minorHAnsi" w:hAnsiTheme="minorHAnsi" w:cstheme="minorHAnsi"/>
        </w:rPr>
        <w:t xml:space="preserve">Pholi, K., Black, D. &amp; Richards, C., 2009. Is 'Close the Gap' a useful appraoch to improving the health and wellbeing of Indigenous Australians?. </w:t>
      </w:r>
      <w:r w:rsidRPr="00567CB3">
        <w:rPr>
          <w:rFonts w:asciiTheme="minorHAnsi" w:hAnsiTheme="minorHAnsi" w:cstheme="minorHAnsi"/>
          <w:i/>
        </w:rPr>
        <w:t xml:space="preserve">Australian Review of Public Affairs, </w:t>
      </w:r>
      <w:r w:rsidRPr="00567CB3">
        <w:rPr>
          <w:rFonts w:asciiTheme="minorHAnsi" w:hAnsiTheme="minorHAnsi" w:cstheme="minorHAnsi"/>
        </w:rPr>
        <w:t>9(2), pp. 1-13.</w:t>
      </w:r>
    </w:p>
    <w:p w:rsidR="00135913" w:rsidRPr="00567CB3" w:rsidRDefault="00135913" w:rsidP="00305C0E">
      <w:pPr>
        <w:pStyle w:val="BodyText"/>
        <w:spacing w:before="4"/>
        <w:ind w:left="1440"/>
        <w:rPr>
          <w:rFonts w:asciiTheme="minorHAnsi" w:hAnsiTheme="minorHAnsi" w:cstheme="minorHAnsi"/>
        </w:rPr>
      </w:pPr>
    </w:p>
    <w:p w:rsidR="00135913" w:rsidRPr="00567CB3" w:rsidRDefault="00135913" w:rsidP="00305C0E">
      <w:pPr>
        <w:pStyle w:val="BodyText"/>
        <w:spacing w:before="1" w:line="312" w:lineRule="auto"/>
        <w:ind w:left="1440" w:right="1304"/>
        <w:rPr>
          <w:rFonts w:asciiTheme="minorHAnsi" w:hAnsiTheme="minorHAnsi" w:cstheme="minorHAnsi"/>
        </w:rPr>
      </w:pPr>
      <w:r w:rsidRPr="00567CB3">
        <w:rPr>
          <w:rFonts w:asciiTheme="minorHAnsi" w:hAnsiTheme="minorHAnsi" w:cstheme="minorHAnsi"/>
        </w:rPr>
        <w:t>Riddle,</w:t>
      </w:r>
      <w:r w:rsidRPr="00567CB3">
        <w:rPr>
          <w:rFonts w:asciiTheme="minorHAnsi" w:hAnsiTheme="minorHAnsi" w:cstheme="minorHAnsi"/>
          <w:spacing w:val="-17"/>
        </w:rPr>
        <w:t xml:space="preserve"> </w:t>
      </w:r>
      <w:r w:rsidRPr="00567CB3">
        <w:rPr>
          <w:rFonts w:asciiTheme="minorHAnsi" w:hAnsiTheme="minorHAnsi" w:cstheme="minorHAnsi"/>
        </w:rPr>
        <w:t>S.</w:t>
      </w:r>
      <w:r w:rsidRPr="00567CB3">
        <w:rPr>
          <w:rFonts w:asciiTheme="minorHAnsi" w:hAnsiTheme="minorHAnsi" w:cstheme="minorHAnsi"/>
          <w:spacing w:val="-16"/>
        </w:rPr>
        <w:t xml:space="preserve"> </w:t>
      </w:r>
      <w:r w:rsidRPr="00567CB3">
        <w:rPr>
          <w:rFonts w:asciiTheme="minorHAnsi" w:hAnsiTheme="minorHAnsi" w:cstheme="minorHAnsi"/>
        </w:rPr>
        <w:t>&amp;</w:t>
      </w:r>
      <w:r w:rsidRPr="00567CB3">
        <w:rPr>
          <w:rFonts w:asciiTheme="minorHAnsi" w:hAnsiTheme="minorHAnsi" w:cstheme="minorHAnsi"/>
          <w:spacing w:val="-16"/>
        </w:rPr>
        <w:t xml:space="preserve"> </w:t>
      </w:r>
      <w:r w:rsidRPr="00567CB3">
        <w:rPr>
          <w:rFonts w:asciiTheme="minorHAnsi" w:hAnsiTheme="minorHAnsi" w:cstheme="minorHAnsi"/>
        </w:rPr>
        <w:t>Fogarty,</w:t>
      </w:r>
      <w:r w:rsidRPr="00567CB3">
        <w:rPr>
          <w:rFonts w:asciiTheme="minorHAnsi" w:hAnsiTheme="minorHAnsi" w:cstheme="minorHAnsi"/>
          <w:spacing w:val="-16"/>
        </w:rPr>
        <w:t xml:space="preserve"> </w:t>
      </w:r>
      <w:r w:rsidRPr="00567CB3">
        <w:rPr>
          <w:rFonts w:asciiTheme="minorHAnsi" w:hAnsiTheme="minorHAnsi" w:cstheme="minorHAnsi"/>
        </w:rPr>
        <w:t>B.,</w:t>
      </w:r>
      <w:r w:rsidRPr="00567CB3">
        <w:rPr>
          <w:rFonts w:asciiTheme="minorHAnsi" w:hAnsiTheme="minorHAnsi" w:cstheme="minorHAnsi"/>
          <w:spacing w:val="-15"/>
        </w:rPr>
        <w:t xml:space="preserve"> </w:t>
      </w:r>
      <w:r w:rsidRPr="00567CB3">
        <w:rPr>
          <w:rFonts w:asciiTheme="minorHAnsi" w:hAnsiTheme="minorHAnsi" w:cstheme="minorHAnsi"/>
        </w:rPr>
        <w:t>2015.</w:t>
      </w:r>
      <w:r w:rsidRPr="00567CB3">
        <w:rPr>
          <w:rFonts w:asciiTheme="minorHAnsi" w:hAnsiTheme="minorHAnsi" w:cstheme="minorHAnsi"/>
          <w:spacing w:val="-15"/>
        </w:rPr>
        <w:t xml:space="preserve"> </w:t>
      </w:r>
      <w:r w:rsidRPr="00567CB3">
        <w:rPr>
          <w:rFonts w:asciiTheme="minorHAnsi" w:hAnsiTheme="minorHAnsi" w:cstheme="minorHAnsi"/>
        </w:rPr>
        <w:t>Closing</w:t>
      </w:r>
      <w:r w:rsidRPr="00567CB3">
        <w:rPr>
          <w:rFonts w:asciiTheme="minorHAnsi" w:hAnsiTheme="minorHAnsi" w:cstheme="minorHAnsi"/>
          <w:spacing w:val="-17"/>
        </w:rPr>
        <w:t xml:space="preserve"> </w:t>
      </w:r>
      <w:r w:rsidRPr="00567CB3">
        <w:rPr>
          <w:rFonts w:asciiTheme="minorHAnsi" w:hAnsiTheme="minorHAnsi" w:cstheme="minorHAnsi"/>
        </w:rPr>
        <w:t>the</w:t>
      </w:r>
      <w:r w:rsidRPr="00567CB3">
        <w:rPr>
          <w:rFonts w:asciiTheme="minorHAnsi" w:hAnsiTheme="minorHAnsi" w:cstheme="minorHAnsi"/>
          <w:spacing w:val="-15"/>
        </w:rPr>
        <w:t xml:space="preserve"> </w:t>
      </w:r>
      <w:r w:rsidRPr="00567CB3">
        <w:rPr>
          <w:rFonts w:asciiTheme="minorHAnsi" w:hAnsiTheme="minorHAnsi" w:cstheme="minorHAnsi"/>
        </w:rPr>
        <w:t>Gap</w:t>
      </w:r>
      <w:r w:rsidRPr="00567CB3">
        <w:rPr>
          <w:rFonts w:asciiTheme="minorHAnsi" w:hAnsiTheme="minorHAnsi" w:cstheme="minorHAnsi"/>
          <w:spacing w:val="-15"/>
        </w:rPr>
        <w:t xml:space="preserve"> </w:t>
      </w:r>
      <w:r w:rsidRPr="00567CB3">
        <w:rPr>
          <w:rFonts w:asciiTheme="minorHAnsi" w:hAnsiTheme="minorHAnsi" w:cstheme="minorHAnsi"/>
        </w:rPr>
        <w:t>in</w:t>
      </w:r>
      <w:r w:rsidRPr="00567CB3">
        <w:rPr>
          <w:rFonts w:asciiTheme="minorHAnsi" w:hAnsiTheme="minorHAnsi" w:cstheme="minorHAnsi"/>
          <w:spacing w:val="-16"/>
        </w:rPr>
        <w:t xml:space="preserve"> </w:t>
      </w:r>
      <w:r w:rsidRPr="00567CB3">
        <w:rPr>
          <w:rFonts w:asciiTheme="minorHAnsi" w:hAnsiTheme="minorHAnsi" w:cstheme="minorHAnsi"/>
        </w:rPr>
        <w:t>education</w:t>
      </w:r>
      <w:r w:rsidRPr="00567CB3">
        <w:rPr>
          <w:rFonts w:asciiTheme="minorHAnsi" w:hAnsiTheme="minorHAnsi" w:cstheme="minorHAnsi"/>
          <w:spacing w:val="-15"/>
        </w:rPr>
        <w:t xml:space="preserve"> </w:t>
      </w:r>
      <w:r w:rsidRPr="00567CB3">
        <w:rPr>
          <w:rFonts w:asciiTheme="minorHAnsi" w:hAnsiTheme="minorHAnsi" w:cstheme="minorHAnsi"/>
        </w:rPr>
        <w:t>report</w:t>
      </w:r>
      <w:r w:rsidRPr="00567CB3">
        <w:rPr>
          <w:rFonts w:asciiTheme="minorHAnsi" w:hAnsiTheme="minorHAnsi" w:cstheme="minorHAnsi"/>
          <w:spacing w:val="-14"/>
        </w:rPr>
        <w:t xml:space="preserve"> </w:t>
      </w:r>
      <w:r w:rsidRPr="00567CB3">
        <w:rPr>
          <w:rFonts w:asciiTheme="minorHAnsi" w:hAnsiTheme="minorHAnsi" w:cstheme="minorHAnsi"/>
        </w:rPr>
        <w:t>card:</w:t>
      </w:r>
      <w:r w:rsidRPr="00567CB3">
        <w:rPr>
          <w:rFonts w:asciiTheme="minorHAnsi" w:hAnsiTheme="minorHAnsi" w:cstheme="minorHAnsi"/>
          <w:spacing w:val="-17"/>
        </w:rPr>
        <w:t xml:space="preserve"> </w:t>
      </w:r>
      <w:r w:rsidRPr="00567CB3">
        <w:rPr>
          <w:rFonts w:asciiTheme="minorHAnsi" w:hAnsiTheme="minorHAnsi" w:cstheme="minorHAnsi"/>
        </w:rPr>
        <w:t>needs</w:t>
      </w:r>
      <w:r w:rsidRPr="00567CB3">
        <w:rPr>
          <w:rFonts w:asciiTheme="minorHAnsi" w:hAnsiTheme="minorHAnsi" w:cstheme="minorHAnsi"/>
          <w:spacing w:val="-16"/>
        </w:rPr>
        <w:t xml:space="preserve"> </w:t>
      </w:r>
      <w:r w:rsidRPr="00567CB3">
        <w:rPr>
          <w:rFonts w:asciiTheme="minorHAnsi" w:hAnsiTheme="minorHAnsi" w:cstheme="minorHAnsi"/>
        </w:rPr>
        <w:t>improvement.</w:t>
      </w:r>
      <w:r w:rsidRPr="00567CB3">
        <w:rPr>
          <w:rFonts w:asciiTheme="minorHAnsi" w:hAnsiTheme="minorHAnsi" w:cstheme="minorHAnsi"/>
          <w:spacing w:val="-15"/>
        </w:rPr>
        <w:t xml:space="preserve"> </w:t>
      </w:r>
      <w:r w:rsidRPr="00567CB3">
        <w:rPr>
          <w:rFonts w:asciiTheme="minorHAnsi" w:hAnsiTheme="minorHAnsi" w:cstheme="minorHAnsi"/>
          <w:i/>
        </w:rPr>
        <w:t>The</w:t>
      </w:r>
      <w:r w:rsidRPr="00567CB3">
        <w:rPr>
          <w:rFonts w:asciiTheme="minorHAnsi" w:hAnsiTheme="minorHAnsi" w:cstheme="minorHAnsi"/>
          <w:i/>
          <w:spacing w:val="-32"/>
        </w:rPr>
        <w:t xml:space="preserve"> </w:t>
      </w:r>
      <w:r w:rsidRPr="00567CB3">
        <w:rPr>
          <w:rFonts w:asciiTheme="minorHAnsi" w:hAnsiTheme="minorHAnsi" w:cstheme="minorHAnsi"/>
          <w:i/>
        </w:rPr>
        <w:t>Conversation</w:t>
      </w:r>
      <w:r w:rsidRPr="00567CB3">
        <w:rPr>
          <w:rFonts w:asciiTheme="minorHAnsi" w:hAnsiTheme="minorHAnsi" w:cstheme="minorHAnsi"/>
        </w:rPr>
        <w:t>, 15</w:t>
      </w:r>
      <w:r w:rsidRPr="00567CB3">
        <w:rPr>
          <w:rFonts w:asciiTheme="minorHAnsi" w:hAnsiTheme="minorHAnsi" w:cstheme="minorHAnsi"/>
          <w:spacing w:val="-1"/>
        </w:rPr>
        <w:t xml:space="preserve"> </w:t>
      </w:r>
      <w:r w:rsidRPr="00567CB3">
        <w:rPr>
          <w:rFonts w:asciiTheme="minorHAnsi" w:hAnsiTheme="minorHAnsi" w:cstheme="minorHAnsi"/>
        </w:rPr>
        <w:t>February.</w:t>
      </w:r>
    </w:p>
    <w:p w:rsidR="00135913" w:rsidRPr="00567CB3" w:rsidRDefault="00135913" w:rsidP="00305C0E">
      <w:pPr>
        <w:pStyle w:val="BodyText"/>
        <w:spacing w:before="6"/>
        <w:ind w:left="1440"/>
        <w:rPr>
          <w:rFonts w:asciiTheme="minorHAnsi" w:hAnsiTheme="minorHAnsi" w:cstheme="minorHAnsi"/>
        </w:rPr>
      </w:pPr>
    </w:p>
    <w:p w:rsidR="00135913" w:rsidRPr="00567CB3" w:rsidRDefault="00135913" w:rsidP="00305C0E">
      <w:pPr>
        <w:spacing w:line="314" w:lineRule="auto"/>
        <w:ind w:left="1440" w:right="1304"/>
        <w:rPr>
          <w:rFonts w:asciiTheme="minorHAnsi" w:hAnsiTheme="minorHAnsi" w:cstheme="minorHAnsi"/>
          <w:sz w:val="19"/>
          <w:szCs w:val="19"/>
        </w:rPr>
      </w:pPr>
      <w:r w:rsidRPr="00567CB3">
        <w:rPr>
          <w:rFonts w:asciiTheme="minorHAnsi" w:hAnsiTheme="minorHAnsi" w:cstheme="minorHAnsi"/>
          <w:sz w:val="19"/>
          <w:szCs w:val="19"/>
        </w:rPr>
        <w:t xml:space="preserve">Taylor, A. &amp; Barnes, T., 2013. 'Closing the Gap' in Indigenous life expectancies: what if we succeed?. </w:t>
      </w:r>
      <w:r w:rsidRPr="00567CB3">
        <w:rPr>
          <w:rFonts w:asciiTheme="minorHAnsi" w:hAnsiTheme="minorHAnsi" w:cstheme="minorHAnsi"/>
          <w:i/>
          <w:sz w:val="19"/>
          <w:szCs w:val="19"/>
        </w:rPr>
        <w:t xml:space="preserve">Journal of Population Research, </w:t>
      </w:r>
      <w:r w:rsidRPr="00567CB3">
        <w:rPr>
          <w:rFonts w:asciiTheme="minorHAnsi" w:hAnsiTheme="minorHAnsi" w:cstheme="minorHAnsi"/>
          <w:sz w:val="19"/>
          <w:szCs w:val="19"/>
        </w:rPr>
        <w:t>30(2), pp. 117-132.</w:t>
      </w:r>
    </w:p>
    <w:p w:rsidR="00135913" w:rsidRPr="00567CB3" w:rsidRDefault="00135913" w:rsidP="00305C0E">
      <w:pPr>
        <w:pStyle w:val="BodyText"/>
        <w:spacing w:before="5"/>
        <w:ind w:left="1440"/>
        <w:rPr>
          <w:rFonts w:asciiTheme="minorHAnsi" w:hAnsiTheme="minorHAnsi" w:cstheme="minorHAnsi"/>
        </w:rPr>
      </w:pPr>
    </w:p>
    <w:p w:rsidR="00135913" w:rsidRPr="00567CB3" w:rsidRDefault="00135913" w:rsidP="00305C0E">
      <w:pPr>
        <w:spacing w:before="1" w:line="312" w:lineRule="auto"/>
        <w:ind w:left="1440" w:right="1440"/>
        <w:rPr>
          <w:rFonts w:asciiTheme="minorHAnsi" w:hAnsiTheme="minorHAnsi" w:cstheme="minorHAnsi"/>
          <w:sz w:val="19"/>
          <w:szCs w:val="19"/>
        </w:rPr>
      </w:pPr>
      <w:r w:rsidRPr="00567CB3">
        <w:rPr>
          <w:rFonts w:asciiTheme="minorHAnsi" w:hAnsiTheme="minorHAnsi" w:cstheme="minorHAnsi"/>
          <w:w w:val="95"/>
          <w:sz w:val="19"/>
          <w:szCs w:val="19"/>
        </w:rPr>
        <w:t xml:space="preserve">The Auditor-General, 2017. </w:t>
      </w:r>
      <w:r w:rsidRPr="00567CB3">
        <w:rPr>
          <w:rFonts w:asciiTheme="minorHAnsi" w:hAnsiTheme="minorHAnsi" w:cstheme="minorHAnsi"/>
          <w:i/>
          <w:w w:val="95"/>
          <w:sz w:val="19"/>
          <w:szCs w:val="19"/>
        </w:rPr>
        <w:t xml:space="preserve">Indigenous Advancement Strategy, </w:t>
      </w:r>
      <w:r w:rsidRPr="00567CB3">
        <w:rPr>
          <w:rFonts w:asciiTheme="minorHAnsi" w:hAnsiTheme="minorHAnsi" w:cstheme="minorHAnsi"/>
          <w:w w:val="95"/>
          <w:sz w:val="19"/>
          <w:szCs w:val="19"/>
        </w:rPr>
        <w:t xml:space="preserve">Canberra: Department of the Prime Minister and </w:t>
      </w:r>
      <w:r w:rsidRPr="00567CB3">
        <w:rPr>
          <w:rFonts w:asciiTheme="minorHAnsi" w:hAnsiTheme="minorHAnsi" w:cstheme="minorHAnsi"/>
          <w:sz w:val="19"/>
          <w:szCs w:val="19"/>
        </w:rPr>
        <w:t>Cabinet.</w:t>
      </w:r>
    </w:p>
    <w:p w:rsidR="00135913" w:rsidRPr="00567CB3" w:rsidRDefault="00135913" w:rsidP="00305C0E">
      <w:pPr>
        <w:pStyle w:val="BodyText"/>
        <w:spacing w:before="6"/>
        <w:ind w:left="1440"/>
        <w:rPr>
          <w:rFonts w:asciiTheme="minorHAnsi" w:hAnsiTheme="minorHAnsi" w:cstheme="minorHAnsi"/>
        </w:rPr>
      </w:pPr>
    </w:p>
    <w:p w:rsidR="00135913" w:rsidRPr="00567CB3" w:rsidRDefault="00135913" w:rsidP="00305C0E">
      <w:pPr>
        <w:spacing w:line="314" w:lineRule="auto"/>
        <w:ind w:left="1440" w:right="1440"/>
        <w:rPr>
          <w:rFonts w:asciiTheme="minorHAnsi" w:hAnsiTheme="minorHAnsi" w:cstheme="minorHAnsi"/>
          <w:sz w:val="19"/>
          <w:szCs w:val="19"/>
        </w:rPr>
      </w:pPr>
      <w:r w:rsidRPr="00567CB3">
        <w:rPr>
          <w:rFonts w:asciiTheme="minorHAnsi" w:hAnsiTheme="minorHAnsi" w:cstheme="minorHAnsi"/>
          <w:sz w:val="19"/>
          <w:szCs w:val="19"/>
        </w:rPr>
        <w:t>Thorpe,</w:t>
      </w:r>
      <w:r w:rsidRPr="00567CB3">
        <w:rPr>
          <w:rFonts w:asciiTheme="minorHAnsi" w:hAnsiTheme="minorHAnsi" w:cstheme="minorHAnsi"/>
          <w:spacing w:val="-7"/>
          <w:sz w:val="19"/>
          <w:szCs w:val="19"/>
        </w:rPr>
        <w:t xml:space="preserve"> </w:t>
      </w:r>
      <w:r w:rsidRPr="00567CB3">
        <w:rPr>
          <w:rFonts w:asciiTheme="minorHAnsi" w:hAnsiTheme="minorHAnsi" w:cstheme="minorHAnsi"/>
          <w:sz w:val="19"/>
          <w:szCs w:val="19"/>
        </w:rPr>
        <w:t>A.</w:t>
      </w:r>
      <w:r w:rsidRPr="00567CB3">
        <w:rPr>
          <w:rFonts w:asciiTheme="minorHAnsi" w:hAnsiTheme="minorHAnsi" w:cstheme="minorHAnsi"/>
          <w:spacing w:val="-7"/>
          <w:sz w:val="19"/>
          <w:szCs w:val="19"/>
        </w:rPr>
        <w:t xml:space="preserve"> </w:t>
      </w:r>
      <w:r w:rsidRPr="00567CB3">
        <w:rPr>
          <w:rFonts w:asciiTheme="minorHAnsi" w:hAnsiTheme="minorHAnsi" w:cstheme="minorHAnsi"/>
          <w:sz w:val="19"/>
          <w:szCs w:val="19"/>
        </w:rPr>
        <w:t>A.,</w:t>
      </w:r>
      <w:r w:rsidRPr="00567CB3">
        <w:rPr>
          <w:rFonts w:asciiTheme="minorHAnsi" w:hAnsiTheme="minorHAnsi" w:cstheme="minorHAnsi"/>
          <w:spacing w:val="-7"/>
          <w:sz w:val="19"/>
          <w:szCs w:val="19"/>
        </w:rPr>
        <w:t xml:space="preserve"> </w:t>
      </w:r>
      <w:r w:rsidRPr="00567CB3">
        <w:rPr>
          <w:rFonts w:asciiTheme="minorHAnsi" w:hAnsiTheme="minorHAnsi" w:cstheme="minorHAnsi"/>
          <w:sz w:val="19"/>
          <w:szCs w:val="19"/>
        </w:rPr>
        <w:t>Sullivan,</w:t>
      </w:r>
      <w:r w:rsidRPr="00567CB3">
        <w:rPr>
          <w:rFonts w:asciiTheme="minorHAnsi" w:hAnsiTheme="minorHAnsi" w:cstheme="minorHAnsi"/>
          <w:spacing w:val="-6"/>
          <w:sz w:val="19"/>
          <w:szCs w:val="19"/>
        </w:rPr>
        <w:t xml:space="preserve"> </w:t>
      </w:r>
      <w:r w:rsidRPr="00567CB3">
        <w:rPr>
          <w:rFonts w:asciiTheme="minorHAnsi" w:hAnsiTheme="minorHAnsi" w:cstheme="minorHAnsi"/>
          <w:sz w:val="19"/>
          <w:szCs w:val="19"/>
        </w:rPr>
        <w:t>K.</w:t>
      </w:r>
      <w:r w:rsidRPr="00567CB3">
        <w:rPr>
          <w:rFonts w:asciiTheme="minorHAnsi" w:hAnsiTheme="minorHAnsi" w:cstheme="minorHAnsi"/>
          <w:spacing w:val="-8"/>
          <w:sz w:val="19"/>
          <w:szCs w:val="19"/>
        </w:rPr>
        <w:t xml:space="preserve"> </w:t>
      </w:r>
      <w:r w:rsidRPr="00567CB3">
        <w:rPr>
          <w:rFonts w:asciiTheme="minorHAnsi" w:hAnsiTheme="minorHAnsi" w:cstheme="minorHAnsi"/>
          <w:sz w:val="19"/>
          <w:szCs w:val="19"/>
        </w:rPr>
        <w:t>&amp;</w:t>
      </w:r>
      <w:r w:rsidRPr="00567CB3">
        <w:rPr>
          <w:rFonts w:asciiTheme="minorHAnsi" w:hAnsiTheme="minorHAnsi" w:cstheme="minorHAnsi"/>
          <w:spacing w:val="-7"/>
          <w:sz w:val="19"/>
          <w:szCs w:val="19"/>
        </w:rPr>
        <w:t xml:space="preserve"> </w:t>
      </w:r>
      <w:r w:rsidRPr="00567CB3">
        <w:rPr>
          <w:rFonts w:asciiTheme="minorHAnsi" w:hAnsiTheme="minorHAnsi" w:cstheme="minorHAnsi"/>
          <w:sz w:val="19"/>
          <w:szCs w:val="19"/>
        </w:rPr>
        <w:t>Rowley,</w:t>
      </w:r>
      <w:r w:rsidRPr="00567CB3">
        <w:rPr>
          <w:rFonts w:asciiTheme="minorHAnsi" w:hAnsiTheme="minorHAnsi" w:cstheme="minorHAnsi"/>
          <w:spacing w:val="-7"/>
          <w:sz w:val="19"/>
          <w:szCs w:val="19"/>
        </w:rPr>
        <w:t xml:space="preserve"> </w:t>
      </w:r>
      <w:r w:rsidRPr="00567CB3">
        <w:rPr>
          <w:rFonts w:asciiTheme="minorHAnsi" w:hAnsiTheme="minorHAnsi" w:cstheme="minorHAnsi"/>
          <w:sz w:val="19"/>
          <w:szCs w:val="19"/>
        </w:rPr>
        <w:t>K.,</w:t>
      </w:r>
      <w:r w:rsidRPr="00567CB3">
        <w:rPr>
          <w:rFonts w:asciiTheme="minorHAnsi" w:hAnsiTheme="minorHAnsi" w:cstheme="minorHAnsi"/>
          <w:spacing w:val="-7"/>
          <w:sz w:val="19"/>
          <w:szCs w:val="19"/>
        </w:rPr>
        <w:t xml:space="preserve"> </w:t>
      </w:r>
      <w:r w:rsidRPr="00567CB3">
        <w:rPr>
          <w:rFonts w:asciiTheme="minorHAnsi" w:hAnsiTheme="minorHAnsi" w:cstheme="minorHAnsi"/>
          <w:sz w:val="19"/>
          <w:szCs w:val="19"/>
        </w:rPr>
        <w:t>2016.</w:t>
      </w:r>
      <w:r w:rsidRPr="00567CB3">
        <w:rPr>
          <w:rFonts w:asciiTheme="minorHAnsi" w:hAnsiTheme="minorHAnsi" w:cstheme="minorHAnsi"/>
          <w:spacing w:val="-5"/>
          <w:sz w:val="19"/>
          <w:szCs w:val="19"/>
        </w:rPr>
        <w:t xml:space="preserve"> </w:t>
      </w:r>
      <w:r w:rsidRPr="00567CB3">
        <w:rPr>
          <w:rFonts w:asciiTheme="minorHAnsi" w:hAnsiTheme="minorHAnsi" w:cstheme="minorHAnsi"/>
          <w:i/>
          <w:sz w:val="19"/>
          <w:szCs w:val="19"/>
        </w:rPr>
        <w:t>Engaging</w:t>
      </w:r>
      <w:r w:rsidRPr="00567CB3">
        <w:rPr>
          <w:rFonts w:asciiTheme="minorHAnsi" w:hAnsiTheme="minorHAnsi" w:cstheme="minorHAnsi"/>
          <w:i/>
          <w:spacing w:val="-23"/>
          <w:sz w:val="19"/>
          <w:szCs w:val="19"/>
        </w:rPr>
        <w:t xml:space="preserve"> </w:t>
      </w:r>
      <w:r w:rsidRPr="00567CB3">
        <w:rPr>
          <w:rFonts w:asciiTheme="minorHAnsi" w:hAnsiTheme="minorHAnsi" w:cstheme="minorHAnsi"/>
          <w:i/>
          <w:sz w:val="19"/>
          <w:szCs w:val="19"/>
        </w:rPr>
        <w:t>First</w:t>
      </w:r>
      <w:r w:rsidRPr="00567CB3">
        <w:rPr>
          <w:rFonts w:asciiTheme="minorHAnsi" w:hAnsiTheme="minorHAnsi" w:cstheme="minorHAnsi"/>
          <w:i/>
          <w:spacing w:val="-23"/>
          <w:sz w:val="19"/>
          <w:szCs w:val="19"/>
        </w:rPr>
        <w:t xml:space="preserve"> </w:t>
      </w:r>
      <w:r w:rsidRPr="00567CB3">
        <w:rPr>
          <w:rFonts w:asciiTheme="minorHAnsi" w:hAnsiTheme="minorHAnsi" w:cstheme="minorHAnsi"/>
          <w:i/>
          <w:sz w:val="19"/>
          <w:szCs w:val="19"/>
        </w:rPr>
        <w:t>Peoples:</w:t>
      </w:r>
      <w:r w:rsidRPr="00567CB3">
        <w:rPr>
          <w:rFonts w:asciiTheme="minorHAnsi" w:hAnsiTheme="minorHAnsi" w:cstheme="minorHAnsi"/>
          <w:i/>
          <w:spacing w:val="-22"/>
          <w:sz w:val="19"/>
          <w:szCs w:val="19"/>
        </w:rPr>
        <w:t xml:space="preserve"> </w:t>
      </w:r>
      <w:r w:rsidRPr="00567CB3">
        <w:rPr>
          <w:rFonts w:asciiTheme="minorHAnsi" w:hAnsiTheme="minorHAnsi" w:cstheme="minorHAnsi"/>
          <w:i/>
          <w:sz w:val="19"/>
          <w:szCs w:val="19"/>
        </w:rPr>
        <w:t>A</w:t>
      </w:r>
      <w:r w:rsidRPr="00567CB3">
        <w:rPr>
          <w:rFonts w:asciiTheme="minorHAnsi" w:hAnsiTheme="minorHAnsi" w:cstheme="minorHAnsi"/>
          <w:i/>
          <w:spacing w:val="-22"/>
          <w:sz w:val="19"/>
          <w:szCs w:val="19"/>
        </w:rPr>
        <w:t xml:space="preserve"> </w:t>
      </w:r>
      <w:r w:rsidRPr="00567CB3">
        <w:rPr>
          <w:rFonts w:asciiTheme="minorHAnsi" w:hAnsiTheme="minorHAnsi" w:cstheme="minorHAnsi"/>
          <w:i/>
          <w:sz w:val="19"/>
          <w:szCs w:val="19"/>
        </w:rPr>
        <w:t>review</w:t>
      </w:r>
      <w:r w:rsidRPr="00567CB3">
        <w:rPr>
          <w:rFonts w:asciiTheme="minorHAnsi" w:hAnsiTheme="minorHAnsi" w:cstheme="minorHAnsi"/>
          <w:i/>
          <w:spacing w:val="-22"/>
          <w:sz w:val="19"/>
          <w:szCs w:val="19"/>
        </w:rPr>
        <w:t xml:space="preserve"> </w:t>
      </w:r>
      <w:r w:rsidRPr="00567CB3">
        <w:rPr>
          <w:rFonts w:asciiTheme="minorHAnsi" w:hAnsiTheme="minorHAnsi" w:cstheme="minorHAnsi"/>
          <w:i/>
          <w:sz w:val="19"/>
          <w:szCs w:val="19"/>
        </w:rPr>
        <w:t>of</w:t>
      </w:r>
      <w:r w:rsidRPr="00567CB3">
        <w:rPr>
          <w:rFonts w:asciiTheme="minorHAnsi" w:hAnsiTheme="minorHAnsi" w:cstheme="minorHAnsi"/>
          <w:i/>
          <w:spacing w:val="-23"/>
          <w:sz w:val="19"/>
          <w:szCs w:val="19"/>
        </w:rPr>
        <w:t xml:space="preserve"> </w:t>
      </w:r>
      <w:r w:rsidRPr="00567CB3">
        <w:rPr>
          <w:rFonts w:asciiTheme="minorHAnsi" w:hAnsiTheme="minorHAnsi" w:cstheme="minorHAnsi"/>
          <w:i/>
          <w:sz w:val="19"/>
          <w:szCs w:val="19"/>
        </w:rPr>
        <w:t>government</w:t>
      </w:r>
      <w:r w:rsidRPr="00567CB3">
        <w:rPr>
          <w:rFonts w:asciiTheme="minorHAnsi" w:hAnsiTheme="minorHAnsi" w:cstheme="minorHAnsi"/>
          <w:i/>
          <w:spacing w:val="-23"/>
          <w:sz w:val="19"/>
          <w:szCs w:val="19"/>
        </w:rPr>
        <w:t xml:space="preserve"> </w:t>
      </w:r>
      <w:r w:rsidRPr="00567CB3">
        <w:rPr>
          <w:rFonts w:asciiTheme="minorHAnsi" w:hAnsiTheme="minorHAnsi" w:cstheme="minorHAnsi"/>
          <w:i/>
          <w:sz w:val="19"/>
          <w:szCs w:val="19"/>
        </w:rPr>
        <w:t>engagement methods</w:t>
      </w:r>
      <w:r w:rsidRPr="00567CB3">
        <w:rPr>
          <w:rFonts w:asciiTheme="minorHAnsi" w:hAnsiTheme="minorHAnsi" w:cstheme="minorHAnsi"/>
          <w:i/>
          <w:spacing w:val="-20"/>
          <w:sz w:val="19"/>
          <w:szCs w:val="19"/>
        </w:rPr>
        <w:t xml:space="preserve"> </w:t>
      </w:r>
      <w:r w:rsidRPr="00567CB3">
        <w:rPr>
          <w:rFonts w:asciiTheme="minorHAnsi" w:hAnsiTheme="minorHAnsi" w:cstheme="minorHAnsi"/>
          <w:i/>
          <w:sz w:val="19"/>
          <w:szCs w:val="19"/>
        </w:rPr>
        <w:t>for</w:t>
      </w:r>
      <w:r w:rsidRPr="00567CB3">
        <w:rPr>
          <w:rFonts w:asciiTheme="minorHAnsi" w:hAnsiTheme="minorHAnsi" w:cstheme="minorHAnsi"/>
          <w:i/>
          <w:spacing w:val="-19"/>
          <w:sz w:val="19"/>
          <w:szCs w:val="19"/>
        </w:rPr>
        <w:t xml:space="preserve"> </w:t>
      </w:r>
      <w:r w:rsidRPr="00567CB3">
        <w:rPr>
          <w:rFonts w:asciiTheme="minorHAnsi" w:hAnsiTheme="minorHAnsi" w:cstheme="minorHAnsi"/>
          <w:i/>
          <w:sz w:val="19"/>
          <w:szCs w:val="19"/>
        </w:rPr>
        <w:t>developing</w:t>
      </w:r>
      <w:r w:rsidRPr="00567CB3">
        <w:rPr>
          <w:rFonts w:asciiTheme="minorHAnsi" w:hAnsiTheme="minorHAnsi" w:cstheme="minorHAnsi"/>
          <w:i/>
          <w:spacing w:val="-19"/>
          <w:sz w:val="19"/>
          <w:szCs w:val="19"/>
        </w:rPr>
        <w:t xml:space="preserve"> </w:t>
      </w:r>
      <w:r w:rsidRPr="00567CB3">
        <w:rPr>
          <w:rFonts w:asciiTheme="minorHAnsi" w:hAnsiTheme="minorHAnsi" w:cstheme="minorHAnsi"/>
          <w:i/>
          <w:sz w:val="19"/>
          <w:szCs w:val="19"/>
        </w:rPr>
        <w:t>health</w:t>
      </w:r>
      <w:r w:rsidRPr="00567CB3">
        <w:rPr>
          <w:rFonts w:asciiTheme="minorHAnsi" w:hAnsiTheme="minorHAnsi" w:cstheme="minorHAnsi"/>
          <w:i/>
          <w:spacing w:val="-17"/>
          <w:sz w:val="19"/>
          <w:szCs w:val="19"/>
        </w:rPr>
        <w:t xml:space="preserve"> </w:t>
      </w:r>
      <w:r w:rsidRPr="00567CB3">
        <w:rPr>
          <w:rFonts w:asciiTheme="minorHAnsi" w:hAnsiTheme="minorHAnsi" w:cstheme="minorHAnsi"/>
          <w:i/>
          <w:sz w:val="19"/>
          <w:szCs w:val="19"/>
        </w:rPr>
        <w:t>policy,</w:t>
      </w:r>
      <w:r w:rsidRPr="00567CB3">
        <w:rPr>
          <w:rFonts w:asciiTheme="minorHAnsi" w:hAnsiTheme="minorHAnsi" w:cstheme="minorHAnsi"/>
          <w:i/>
          <w:spacing w:val="-15"/>
          <w:sz w:val="19"/>
          <w:szCs w:val="19"/>
        </w:rPr>
        <w:t xml:space="preserve"> </w:t>
      </w:r>
      <w:r w:rsidRPr="00567CB3">
        <w:rPr>
          <w:rFonts w:asciiTheme="minorHAnsi" w:hAnsiTheme="minorHAnsi" w:cstheme="minorHAnsi"/>
          <w:sz w:val="19"/>
          <w:szCs w:val="19"/>
        </w:rPr>
        <w:t>Melbourne:</w:t>
      </w:r>
      <w:r w:rsidRPr="00567CB3">
        <w:rPr>
          <w:rFonts w:asciiTheme="minorHAnsi" w:hAnsiTheme="minorHAnsi" w:cstheme="minorHAnsi"/>
          <w:spacing w:val="-3"/>
          <w:sz w:val="19"/>
          <w:szCs w:val="19"/>
        </w:rPr>
        <w:t xml:space="preserve"> </w:t>
      </w:r>
      <w:r w:rsidRPr="00567CB3">
        <w:rPr>
          <w:rFonts w:asciiTheme="minorHAnsi" w:hAnsiTheme="minorHAnsi" w:cstheme="minorHAnsi"/>
          <w:sz w:val="19"/>
          <w:szCs w:val="19"/>
        </w:rPr>
        <w:t>The</w:t>
      </w:r>
      <w:r w:rsidRPr="00567CB3">
        <w:rPr>
          <w:rFonts w:asciiTheme="minorHAnsi" w:hAnsiTheme="minorHAnsi" w:cstheme="minorHAnsi"/>
          <w:spacing w:val="-4"/>
          <w:sz w:val="19"/>
          <w:szCs w:val="19"/>
        </w:rPr>
        <w:t xml:space="preserve"> </w:t>
      </w:r>
      <w:r w:rsidRPr="00567CB3">
        <w:rPr>
          <w:rFonts w:asciiTheme="minorHAnsi" w:hAnsiTheme="minorHAnsi" w:cstheme="minorHAnsi"/>
          <w:sz w:val="19"/>
          <w:szCs w:val="19"/>
        </w:rPr>
        <w:t>Lowitja</w:t>
      </w:r>
      <w:r w:rsidRPr="00567CB3">
        <w:rPr>
          <w:rFonts w:asciiTheme="minorHAnsi" w:hAnsiTheme="minorHAnsi" w:cstheme="minorHAnsi"/>
          <w:spacing w:val="-3"/>
          <w:sz w:val="19"/>
          <w:szCs w:val="19"/>
        </w:rPr>
        <w:t xml:space="preserve"> </w:t>
      </w:r>
      <w:r w:rsidRPr="00567CB3">
        <w:rPr>
          <w:rFonts w:asciiTheme="minorHAnsi" w:hAnsiTheme="minorHAnsi" w:cstheme="minorHAnsi"/>
          <w:sz w:val="19"/>
          <w:szCs w:val="19"/>
        </w:rPr>
        <w:t>Institute.</w:t>
      </w:r>
    </w:p>
    <w:p w:rsidR="00135913" w:rsidRPr="00567CB3" w:rsidRDefault="00135913" w:rsidP="00305C0E">
      <w:pPr>
        <w:pStyle w:val="BodyText"/>
        <w:spacing w:before="5"/>
        <w:ind w:left="1440"/>
        <w:rPr>
          <w:rFonts w:asciiTheme="minorHAnsi" w:hAnsiTheme="minorHAnsi" w:cstheme="minorHAnsi"/>
        </w:rPr>
      </w:pPr>
    </w:p>
    <w:p w:rsidR="00135913" w:rsidRPr="00567CB3" w:rsidRDefault="00135913" w:rsidP="00305C0E">
      <w:pPr>
        <w:spacing w:line="312" w:lineRule="auto"/>
        <w:ind w:left="1440" w:right="1304"/>
        <w:rPr>
          <w:rFonts w:asciiTheme="minorHAnsi" w:hAnsiTheme="minorHAnsi" w:cstheme="minorHAnsi"/>
          <w:sz w:val="19"/>
          <w:szCs w:val="19"/>
        </w:rPr>
      </w:pPr>
      <w:r w:rsidRPr="00567CB3">
        <w:rPr>
          <w:rFonts w:asciiTheme="minorHAnsi" w:hAnsiTheme="minorHAnsi" w:cstheme="minorHAnsi"/>
          <w:sz w:val="19"/>
          <w:szCs w:val="19"/>
        </w:rPr>
        <w:t>Wright,</w:t>
      </w:r>
      <w:r w:rsidRPr="00567CB3">
        <w:rPr>
          <w:rFonts w:asciiTheme="minorHAnsi" w:hAnsiTheme="minorHAnsi" w:cstheme="minorHAnsi"/>
          <w:spacing w:val="-9"/>
          <w:sz w:val="19"/>
          <w:szCs w:val="19"/>
        </w:rPr>
        <w:t xml:space="preserve"> </w:t>
      </w:r>
      <w:r w:rsidRPr="00567CB3">
        <w:rPr>
          <w:rFonts w:asciiTheme="minorHAnsi" w:hAnsiTheme="minorHAnsi" w:cstheme="minorHAnsi"/>
          <w:sz w:val="19"/>
          <w:szCs w:val="19"/>
        </w:rPr>
        <w:t>P.</w:t>
      </w:r>
      <w:r w:rsidRPr="00567CB3">
        <w:rPr>
          <w:rFonts w:asciiTheme="minorHAnsi" w:hAnsiTheme="minorHAnsi" w:cstheme="minorHAnsi"/>
          <w:spacing w:val="-8"/>
          <w:sz w:val="19"/>
          <w:szCs w:val="19"/>
        </w:rPr>
        <w:t xml:space="preserve"> </w:t>
      </w:r>
      <w:r w:rsidRPr="00567CB3">
        <w:rPr>
          <w:rFonts w:asciiTheme="minorHAnsi" w:hAnsiTheme="minorHAnsi" w:cstheme="minorHAnsi"/>
          <w:sz w:val="19"/>
          <w:szCs w:val="19"/>
        </w:rPr>
        <w:t>&amp;</w:t>
      </w:r>
      <w:r w:rsidRPr="00567CB3">
        <w:rPr>
          <w:rFonts w:asciiTheme="minorHAnsi" w:hAnsiTheme="minorHAnsi" w:cstheme="minorHAnsi"/>
          <w:spacing w:val="-7"/>
          <w:sz w:val="19"/>
          <w:szCs w:val="19"/>
        </w:rPr>
        <w:t xml:space="preserve"> </w:t>
      </w:r>
      <w:r w:rsidRPr="00567CB3">
        <w:rPr>
          <w:rFonts w:asciiTheme="minorHAnsi" w:hAnsiTheme="minorHAnsi" w:cstheme="minorHAnsi"/>
          <w:sz w:val="19"/>
          <w:szCs w:val="19"/>
        </w:rPr>
        <w:t>Lewis,</w:t>
      </w:r>
      <w:r w:rsidRPr="00567CB3">
        <w:rPr>
          <w:rFonts w:asciiTheme="minorHAnsi" w:hAnsiTheme="minorHAnsi" w:cstheme="minorHAnsi"/>
          <w:spacing w:val="-9"/>
          <w:sz w:val="19"/>
          <w:szCs w:val="19"/>
        </w:rPr>
        <w:t xml:space="preserve"> </w:t>
      </w:r>
      <w:r w:rsidRPr="00567CB3">
        <w:rPr>
          <w:rFonts w:asciiTheme="minorHAnsi" w:hAnsiTheme="minorHAnsi" w:cstheme="minorHAnsi"/>
          <w:sz w:val="19"/>
          <w:szCs w:val="19"/>
        </w:rPr>
        <w:t>D.</w:t>
      </w:r>
      <w:r w:rsidRPr="00567CB3">
        <w:rPr>
          <w:rFonts w:asciiTheme="minorHAnsi" w:hAnsiTheme="minorHAnsi" w:cstheme="minorHAnsi"/>
          <w:spacing w:val="-8"/>
          <w:sz w:val="19"/>
          <w:szCs w:val="19"/>
        </w:rPr>
        <w:t xml:space="preserve"> </w:t>
      </w:r>
      <w:r w:rsidRPr="00567CB3">
        <w:rPr>
          <w:rFonts w:asciiTheme="minorHAnsi" w:hAnsiTheme="minorHAnsi" w:cstheme="minorHAnsi"/>
          <w:sz w:val="19"/>
          <w:szCs w:val="19"/>
        </w:rPr>
        <w:t>P.,</w:t>
      </w:r>
      <w:r w:rsidRPr="00567CB3">
        <w:rPr>
          <w:rFonts w:asciiTheme="minorHAnsi" w:hAnsiTheme="minorHAnsi" w:cstheme="minorHAnsi"/>
          <w:spacing w:val="-8"/>
          <w:sz w:val="19"/>
          <w:szCs w:val="19"/>
        </w:rPr>
        <w:t xml:space="preserve"> </w:t>
      </w:r>
      <w:r w:rsidRPr="00567CB3">
        <w:rPr>
          <w:rFonts w:asciiTheme="minorHAnsi" w:hAnsiTheme="minorHAnsi" w:cstheme="minorHAnsi"/>
          <w:sz w:val="19"/>
          <w:szCs w:val="19"/>
        </w:rPr>
        <w:t>2017.</w:t>
      </w:r>
      <w:r w:rsidRPr="00567CB3">
        <w:rPr>
          <w:rFonts w:asciiTheme="minorHAnsi" w:hAnsiTheme="minorHAnsi" w:cstheme="minorHAnsi"/>
          <w:spacing w:val="-6"/>
          <w:sz w:val="19"/>
          <w:szCs w:val="19"/>
        </w:rPr>
        <w:t xml:space="preserve"> </w:t>
      </w:r>
      <w:r w:rsidRPr="00567CB3">
        <w:rPr>
          <w:rFonts w:asciiTheme="minorHAnsi" w:hAnsiTheme="minorHAnsi" w:cstheme="minorHAnsi"/>
          <w:i/>
          <w:sz w:val="19"/>
          <w:szCs w:val="19"/>
        </w:rPr>
        <w:t>Progress</w:t>
      </w:r>
      <w:r w:rsidRPr="00567CB3">
        <w:rPr>
          <w:rFonts w:asciiTheme="minorHAnsi" w:hAnsiTheme="minorHAnsi" w:cstheme="minorHAnsi"/>
          <w:i/>
          <w:spacing w:val="-24"/>
          <w:sz w:val="19"/>
          <w:szCs w:val="19"/>
        </w:rPr>
        <w:t xml:space="preserve"> </w:t>
      </w:r>
      <w:r w:rsidRPr="00567CB3">
        <w:rPr>
          <w:rFonts w:asciiTheme="minorHAnsi" w:hAnsiTheme="minorHAnsi" w:cstheme="minorHAnsi"/>
          <w:i/>
          <w:sz w:val="19"/>
          <w:szCs w:val="19"/>
        </w:rPr>
        <w:t>and</w:t>
      </w:r>
      <w:r w:rsidRPr="00567CB3">
        <w:rPr>
          <w:rFonts w:asciiTheme="minorHAnsi" w:hAnsiTheme="minorHAnsi" w:cstheme="minorHAnsi"/>
          <w:i/>
          <w:spacing w:val="-24"/>
          <w:sz w:val="19"/>
          <w:szCs w:val="19"/>
        </w:rPr>
        <w:t xml:space="preserve"> </w:t>
      </w:r>
      <w:r w:rsidRPr="00567CB3">
        <w:rPr>
          <w:rFonts w:asciiTheme="minorHAnsi" w:hAnsiTheme="minorHAnsi" w:cstheme="minorHAnsi"/>
          <w:i/>
          <w:sz w:val="19"/>
          <w:szCs w:val="19"/>
        </w:rPr>
        <w:t>priorities</w:t>
      </w:r>
      <w:r w:rsidRPr="00567CB3">
        <w:rPr>
          <w:rFonts w:asciiTheme="minorHAnsi" w:hAnsiTheme="minorHAnsi" w:cstheme="minorHAnsi"/>
          <w:i/>
          <w:spacing w:val="-24"/>
          <w:sz w:val="19"/>
          <w:szCs w:val="19"/>
        </w:rPr>
        <w:t xml:space="preserve"> </w:t>
      </w:r>
      <w:r w:rsidRPr="00567CB3">
        <w:rPr>
          <w:rFonts w:asciiTheme="minorHAnsi" w:hAnsiTheme="minorHAnsi" w:cstheme="minorHAnsi"/>
          <w:i/>
          <w:sz w:val="19"/>
          <w:szCs w:val="19"/>
        </w:rPr>
        <w:t>report</w:t>
      </w:r>
      <w:r w:rsidRPr="00567CB3">
        <w:rPr>
          <w:rFonts w:asciiTheme="minorHAnsi" w:hAnsiTheme="minorHAnsi" w:cstheme="minorHAnsi"/>
          <w:i/>
          <w:spacing w:val="-24"/>
          <w:sz w:val="19"/>
          <w:szCs w:val="19"/>
        </w:rPr>
        <w:t xml:space="preserve"> </w:t>
      </w:r>
      <w:r w:rsidRPr="00567CB3">
        <w:rPr>
          <w:rFonts w:asciiTheme="minorHAnsi" w:hAnsiTheme="minorHAnsi" w:cstheme="minorHAnsi"/>
          <w:i/>
          <w:sz w:val="19"/>
          <w:szCs w:val="19"/>
        </w:rPr>
        <w:t>2017,</w:t>
      </w:r>
      <w:r w:rsidRPr="00567CB3">
        <w:rPr>
          <w:rFonts w:asciiTheme="minorHAnsi" w:hAnsiTheme="minorHAnsi" w:cstheme="minorHAnsi"/>
          <w:i/>
          <w:spacing w:val="-21"/>
          <w:sz w:val="19"/>
          <w:szCs w:val="19"/>
        </w:rPr>
        <w:t xml:space="preserve"> </w:t>
      </w:r>
      <w:r w:rsidRPr="00567CB3">
        <w:rPr>
          <w:rFonts w:asciiTheme="minorHAnsi" w:hAnsiTheme="minorHAnsi" w:cstheme="minorHAnsi"/>
          <w:sz w:val="19"/>
          <w:szCs w:val="19"/>
        </w:rPr>
        <w:t>s.l.:</w:t>
      </w:r>
      <w:r w:rsidRPr="00567CB3">
        <w:rPr>
          <w:rFonts w:asciiTheme="minorHAnsi" w:hAnsiTheme="minorHAnsi" w:cstheme="minorHAnsi"/>
          <w:spacing w:val="-9"/>
          <w:sz w:val="19"/>
          <w:szCs w:val="19"/>
        </w:rPr>
        <w:t xml:space="preserve"> </w:t>
      </w:r>
      <w:r w:rsidRPr="00567CB3">
        <w:rPr>
          <w:rFonts w:asciiTheme="minorHAnsi" w:hAnsiTheme="minorHAnsi" w:cstheme="minorHAnsi"/>
          <w:sz w:val="19"/>
          <w:szCs w:val="19"/>
        </w:rPr>
        <w:t>The</w:t>
      </w:r>
      <w:r w:rsidRPr="00567CB3">
        <w:rPr>
          <w:rFonts w:asciiTheme="minorHAnsi" w:hAnsiTheme="minorHAnsi" w:cstheme="minorHAnsi"/>
          <w:spacing w:val="-8"/>
          <w:sz w:val="19"/>
          <w:szCs w:val="19"/>
        </w:rPr>
        <w:t xml:space="preserve"> </w:t>
      </w:r>
      <w:r w:rsidRPr="00567CB3">
        <w:rPr>
          <w:rFonts w:asciiTheme="minorHAnsi" w:hAnsiTheme="minorHAnsi" w:cstheme="minorHAnsi"/>
          <w:sz w:val="19"/>
          <w:szCs w:val="19"/>
        </w:rPr>
        <w:t>Close</w:t>
      </w:r>
      <w:r w:rsidRPr="00567CB3">
        <w:rPr>
          <w:rFonts w:asciiTheme="minorHAnsi" w:hAnsiTheme="minorHAnsi" w:cstheme="minorHAnsi"/>
          <w:spacing w:val="-9"/>
          <w:sz w:val="19"/>
          <w:szCs w:val="19"/>
        </w:rPr>
        <w:t xml:space="preserve"> </w:t>
      </w:r>
      <w:r w:rsidRPr="00567CB3">
        <w:rPr>
          <w:rFonts w:asciiTheme="minorHAnsi" w:hAnsiTheme="minorHAnsi" w:cstheme="minorHAnsi"/>
          <w:sz w:val="19"/>
          <w:szCs w:val="19"/>
        </w:rPr>
        <w:t>the</w:t>
      </w:r>
      <w:r w:rsidRPr="00567CB3">
        <w:rPr>
          <w:rFonts w:asciiTheme="minorHAnsi" w:hAnsiTheme="minorHAnsi" w:cstheme="minorHAnsi"/>
          <w:spacing w:val="-9"/>
          <w:sz w:val="19"/>
          <w:szCs w:val="19"/>
        </w:rPr>
        <w:t xml:space="preserve"> </w:t>
      </w:r>
      <w:r w:rsidRPr="00567CB3">
        <w:rPr>
          <w:rFonts w:asciiTheme="minorHAnsi" w:hAnsiTheme="minorHAnsi" w:cstheme="minorHAnsi"/>
          <w:sz w:val="19"/>
          <w:szCs w:val="19"/>
        </w:rPr>
        <w:t>Gap</w:t>
      </w:r>
      <w:r w:rsidRPr="00567CB3">
        <w:rPr>
          <w:rFonts w:asciiTheme="minorHAnsi" w:hAnsiTheme="minorHAnsi" w:cstheme="minorHAnsi"/>
          <w:spacing w:val="-8"/>
          <w:sz w:val="19"/>
          <w:szCs w:val="19"/>
        </w:rPr>
        <w:t xml:space="preserve"> </w:t>
      </w:r>
      <w:r w:rsidRPr="00567CB3">
        <w:rPr>
          <w:rFonts w:asciiTheme="minorHAnsi" w:hAnsiTheme="minorHAnsi" w:cstheme="minorHAnsi"/>
          <w:sz w:val="19"/>
          <w:szCs w:val="19"/>
        </w:rPr>
        <w:t>Campaign</w:t>
      </w:r>
      <w:r w:rsidRPr="00567CB3">
        <w:rPr>
          <w:rFonts w:asciiTheme="minorHAnsi" w:hAnsiTheme="minorHAnsi" w:cstheme="minorHAnsi"/>
          <w:spacing w:val="-8"/>
          <w:sz w:val="19"/>
          <w:szCs w:val="19"/>
        </w:rPr>
        <w:t xml:space="preserve"> </w:t>
      </w:r>
      <w:r w:rsidRPr="00567CB3">
        <w:rPr>
          <w:rFonts w:asciiTheme="minorHAnsi" w:hAnsiTheme="minorHAnsi" w:cstheme="minorHAnsi"/>
          <w:sz w:val="19"/>
          <w:szCs w:val="19"/>
        </w:rPr>
        <w:t>Steering Committee.</w:t>
      </w:r>
    </w:p>
    <w:p w:rsidR="00135913" w:rsidRDefault="00135913" w:rsidP="00135913">
      <w:pPr>
        <w:spacing w:line="312" w:lineRule="auto"/>
        <w:rPr>
          <w:sz w:val="20"/>
        </w:rPr>
        <w:sectPr w:rsidR="00135913">
          <w:pgSz w:w="11910" w:h="16840"/>
          <w:pgMar w:top="1380" w:right="0" w:bottom="980" w:left="0" w:header="0" w:footer="798" w:gutter="0"/>
          <w:cols w:space="720"/>
        </w:sectPr>
      </w:pPr>
    </w:p>
    <w:p w:rsidR="00135913" w:rsidRDefault="00135913" w:rsidP="00C41F6A">
      <w:pPr>
        <w:pStyle w:val="BodyText"/>
        <w:spacing w:before="8000"/>
        <w:rPr>
          <w:sz w:val="21"/>
        </w:rPr>
      </w:pPr>
    </w:p>
    <w:p w:rsidR="00135913" w:rsidRDefault="00135913" w:rsidP="00135913">
      <w:pPr>
        <w:pStyle w:val="BodyText"/>
        <w:ind w:left="1445"/>
        <w:rPr>
          <w:noProof/>
        </w:rPr>
      </w:pPr>
    </w:p>
    <w:p w:rsidR="00135913" w:rsidRDefault="00135913" w:rsidP="00135913">
      <w:pPr>
        <w:pStyle w:val="BodyText"/>
        <w:ind w:left="1445"/>
      </w:pPr>
      <w:r>
        <w:rPr>
          <w:noProof/>
          <w:lang w:val="en-AU" w:eastAsia="en-AU" w:bidi="ar-SA"/>
        </w:rPr>
        <w:drawing>
          <wp:inline distT="0" distB="0" distL="0" distR="0" wp14:anchorId="53A975E5" wp14:editId="271CA271">
            <wp:extent cx="1696181" cy="761238"/>
            <wp:effectExtent l="0" t="0" r="0" b="0"/>
            <wp:docPr id="9" name="image2.png" descr="CIR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34" cstate="print"/>
                    <a:stretch>
                      <a:fillRect/>
                    </a:stretch>
                  </pic:blipFill>
                  <pic:spPr>
                    <a:xfrm>
                      <a:off x="0" y="0"/>
                      <a:ext cx="1696181" cy="761238"/>
                    </a:xfrm>
                    <a:prstGeom prst="rect">
                      <a:avLst/>
                    </a:prstGeom>
                  </pic:spPr>
                </pic:pic>
              </a:graphicData>
            </a:graphic>
          </wp:inline>
        </w:drawing>
      </w:r>
    </w:p>
    <w:p w:rsidR="00135913" w:rsidRDefault="00135913" w:rsidP="00C41F6A">
      <w:pPr>
        <w:pStyle w:val="BodyText"/>
        <w:spacing w:before="1000"/>
      </w:pPr>
      <w:r>
        <w:t>Level 1, 93 Norton Street</w:t>
      </w:r>
    </w:p>
    <w:p w:rsidR="00135913" w:rsidRDefault="00135913" w:rsidP="00D76EAE">
      <w:pPr>
        <w:pStyle w:val="BodyText"/>
        <w:rPr>
          <w:sz w:val="28"/>
        </w:rPr>
      </w:pPr>
      <w:r>
        <w:rPr>
          <w:sz w:val="28"/>
        </w:rPr>
        <w:t>Leichhardt, NSW 2040</w:t>
      </w:r>
    </w:p>
    <w:p w:rsidR="00135913" w:rsidRDefault="00135913" w:rsidP="00D76EAE">
      <w:pPr>
        <w:pStyle w:val="BodyText"/>
        <w:rPr>
          <w:sz w:val="28"/>
        </w:rPr>
      </w:pPr>
      <w:r>
        <w:rPr>
          <w:color w:val="DA291C"/>
          <w:sz w:val="28"/>
        </w:rPr>
        <w:t xml:space="preserve">Tel: </w:t>
      </w:r>
      <w:r>
        <w:rPr>
          <w:sz w:val="28"/>
        </w:rPr>
        <w:t>+61 2 8585 1353</w:t>
      </w:r>
    </w:p>
    <w:p w:rsidR="00135913" w:rsidRDefault="00135913" w:rsidP="00D76EAE">
      <w:pPr>
        <w:pStyle w:val="BodyText"/>
        <w:rPr>
          <w:sz w:val="28"/>
        </w:rPr>
      </w:pPr>
      <w:r>
        <w:rPr>
          <w:color w:val="DA291C"/>
          <w:sz w:val="28"/>
        </w:rPr>
        <w:t xml:space="preserve">Fax: </w:t>
      </w:r>
      <w:r>
        <w:rPr>
          <w:sz w:val="28"/>
        </w:rPr>
        <w:t>+61 2 8585 1325</w:t>
      </w:r>
    </w:p>
    <w:p w:rsidR="00135913" w:rsidRPr="00FC1F85" w:rsidRDefault="00135913" w:rsidP="00135913">
      <w:pPr>
        <w:spacing w:before="241"/>
        <w:ind w:left="1723"/>
        <w:rPr>
          <w:sz w:val="28"/>
          <w:lang w:val="en-AU"/>
        </w:rPr>
      </w:pPr>
    </w:p>
    <w:p w:rsidR="00580ABF" w:rsidRDefault="00580ABF">
      <w:pPr>
        <w:pStyle w:val="BodyText"/>
        <w:rPr>
          <w:sz w:val="20"/>
        </w:rPr>
      </w:pPr>
    </w:p>
    <w:sectPr w:rsidR="00580ABF" w:rsidSect="00686CB3">
      <w:pgSz w:w="11910" w:h="16840"/>
      <w:pgMar w:top="1580" w:right="18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EF6" w:rsidRDefault="000D3EF6">
      <w:r>
        <w:separator/>
      </w:r>
    </w:p>
  </w:endnote>
  <w:endnote w:type="continuationSeparator" w:id="0">
    <w:p w:rsidR="000D3EF6" w:rsidRDefault="000D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054632"/>
      <w:docPartObj>
        <w:docPartGallery w:val="Page Numbers (Bottom of Page)"/>
        <w:docPartUnique/>
      </w:docPartObj>
    </w:sdtPr>
    <w:sdtEndPr>
      <w:rPr>
        <w:noProof/>
      </w:rPr>
    </w:sdtEndPr>
    <w:sdtContent>
      <w:p w:rsidR="00C37933" w:rsidRDefault="00C37933">
        <w:pPr>
          <w:pStyle w:val="Footer"/>
          <w:jc w:val="right"/>
        </w:pPr>
        <w:r>
          <w:fldChar w:fldCharType="begin"/>
        </w:r>
        <w:r>
          <w:instrText xml:space="preserve"> PAGE   \* MERGEFORMAT </w:instrText>
        </w:r>
        <w:r>
          <w:fldChar w:fldCharType="separate"/>
        </w:r>
        <w:r w:rsidR="00C13FDF">
          <w:rPr>
            <w:noProof/>
          </w:rPr>
          <w:t>4</w:t>
        </w:r>
        <w:r>
          <w:rPr>
            <w:noProof/>
          </w:rPr>
          <w:fldChar w:fldCharType="end"/>
        </w:r>
      </w:p>
    </w:sdtContent>
  </w:sdt>
  <w:p w:rsidR="00C37933" w:rsidRDefault="00C3793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594834"/>
      <w:docPartObj>
        <w:docPartGallery w:val="Page Numbers (Bottom of Page)"/>
        <w:docPartUnique/>
      </w:docPartObj>
    </w:sdtPr>
    <w:sdtEndPr>
      <w:rPr>
        <w:noProof/>
      </w:rPr>
    </w:sdtEndPr>
    <w:sdtContent>
      <w:p w:rsidR="00C37933" w:rsidRDefault="00C37933">
        <w:pPr>
          <w:pStyle w:val="Footer"/>
          <w:jc w:val="right"/>
        </w:pPr>
        <w:r>
          <w:fldChar w:fldCharType="begin"/>
        </w:r>
        <w:r>
          <w:instrText xml:space="preserve"> PAGE   \* MERGEFORMAT </w:instrText>
        </w:r>
        <w:r>
          <w:fldChar w:fldCharType="separate"/>
        </w:r>
        <w:r w:rsidR="00C13FDF">
          <w:rPr>
            <w:noProof/>
          </w:rPr>
          <w:t>3</w:t>
        </w:r>
        <w:r>
          <w:rPr>
            <w:noProof/>
          </w:rPr>
          <w:fldChar w:fldCharType="end"/>
        </w:r>
      </w:p>
    </w:sdtContent>
  </w:sdt>
  <w:p w:rsidR="00C37933" w:rsidRDefault="00C3793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933" w:rsidRDefault="00C37933">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933" w:rsidRDefault="00C37933">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EF6" w:rsidRDefault="000D3EF6">
      <w:r>
        <w:separator/>
      </w:r>
    </w:p>
  </w:footnote>
  <w:footnote w:type="continuationSeparator" w:id="0">
    <w:p w:rsidR="000D3EF6" w:rsidRDefault="000D3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632A"/>
    <w:multiLevelType w:val="hybridMultilevel"/>
    <w:tmpl w:val="368AB9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F2223"/>
    <w:multiLevelType w:val="hybridMultilevel"/>
    <w:tmpl w:val="9E267E78"/>
    <w:lvl w:ilvl="0" w:tplc="220A5C52">
      <w:start w:val="1"/>
      <w:numFmt w:val="decimal"/>
      <w:lvlText w:val="%1."/>
      <w:lvlJc w:val="left"/>
      <w:pPr>
        <w:ind w:left="2160" w:hanging="720"/>
      </w:pPr>
      <w:rPr>
        <w:rFonts w:ascii="Calibri" w:eastAsia="Calibri" w:hAnsi="Calibri" w:cs="Calibri" w:hint="default"/>
        <w:color w:val="DA291C"/>
        <w:spacing w:val="-2"/>
        <w:w w:val="100"/>
        <w:sz w:val="48"/>
        <w:szCs w:val="48"/>
        <w:lang w:val="en-US" w:eastAsia="en-US" w:bidi="en-US"/>
      </w:rPr>
    </w:lvl>
    <w:lvl w:ilvl="1" w:tplc="4B6E1040">
      <w:numFmt w:val="bullet"/>
      <w:lvlText w:val="•"/>
      <w:lvlJc w:val="left"/>
      <w:pPr>
        <w:ind w:left="2160" w:hanging="360"/>
      </w:pPr>
      <w:rPr>
        <w:rFonts w:ascii="Arial" w:eastAsia="Arial" w:hAnsi="Arial" w:cs="Arial" w:hint="default"/>
        <w:w w:val="130"/>
        <w:sz w:val="20"/>
        <w:szCs w:val="20"/>
        <w:lang w:val="en-US" w:eastAsia="en-US" w:bidi="en-US"/>
      </w:rPr>
    </w:lvl>
    <w:lvl w:ilvl="2" w:tplc="D42AC524">
      <w:numFmt w:val="bullet"/>
      <w:lvlText w:val="o"/>
      <w:lvlJc w:val="left"/>
      <w:pPr>
        <w:ind w:left="2880" w:hanging="360"/>
      </w:pPr>
      <w:rPr>
        <w:rFonts w:ascii="Courier New" w:eastAsia="Courier New" w:hAnsi="Courier New" w:cs="Courier New" w:hint="default"/>
        <w:w w:val="99"/>
        <w:sz w:val="20"/>
        <w:szCs w:val="20"/>
        <w:lang w:val="en-US" w:eastAsia="en-US" w:bidi="en-US"/>
      </w:rPr>
    </w:lvl>
    <w:lvl w:ilvl="3" w:tplc="935A4AFC">
      <w:numFmt w:val="bullet"/>
      <w:lvlText w:val="•"/>
      <w:lvlJc w:val="left"/>
      <w:pPr>
        <w:ind w:left="4885" w:hanging="360"/>
      </w:pPr>
      <w:rPr>
        <w:rFonts w:hint="default"/>
        <w:lang w:val="en-US" w:eastAsia="en-US" w:bidi="en-US"/>
      </w:rPr>
    </w:lvl>
    <w:lvl w:ilvl="4" w:tplc="02F0330A">
      <w:numFmt w:val="bullet"/>
      <w:lvlText w:val="•"/>
      <w:lvlJc w:val="left"/>
      <w:pPr>
        <w:ind w:left="5888" w:hanging="360"/>
      </w:pPr>
      <w:rPr>
        <w:rFonts w:hint="default"/>
        <w:lang w:val="en-US" w:eastAsia="en-US" w:bidi="en-US"/>
      </w:rPr>
    </w:lvl>
    <w:lvl w:ilvl="5" w:tplc="934A16F6">
      <w:numFmt w:val="bullet"/>
      <w:lvlText w:val="•"/>
      <w:lvlJc w:val="left"/>
      <w:pPr>
        <w:ind w:left="6891" w:hanging="360"/>
      </w:pPr>
      <w:rPr>
        <w:rFonts w:hint="default"/>
        <w:lang w:val="en-US" w:eastAsia="en-US" w:bidi="en-US"/>
      </w:rPr>
    </w:lvl>
    <w:lvl w:ilvl="6" w:tplc="1B609D1C">
      <w:numFmt w:val="bullet"/>
      <w:lvlText w:val="•"/>
      <w:lvlJc w:val="left"/>
      <w:pPr>
        <w:ind w:left="7894" w:hanging="360"/>
      </w:pPr>
      <w:rPr>
        <w:rFonts w:hint="default"/>
        <w:lang w:val="en-US" w:eastAsia="en-US" w:bidi="en-US"/>
      </w:rPr>
    </w:lvl>
    <w:lvl w:ilvl="7" w:tplc="CFAA5592">
      <w:numFmt w:val="bullet"/>
      <w:lvlText w:val="•"/>
      <w:lvlJc w:val="left"/>
      <w:pPr>
        <w:ind w:left="8897" w:hanging="360"/>
      </w:pPr>
      <w:rPr>
        <w:rFonts w:hint="default"/>
        <w:lang w:val="en-US" w:eastAsia="en-US" w:bidi="en-US"/>
      </w:rPr>
    </w:lvl>
    <w:lvl w:ilvl="8" w:tplc="2C74D908">
      <w:numFmt w:val="bullet"/>
      <w:lvlText w:val="•"/>
      <w:lvlJc w:val="left"/>
      <w:pPr>
        <w:ind w:left="9900" w:hanging="360"/>
      </w:pPr>
      <w:rPr>
        <w:rFonts w:hint="default"/>
        <w:lang w:val="en-US" w:eastAsia="en-US" w:bidi="en-US"/>
      </w:rPr>
    </w:lvl>
  </w:abstractNum>
  <w:abstractNum w:abstractNumId="2" w15:restartNumberingAfterBreak="0">
    <w:nsid w:val="02C85B46"/>
    <w:multiLevelType w:val="hybridMultilevel"/>
    <w:tmpl w:val="99E203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56C2F"/>
    <w:multiLevelType w:val="hybridMultilevel"/>
    <w:tmpl w:val="501E2640"/>
    <w:lvl w:ilvl="0" w:tplc="0C09000B">
      <w:start w:val="1"/>
      <w:numFmt w:val="bullet"/>
      <w:lvlText w:val=""/>
      <w:lvlJc w:val="left"/>
      <w:pPr>
        <w:ind w:left="844" w:hanging="360"/>
      </w:pPr>
      <w:rPr>
        <w:rFonts w:ascii="Wingdings" w:hAnsi="Wingdings" w:hint="default"/>
      </w:rPr>
    </w:lvl>
    <w:lvl w:ilvl="1" w:tplc="0C090003" w:tentative="1">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4" w15:restartNumberingAfterBreak="0">
    <w:nsid w:val="09675C1F"/>
    <w:multiLevelType w:val="hybridMultilevel"/>
    <w:tmpl w:val="9D180D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546A6"/>
    <w:multiLevelType w:val="hybridMultilevel"/>
    <w:tmpl w:val="4AF61F24"/>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315E2EEC">
      <w:numFmt w:val="bullet"/>
      <w:lvlText w:val=""/>
      <w:lvlJc w:val="left"/>
      <w:pPr>
        <w:ind w:left="2160" w:hanging="360"/>
      </w:pPr>
      <w:rPr>
        <w:rFonts w:ascii="Wingdings 2" w:eastAsia="Calibri" w:hAnsi="Wingdings 2" w:cs="Calibri" w:hint="default"/>
        <w:color w:val="DA291C"/>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E57FC9"/>
    <w:multiLevelType w:val="hybridMultilevel"/>
    <w:tmpl w:val="F2C2BBD6"/>
    <w:lvl w:ilvl="0" w:tplc="0C09000B">
      <w:start w:val="1"/>
      <w:numFmt w:val="bullet"/>
      <w:lvlText w:val=""/>
      <w:lvlJc w:val="left"/>
      <w:pPr>
        <w:ind w:left="844" w:hanging="360"/>
      </w:pPr>
      <w:rPr>
        <w:rFonts w:ascii="Wingdings" w:hAnsi="Wingdings" w:hint="default"/>
      </w:rPr>
    </w:lvl>
    <w:lvl w:ilvl="1" w:tplc="0C090003" w:tentative="1">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7" w15:restartNumberingAfterBreak="0">
    <w:nsid w:val="22136FB7"/>
    <w:multiLevelType w:val="hybridMultilevel"/>
    <w:tmpl w:val="1096CF54"/>
    <w:lvl w:ilvl="0" w:tplc="809C6D7A">
      <w:numFmt w:val="bullet"/>
      <w:lvlText w:val="•"/>
      <w:lvlJc w:val="left"/>
      <w:pPr>
        <w:ind w:left="259" w:hanging="260"/>
      </w:pPr>
      <w:rPr>
        <w:rFonts w:ascii="Times New Roman" w:eastAsia="Times New Roman" w:hAnsi="Times New Roman" w:cs="Times New Roman" w:hint="default"/>
        <w:i/>
        <w:color w:val="F47921"/>
        <w:w w:val="100"/>
        <w:position w:val="-4"/>
        <w:sz w:val="24"/>
        <w:szCs w:val="24"/>
        <w:lang w:val="en-GB" w:eastAsia="en-GB" w:bidi="en-GB"/>
      </w:rPr>
    </w:lvl>
    <w:lvl w:ilvl="1" w:tplc="813088A0">
      <w:numFmt w:val="bullet"/>
      <w:lvlText w:val="•"/>
      <w:lvlJc w:val="left"/>
      <w:pPr>
        <w:ind w:left="779" w:hanging="260"/>
      </w:pPr>
      <w:rPr>
        <w:rFonts w:hint="default"/>
        <w:lang w:val="en-GB" w:eastAsia="en-GB" w:bidi="en-GB"/>
      </w:rPr>
    </w:lvl>
    <w:lvl w:ilvl="2" w:tplc="DFB008BE">
      <w:numFmt w:val="bullet"/>
      <w:lvlText w:val="•"/>
      <w:lvlJc w:val="left"/>
      <w:pPr>
        <w:ind w:left="1299" w:hanging="260"/>
      </w:pPr>
      <w:rPr>
        <w:rFonts w:hint="default"/>
        <w:lang w:val="en-GB" w:eastAsia="en-GB" w:bidi="en-GB"/>
      </w:rPr>
    </w:lvl>
    <w:lvl w:ilvl="3" w:tplc="C0FE8434">
      <w:numFmt w:val="bullet"/>
      <w:lvlText w:val="•"/>
      <w:lvlJc w:val="left"/>
      <w:pPr>
        <w:ind w:left="1819" w:hanging="260"/>
      </w:pPr>
      <w:rPr>
        <w:rFonts w:hint="default"/>
        <w:lang w:val="en-GB" w:eastAsia="en-GB" w:bidi="en-GB"/>
      </w:rPr>
    </w:lvl>
    <w:lvl w:ilvl="4" w:tplc="3BD49188">
      <w:numFmt w:val="bullet"/>
      <w:lvlText w:val="•"/>
      <w:lvlJc w:val="left"/>
      <w:pPr>
        <w:ind w:left="2339" w:hanging="260"/>
      </w:pPr>
      <w:rPr>
        <w:rFonts w:hint="default"/>
        <w:lang w:val="en-GB" w:eastAsia="en-GB" w:bidi="en-GB"/>
      </w:rPr>
    </w:lvl>
    <w:lvl w:ilvl="5" w:tplc="7494D55A">
      <w:numFmt w:val="bullet"/>
      <w:lvlText w:val="•"/>
      <w:lvlJc w:val="left"/>
      <w:pPr>
        <w:ind w:left="2858" w:hanging="260"/>
      </w:pPr>
      <w:rPr>
        <w:rFonts w:hint="default"/>
        <w:lang w:val="en-GB" w:eastAsia="en-GB" w:bidi="en-GB"/>
      </w:rPr>
    </w:lvl>
    <w:lvl w:ilvl="6" w:tplc="65ECA256">
      <w:numFmt w:val="bullet"/>
      <w:lvlText w:val="•"/>
      <w:lvlJc w:val="left"/>
      <w:pPr>
        <w:ind w:left="3378" w:hanging="260"/>
      </w:pPr>
      <w:rPr>
        <w:rFonts w:hint="default"/>
        <w:lang w:val="en-GB" w:eastAsia="en-GB" w:bidi="en-GB"/>
      </w:rPr>
    </w:lvl>
    <w:lvl w:ilvl="7" w:tplc="344CCF62">
      <w:numFmt w:val="bullet"/>
      <w:lvlText w:val="•"/>
      <w:lvlJc w:val="left"/>
      <w:pPr>
        <w:ind w:left="3898" w:hanging="260"/>
      </w:pPr>
      <w:rPr>
        <w:rFonts w:hint="default"/>
        <w:lang w:val="en-GB" w:eastAsia="en-GB" w:bidi="en-GB"/>
      </w:rPr>
    </w:lvl>
    <w:lvl w:ilvl="8" w:tplc="937C659A">
      <w:numFmt w:val="bullet"/>
      <w:lvlText w:val="•"/>
      <w:lvlJc w:val="left"/>
      <w:pPr>
        <w:ind w:left="4418" w:hanging="260"/>
      </w:pPr>
      <w:rPr>
        <w:rFonts w:hint="default"/>
        <w:lang w:val="en-GB" w:eastAsia="en-GB" w:bidi="en-GB"/>
      </w:rPr>
    </w:lvl>
  </w:abstractNum>
  <w:abstractNum w:abstractNumId="8" w15:restartNumberingAfterBreak="0">
    <w:nsid w:val="27454E79"/>
    <w:multiLevelType w:val="hybridMultilevel"/>
    <w:tmpl w:val="82AC7FAA"/>
    <w:lvl w:ilvl="0" w:tplc="0C09000B">
      <w:start w:val="1"/>
      <w:numFmt w:val="bullet"/>
      <w:lvlText w:val=""/>
      <w:lvlJc w:val="left"/>
      <w:pPr>
        <w:ind w:left="720" w:hanging="360"/>
      </w:pPr>
      <w:rPr>
        <w:rFonts w:ascii="Wingdings" w:hAnsi="Wingding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0C12F4"/>
    <w:multiLevelType w:val="hybridMultilevel"/>
    <w:tmpl w:val="C144F454"/>
    <w:lvl w:ilvl="0" w:tplc="CDD2A47A">
      <w:numFmt w:val="bullet"/>
      <w:lvlText w:val="◆"/>
      <w:lvlJc w:val="left"/>
      <w:pPr>
        <w:ind w:left="333" w:hanging="334"/>
      </w:pPr>
      <w:rPr>
        <w:rFonts w:ascii="Arial" w:eastAsia="Arial" w:hAnsi="Arial" w:cs="Arial" w:hint="default"/>
        <w:color w:val="F9A51C"/>
        <w:w w:val="72"/>
        <w:sz w:val="17"/>
        <w:szCs w:val="17"/>
        <w:lang w:val="en-GB" w:eastAsia="en-GB" w:bidi="en-GB"/>
      </w:rPr>
    </w:lvl>
    <w:lvl w:ilvl="1" w:tplc="7FBE44A0">
      <w:numFmt w:val="bullet"/>
      <w:lvlText w:val="•"/>
      <w:lvlJc w:val="left"/>
      <w:pPr>
        <w:ind w:left="355" w:hanging="334"/>
      </w:pPr>
      <w:rPr>
        <w:rFonts w:hint="default"/>
        <w:lang w:val="en-GB" w:eastAsia="en-GB" w:bidi="en-GB"/>
      </w:rPr>
    </w:lvl>
    <w:lvl w:ilvl="2" w:tplc="35846CD6">
      <w:numFmt w:val="bullet"/>
      <w:lvlText w:val="•"/>
      <w:lvlJc w:val="left"/>
      <w:pPr>
        <w:ind w:left="370" w:hanging="334"/>
      </w:pPr>
      <w:rPr>
        <w:rFonts w:hint="default"/>
        <w:lang w:val="en-GB" w:eastAsia="en-GB" w:bidi="en-GB"/>
      </w:rPr>
    </w:lvl>
    <w:lvl w:ilvl="3" w:tplc="E1F27D16">
      <w:numFmt w:val="bullet"/>
      <w:lvlText w:val="•"/>
      <w:lvlJc w:val="left"/>
      <w:pPr>
        <w:ind w:left="386" w:hanging="334"/>
      </w:pPr>
      <w:rPr>
        <w:rFonts w:hint="default"/>
        <w:lang w:val="en-GB" w:eastAsia="en-GB" w:bidi="en-GB"/>
      </w:rPr>
    </w:lvl>
    <w:lvl w:ilvl="4" w:tplc="2850D0F2">
      <w:numFmt w:val="bullet"/>
      <w:lvlText w:val="•"/>
      <w:lvlJc w:val="left"/>
      <w:pPr>
        <w:ind w:left="401" w:hanging="334"/>
      </w:pPr>
      <w:rPr>
        <w:rFonts w:hint="default"/>
        <w:lang w:val="en-GB" w:eastAsia="en-GB" w:bidi="en-GB"/>
      </w:rPr>
    </w:lvl>
    <w:lvl w:ilvl="5" w:tplc="67E08322">
      <w:numFmt w:val="bullet"/>
      <w:lvlText w:val="•"/>
      <w:lvlJc w:val="left"/>
      <w:pPr>
        <w:ind w:left="417" w:hanging="334"/>
      </w:pPr>
      <w:rPr>
        <w:rFonts w:hint="default"/>
        <w:lang w:val="en-GB" w:eastAsia="en-GB" w:bidi="en-GB"/>
      </w:rPr>
    </w:lvl>
    <w:lvl w:ilvl="6" w:tplc="53F8ECEA">
      <w:numFmt w:val="bullet"/>
      <w:lvlText w:val="•"/>
      <w:lvlJc w:val="left"/>
      <w:pPr>
        <w:ind w:left="432" w:hanging="334"/>
      </w:pPr>
      <w:rPr>
        <w:rFonts w:hint="default"/>
        <w:lang w:val="en-GB" w:eastAsia="en-GB" w:bidi="en-GB"/>
      </w:rPr>
    </w:lvl>
    <w:lvl w:ilvl="7" w:tplc="94784316">
      <w:numFmt w:val="bullet"/>
      <w:lvlText w:val="•"/>
      <w:lvlJc w:val="left"/>
      <w:pPr>
        <w:ind w:left="448" w:hanging="334"/>
      </w:pPr>
      <w:rPr>
        <w:rFonts w:hint="default"/>
        <w:lang w:val="en-GB" w:eastAsia="en-GB" w:bidi="en-GB"/>
      </w:rPr>
    </w:lvl>
    <w:lvl w:ilvl="8" w:tplc="393E5B3C">
      <w:numFmt w:val="bullet"/>
      <w:lvlText w:val="•"/>
      <w:lvlJc w:val="left"/>
      <w:pPr>
        <w:ind w:left="463" w:hanging="334"/>
      </w:pPr>
      <w:rPr>
        <w:rFonts w:hint="default"/>
        <w:lang w:val="en-GB" w:eastAsia="en-GB" w:bidi="en-GB"/>
      </w:rPr>
    </w:lvl>
  </w:abstractNum>
  <w:abstractNum w:abstractNumId="10" w15:restartNumberingAfterBreak="0">
    <w:nsid w:val="2F7C6BF5"/>
    <w:multiLevelType w:val="hybridMultilevel"/>
    <w:tmpl w:val="AAEEF428"/>
    <w:lvl w:ilvl="0" w:tplc="0C09000B">
      <w:start w:val="1"/>
      <w:numFmt w:val="bullet"/>
      <w:lvlText w:val=""/>
      <w:lvlJc w:val="left"/>
      <w:pPr>
        <w:ind w:left="1547" w:hanging="360"/>
      </w:pPr>
      <w:rPr>
        <w:rFonts w:ascii="Wingdings" w:hAnsi="Wingdings" w:hint="default"/>
      </w:rPr>
    </w:lvl>
    <w:lvl w:ilvl="1" w:tplc="0C090003" w:tentative="1">
      <w:start w:val="1"/>
      <w:numFmt w:val="bullet"/>
      <w:lvlText w:val="o"/>
      <w:lvlJc w:val="left"/>
      <w:pPr>
        <w:ind w:left="2267" w:hanging="360"/>
      </w:pPr>
      <w:rPr>
        <w:rFonts w:ascii="Courier New" w:hAnsi="Courier New" w:cs="Courier New" w:hint="default"/>
      </w:rPr>
    </w:lvl>
    <w:lvl w:ilvl="2" w:tplc="0C090005" w:tentative="1">
      <w:start w:val="1"/>
      <w:numFmt w:val="bullet"/>
      <w:lvlText w:val=""/>
      <w:lvlJc w:val="left"/>
      <w:pPr>
        <w:ind w:left="2987" w:hanging="360"/>
      </w:pPr>
      <w:rPr>
        <w:rFonts w:ascii="Wingdings" w:hAnsi="Wingdings" w:hint="default"/>
      </w:rPr>
    </w:lvl>
    <w:lvl w:ilvl="3" w:tplc="0C090001" w:tentative="1">
      <w:start w:val="1"/>
      <w:numFmt w:val="bullet"/>
      <w:lvlText w:val=""/>
      <w:lvlJc w:val="left"/>
      <w:pPr>
        <w:ind w:left="3707" w:hanging="360"/>
      </w:pPr>
      <w:rPr>
        <w:rFonts w:ascii="Symbol" w:hAnsi="Symbol" w:hint="default"/>
      </w:rPr>
    </w:lvl>
    <w:lvl w:ilvl="4" w:tplc="0C090003" w:tentative="1">
      <w:start w:val="1"/>
      <w:numFmt w:val="bullet"/>
      <w:lvlText w:val="o"/>
      <w:lvlJc w:val="left"/>
      <w:pPr>
        <w:ind w:left="4427" w:hanging="360"/>
      </w:pPr>
      <w:rPr>
        <w:rFonts w:ascii="Courier New" w:hAnsi="Courier New" w:cs="Courier New" w:hint="default"/>
      </w:rPr>
    </w:lvl>
    <w:lvl w:ilvl="5" w:tplc="0C090005" w:tentative="1">
      <w:start w:val="1"/>
      <w:numFmt w:val="bullet"/>
      <w:lvlText w:val=""/>
      <w:lvlJc w:val="left"/>
      <w:pPr>
        <w:ind w:left="5147" w:hanging="360"/>
      </w:pPr>
      <w:rPr>
        <w:rFonts w:ascii="Wingdings" w:hAnsi="Wingdings" w:hint="default"/>
      </w:rPr>
    </w:lvl>
    <w:lvl w:ilvl="6" w:tplc="0C090001" w:tentative="1">
      <w:start w:val="1"/>
      <w:numFmt w:val="bullet"/>
      <w:lvlText w:val=""/>
      <w:lvlJc w:val="left"/>
      <w:pPr>
        <w:ind w:left="5867" w:hanging="360"/>
      </w:pPr>
      <w:rPr>
        <w:rFonts w:ascii="Symbol" w:hAnsi="Symbol" w:hint="default"/>
      </w:rPr>
    </w:lvl>
    <w:lvl w:ilvl="7" w:tplc="0C090003" w:tentative="1">
      <w:start w:val="1"/>
      <w:numFmt w:val="bullet"/>
      <w:lvlText w:val="o"/>
      <w:lvlJc w:val="left"/>
      <w:pPr>
        <w:ind w:left="6587" w:hanging="360"/>
      </w:pPr>
      <w:rPr>
        <w:rFonts w:ascii="Courier New" w:hAnsi="Courier New" w:cs="Courier New" w:hint="default"/>
      </w:rPr>
    </w:lvl>
    <w:lvl w:ilvl="8" w:tplc="0C090005" w:tentative="1">
      <w:start w:val="1"/>
      <w:numFmt w:val="bullet"/>
      <w:lvlText w:val=""/>
      <w:lvlJc w:val="left"/>
      <w:pPr>
        <w:ind w:left="7307" w:hanging="360"/>
      </w:pPr>
      <w:rPr>
        <w:rFonts w:ascii="Wingdings" w:hAnsi="Wingdings" w:hint="default"/>
      </w:rPr>
    </w:lvl>
  </w:abstractNum>
  <w:abstractNum w:abstractNumId="11" w15:restartNumberingAfterBreak="0">
    <w:nsid w:val="2FCD7738"/>
    <w:multiLevelType w:val="hybridMultilevel"/>
    <w:tmpl w:val="73563730"/>
    <w:lvl w:ilvl="0" w:tplc="0C09000B">
      <w:start w:val="1"/>
      <w:numFmt w:val="bullet"/>
      <w:lvlText w:val=""/>
      <w:lvlJc w:val="left"/>
      <w:pPr>
        <w:ind w:left="1141" w:hanging="360"/>
      </w:pPr>
      <w:rPr>
        <w:rFonts w:ascii="Wingdings" w:hAnsi="Wingdings" w:hint="default"/>
      </w:rPr>
    </w:lvl>
    <w:lvl w:ilvl="1" w:tplc="0C090003" w:tentative="1">
      <w:start w:val="1"/>
      <w:numFmt w:val="bullet"/>
      <w:lvlText w:val="o"/>
      <w:lvlJc w:val="left"/>
      <w:pPr>
        <w:ind w:left="1861" w:hanging="360"/>
      </w:pPr>
      <w:rPr>
        <w:rFonts w:ascii="Courier New" w:hAnsi="Courier New" w:cs="Courier New" w:hint="default"/>
      </w:rPr>
    </w:lvl>
    <w:lvl w:ilvl="2" w:tplc="0C090005" w:tentative="1">
      <w:start w:val="1"/>
      <w:numFmt w:val="bullet"/>
      <w:lvlText w:val=""/>
      <w:lvlJc w:val="left"/>
      <w:pPr>
        <w:ind w:left="2581" w:hanging="360"/>
      </w:pPr>
      <w:rPr>
        <w:rFonts w:ascii="Wingdings" w:hAnsi="Wingdings" w:hint="default"/>
      </w:rPr>
    </w:lvl>
    <w:lvl w:ilvl="3" w:tplc="0C090001" w:tentative="1">
      <w:start w:val="1"/>
      <w:numFmt w:val="bullet"/>
      <w:lvlText w:val=""/>
      <w:lvlJc w:val="left"/>
      <w:pPr>
        <w:ind w:left="3301" w:hanging="360"/>
      </w:pPr>
      <w:rPr>
        <w:rFonts w:ascii="Symbol" w:hAnsi="Symbol" w:hint="default"/>
      </w:rPr>
    </w:lvl>
    <w:lvl w:ilvl="4" w:tplc="0C090003" w:tentative="1">
      <w:start w:val="1"/>
      <w:numFmt w:val="bullet"/>
      <w:lvlText w:val="o"/>
      <w:lvlJc w:val="left"/>
      <w:pPr>
        <w:ind w:left="4021" w:hanging="360"/>
      </w:pPr>
      <w:rPr>
        <w:rFonts w:ascii="Courier New" w:hAnsi="Courier New" w:cs="Courier New" w:hint="default"/>
      </w:rPr>
    </w:lvl>
    <w:lvl w:ilvl="5" w:tplc="0C090005" w:tentative="1">
      <w:start w:val="1"/>
      <w:numFmt w:val="bullet"/>
      <w:lvlText w:val=""/>
      <w:lvlJc w:val="left"/>
      <w:pPr>
        <w:ind w:left="4741" w:hanging="360"/>
      </w:pPr>
      <w:rPr>
        <w:rFonts w:ascii="Wingdings" w:hAnsi="Wingdings" w:hint="default"/>
      </w:rPr>
    </w:lvl>
    <w:lvl w:ilvl="6" w:tplc="0C090001" w:tentative="1">
      <w:start w:val="1"/>
      <w:numFmt w:val="bullet"/>
      <w:lvlText w:val=""/>
      <w:lvlJc w:val="left"/>
      <w:pPr>
        <w:ind w:left="5461" w:hanging="360"/>
      </w:pPr>
      <w:rPr>
        <w:rFonts w:ascii="Symbol" w:hAnsi="Symbol" w:hint="default"/>
      </w:rPr>
    </w:lvl>
    <w:lvl w:ilvl="7" w:tplc="0C090003" w:tentative="1">
      <w:start w:val="1"/>
      <w:numFmt w:val="bullet"/>
      <w:lvlText w:val="o"/>
      <w:lvlJc w:val="left"/>
      <w:pPr>
        <w:ind w:left="6181" w:hanging="360"/>
      </w:pPr>
      <w:rPr>
        <w:rFonts w:ascii="Courier New" w:hAnsi="Courier New" w:cs="Courier New" w:hint="default"/>
      </w:rPr>
    </w:lvl>
    <w:lvl w:ilvl="8" w:tplc="0C090005" w:tentative="1">
      <w:start w:val="1"/>
      <w:numFmt w:val="bullet"/>
      <w:lvlText w:val=""/>
      <w:lvlJc w:val="left"/>
      <w:pPr>
        <w:ind w:left="6901" w:hanging="360"/>
      </w:pPr>
      <w:rPr>
        <w:rFonts w:ascii="Wingdings" w:hAnsi="Wingdings" w:hint="default"/>
      </w:rPr>
    </w:lvl>
  </w:abstractNum>
  <w:abstractNum w:abstractNumId="12" w15:restartNumberingAfterBreak="0">
    <w:nsid w:val="327502D3"/>
    <w:multiLevelType w:val="hybridMultilevel"/>
    <w:tmpl w:val="ED7AF3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9B7D70"/>
    <w:multiLevelType w:val="hybridMultilevel"/>
    <w:tmpl w:val="00F4E7DC"/>
    <w:lvl w:ilvl="0" w:tplc="0C09000B">
      <w:start w:val="1"/>
      <w:numFmt w:val="bullet"/>
      <w:lvlText w:val=""/>
      <w:lvlJc w:val="left"/>
      <w:pPr>
        <w:ind w:left="1547" w:hanging="360"/>
      </w:pPr>
      <w:rPr>
        <w:rFonts w:ascii="Wingdings" w:hAnsi="Wingdings" w:hint="default"/>
      </w:rPr>
    </w:lvl>
    <w:lvl w:ilvl="1" w:tplc="0C090003" w:tentative="1">
      <w:start w:val="1"/>
      <w:numFmt w:val="bullet"/>
      <w:lvlText w:val="o"/>
      <w:lvlJc w:val="left"/>
      <w:pPr>
        <w:ind w:left="2267" w:hanging="360"/>
      </w:pPr>
      <w:rPr>
        <w:rFonts w:ascii="Courier New" w:hAnsi="Courier New" w:cs="Courier New" w:hint="default"/>
      </w:rPr>
    </w:lvl>
    <w:lvl w:ilvl="2" w:tplc="0C090005" w:tentative="1">
      <w:start w:val="1"/>
      <w:numFmt w:val="bullet"/>
      <w:lvlText w:val=""/>
      <w:lvlJc w:val="left"/>
      <w:pPr>
        <w:ind w:left="2987" w:hanging="360"/>
      </w:pPr>
      <w:rPr>
        <w:rFonts w:ascii="Wingdings" w:hAnsi="Wingdings" w:hint="default"/>
      </w:rPr>
    </w:lvl>
    <w:lvl w:ilvl="3" w:tplc="0C090001" w:tentative="1">
      <w:start w:val="1"/>
      <w:numFmt w:val="bullet"/>
      <w:lvlText w:val=""/>
      <w:lvlJc w:val="left"/>
      <w:pPr>
        <w:ind w:left="3707" w:hanging="360"/>
      </w:pPr>
      <w:rPr>
        <w:rFonts w:ascii="Symbol" w:hAnsi="Symbol" w:hint="default"/>
      </w:rPr>
    </w:lvl>
    <w:lvl w:ilvl="4" w:tplc="0C090003" w:tentative="1">
      <w:start w:val="1"/>
      <w:numFmt w:val="bullet"/>
      <w:lvlText w:val="o"/>
      <w:lvlJc w:val="left"/>
      <w:pPr>
        <w:ind w:left="4427" w:hanging="360"/>
      </w:pPr>
      <w:rPr>
        <w:rFonts w:ascii="Courier New" w:hAnsi="Courier New" w:cs="Courier New" w:hint="default"/>
      </w:rPr>
    </w:lvl>
    <w:lvl w:ilvl="5" w:tplc="0C090005" w:tentative="1">
      <w:start w:val="1"/>
      <w:numFmt w:val="bullet"/>
      <w:lvlText w:val=""/>
      <w:lvlJc w:val="left"/>
      <w:pPr>
        <w:ind w:left="5147" w:hanging="360"/>
      </w:pPr>
      <w:rPr>
        <w:rFonts w:ascii="Wingdings" w:hAnsi="Wingdings" w:hint="default"/>
      </w:rPr>
    </w:lvl>
    <w:lvl w:ilvl="6" w:tplc="0C090001" w:tentative="1">
      <w:start w:val="1"/>
      <w:numFmt w:val="bullet"/>
      <w:lvlText w:val=""/>
      <w:lvlJc w:val="left"/>
      <w:pPr>
        <w:ind w:left="5867" w:hanging="360"/>
      </w:pPr>
      <w:rPr>
        <w:rFonts w:ascii="Symbol" w:hAnsi="Symbol" w:hint="default"/>
      </w:rPr>
    </w:lvl>
    <w:lvl w:ilvl="7" w:tplc="0C090003" w:tentative="1">
      <w:start w:val="1"/>
      <w:numFmt w:val="bullet"/>
      <w:lvlText w:val="o"/>
      <w:lvlJc w:val="left"/>
      <w:pPr>
        <w:ind w:left="6587" w:hanging="360"/>
      </w:pPr>
      <w:rPr>
        <w:rFonts w:ascii="Courier New" w:hAnsi="Courier New" w:cs="Courier New" w:hint="default"/>
      </w:rPr>
    </w:lvl>
    <w:lvl w:ilvl="8" w:tplc="0C090005" w:tentative="1">
      <w:start w:val="1"/>
      <w:numFmt w:val="bullet"/>
      <w:lvlText w:val=""/>
      <w:lvlJc w:val="left"/>
      <w:pPr>
        <w:ind w:left="7307" w:hanging="360"/>
      </w:pPr>
      <w:rPr>
        <w:rFonts w:ascii="Wingdings" w:hAnsi="Wingdings" w:hint="default"/>
      </w:rPr>
    </w:lvl>
  </w:abstractNum>
  <w:abstractNum w:abstractNumId="14" w15:restartNumberingAfterBreak="0">
    <w:nsid w:val="380F47F5"/>
    <w:multiLevelType w:val="hybridMultilevel"/>
    <w:tmpl w:val="84645A2E"/>
    <w:lvl w:ilvl="0" w:tplc="0C09000B">
      <w:start w:val="1"/>
      <w:numFmt w:val="bullet"/>
      <w:lvlText w:val=""/>
      <w:lvlJc w:val="left"/>
      <w:pPr>
        <w:ind w:left="1546" w:hanging="360"/>
      </w:pPr>
      <w:rPr>
        <w:rFonts w:ascii="Wingdings" w:hAnsi="Wingdings" w:hint="default"/>
      </w:rPr>
    </w:lvl>
    <w:lvl w:ilvl="1" w:tplc="0C090003" w:tentative="1">
      <w:start w:val="1"/>
      <w:numFmt w:val="bullet"/>
      <w:lvlText w:val="o"/>
      <w:lvlJc w:val="left"/>
      <w:pPr>
        <w:ind w:left="2266" w:hanging="360"/>
      </w:pPr>
      <w:rPr>
        <w:rFonts w:ascii="Courier New" w:hAnsi="Courier New" w:cs="Courier New" w:hint="default"/>
      </w:rPr>
    </w:lvl>
    <w:lvl w:ilvl="2" w:tplc="0C090005" w:tentative="1">
      <w:start w:val="1"/>
      <w:numFmt w:val="bullet"/>
      <w:lvlText w:val=""/>
      <w:lvlJc w:val="left"/>
      <w:pPr>
        <w:ind w:left="2986" w:hanging="360"/>
      </w:pPr>
      <w:rPr>
        <w:rFonts w:ascii="Wingdings" w:hAnsi="Wingdings" w:hint="default"/>
      </w:rPr>
    </w:lvl>
    <w:lvl w:ilvl="3" w:tplc="0C090001" w:tentative="1">
      <w:start w:val="1"/>
      <w:numFmt w:val="bullet"/>
      <w:lvlText w:val=""/>
      <w:lvlJc w:val="left"/>
      <w:pPr>
        <w:ind w:left="3706" w:hanging="360"/>
      </w:pPr>
      <w:rPr>
        <w:rFonts w:ascii="Symbol" w:hAnsi="Symbol" w:hint="default"/>
      </w:rPr>
    </w:lvl>
    <w:lvl w:ilvl="4" w:tplc="0C090003" w:tentative="1">
      <w:start w:val="1"/>
      <w:numFmt w:val="bullet"/>
      <w:lvlText w:val="o"/>
      <w:lvlJc w:val="left"/>
      <w:pPr>
        <w:ind w:left="4426" w:hanging="360"/>
      </w:pPr>
      <w:rPr>
        <w:rFonts w:ascii="Courier New" w:hAnsi="Courier New" w:cs="Courier New" w:hint="default"/>
      </w:rPr>
    </w:lvl>
    <w:lvl w:ilvl="5" w:tplc="0C090005" w:tentative="1">
      <w:start w:val="1"/>
      <w:numFmt w:val="bullet"/>
      <w:lvlText w:val=""/>
      <w:lvlJc w:val="left"/>
      <w:pPr>
        <w:ind w:left="5146" w:hanging="360"/>
      </w:pPr>
      <w:rPr>
        <w:rFonts w:ascii="Wingdings" w:hAnsi="Wingdings" w:hint="default"/>
      </w:rPr>
    </w:lvl>
    <w:lvl w:ilvl="6" w:tplc="0C090001" w:tentative="1">
      <w:start w:val="1"/>
      <w:numFmt w:val="bullet"/>
      <w:lvlText w:val=""/>
      <w:lvlJc w:val="left"/>
      <w:pPr>
        <w:ind w:left="5866" w:hanging="360"/>
      </w:pPr>
      <w:rPr>
        <w:rFonts w:ascii="Symbol" w:hAnsi="Symbol" w:hint="default"/>
      </w:rPr>
    </w:lvl>
    <w:lvl w:ilvl="7" w:tplc="0C090003" w:tentative="1">
      <w:start w:val="1"/>
      <w:numFmt w:val="bullet"/>
      <w:lvlText w:val="o"/>
      <w:lvlJc w:val="left"/>
      <w:pPr>
        <w:ind w:left="6586" w:hanging="360"/>
      </w:pPr>
      <w:rPr>
        <w:rFonts w:ascii="Courier New" w:hAnsi="Courier New" w:cs="Courier New" w:hint="default"/>
      </w:rPr>
    </w:lvl>
    <w:lvl w:ilvl="8" w:tplc="0C090005" w:tentative="1">
      <w:start w:val="1"/>
      <w:numFmt w:val="bullet"/>
      <w:lvlText w:val=""/>
      <w:lvlJc w:val="left"/>
      <w:pPr>
        <w:ind w:left="7306" w:hanging="360"/>
      </w:pPr>
      <w:rPr>
        <w:rFonts w:ascii="Wingdings" w:hAnsi="Wingdings" w:hint="default"/>
      </w:rPr>
    </w:lvl>
  </w:abstractNum>
  <w:abstractNum w:abstractNumId="15" w15:restartNumberingAfterBreak="0">
    <w:nsid w:val="3AE10EE3"/>
    <w:multiLevelType w:val="hybridMultilevel"/>
    <w:tmpl w:val="90C66B4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726F46"/>
    <w:multiLevelType w:val="hybridMultilevel"/>
    <w:tmpl w:val="2132F166"/>
    <w:lvl w:ilvl="0" w:tplc="0C09000F">
      <w:start w:val="1"/>
      <w:numFmt w:val="decimal"/>
      <w:lvlText w:val="%1."/>
      <w:lvlJc w:val="left"/>
      <w:pPr>
        <w:ind w:left="1566" w:hanging="360"/>
      </w:pPr>
    </w:lvl>
    <w:lvl w:ilvl="1" w:tplc="0C090019" w:tentative="1">
      <w:start w:val="1"/>
      <w:numFmt w:val="lowerLetter"/>
      <w:lvlText w:val="%2."/>
      <w:lvlJc w:val="left"/>
      <w:pPr>
        <w:ind w:left="2286" w:hanging="360"/>
      </w:pPr>
    </w:lvl>
    <w:lvl w:ilvl="2" w:tplc="0C09001B" w:tentative="1">
      <w:start w:val="1"/>
      <w:numFmt w:val="lowerRoman"/>
      <w:lvlText w:val="%3."/>
      <w:lvlJc w:val="right"/>
      <w:pPr>
        <w:ind w:left="3006" w:hanging="180"/>
      </w:pPr>
    </w:lvl>
    <w:lvl w:ilvl="3" w:tplc="0C09000F" w:tentative="1">
      <w:start w:val="1"/>
      <w:numFmt w:val="decimal"/>
      <w:lvlText w:val="%4."/>
      <w:lvlJc w:val="left"/>
      <w:pPr>
        <w:ind w:left="3726" w:hanging="360"/>
      </w:pPr>
    </w:lvl>
    <w:lvl w:ilvl="4" w:tplc="0C090019" w:tentative="1">
      <w:start w:val="1"/>
      <w:numFmt w:val="lowerLetter"/>
      <w:lvlText w:val="%5."/>
      <w:lvlJc w:val="left"/>
      <w:pPr>
        <w:ind w:left="4446" w:hanging="360"/>
      </w:pPr>
    </w:lvl>
    <w:lvl w:ilvl="5" w:tplc="0C09001B" w:tentative="1">
      <w:start w:val="1"/>
      <w:numFmt w:val="lowerRoman"/>
      <w:lvlText w:val="%6."/>
      <w:lvlJc w:val="right"/>
      <w:pPr>
        <w:ind w:left="5166" w:hanging="180"/>
      </w:pPr>
    </w:lvl>
    <w:lvl w:ilvl="6" w:tplc="0C09000F" w:tentative="1">
      <w:start w:val="1"/>
      <w:numFmt w:val="decimal"/>
      <w:lvlText w:val="%7."/>
      <w:lvlJc w:val="left"/>
      <w:pPr>
        <w:ind w:left="5886" w:hanging="360"/>
      </w:pPr>
    </w:lvl>
    <w:lvl w:ilvl="7" w:tplc="0C090019" w:tentative="1">
      <w:start w:val="1"/>
      <w:numFmt w:val="lowerLetter"/>
      <w:lvlText w:val="%8."/>
      <w:lvlJc w:val="left"/>
      <w:pPr>
        <w:ind w:left="6606" w:hanging="360"/>
      </w:pPr>
    </w:lvl>
    <w:lvl w:ilvl="8" w:tplc="0C09001B" w:tentative="1">
      <w:start w:val="1"/>
      <w:numFmt w:val="lowerRoman"/>
      <w:lvlText w:val="%9."/>
      <w:lvlJc w:val="right"/>
      <w:pPr>
        <w:ind w:left="7326" w:hanging="180"/>
      </w:pPr>
    </w:lvl>
  </w:abstractNum>
  <w:abstractNum w:abstractNumId="17" w15:restartNumberingAfterBreak="0">
    <w:nsid w:val="44AA71FB"/>
    <w:multiLevelType w:val="hybridMultilevel"/>
    <w:tmpl w:val="F73E8C32"/>
    <w:lvl w:ilvl="0" w:tplc="0C09000B">
      <w:start w:val="1"/>
      <w:numFmt w:val="bullet"/>
      <w:lvlText w:val=""/>
      <w:lvlJc w:val="left"/>
      <w:pPr>
        <w:ind w:left="1152" w:hanging="360"/>
      </w:pPr>
      <w:rPr>
        <w:rFonts w:ascii="Wingdings" w:hAnsi="Wingdings"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8" w15:restartNumberingAfterBreak="0">
    <w:nsid w:val="45005E1D"/>
    <w:multiLevelType w:val="hybridMultilevel"/>
    <w:tmpl w:val="AABC9C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1C46C1"/>
    <w:multiLevelType w:val="hybridMultilevel"/>
    <w:tmpl w:val="1C8C741E"/>
    <w:lvl w:ilvl="0" w:tplc="0C09000B">
      <w:start w:val="1"/>
      <w:numFmt w:val="bullet"/>
      <w:lvlText w:val=""/>
      <w:lvlJc w:val="left"/>
      <w:pPr>
        <w:ind w:left="988" w:hanging="360"/>
      </w:pPr>
      <w:rPr>
        <w:rFonts w:ascii="Wingdings" w:hAnsi="Wingdings" w:hint="default"/>
      </w:rPr>
    </w:lvl>
    <w:lvl w:ilvl="1" w:tplc="0C090003" w:tentative="1">
      <w:start w:val="1"/>
      <w:numFmt w:val="bullet"/>
      <w:lvlText w:val="o"/>
      <w:lvlJc w:val="left"/>
      <w:pPr>
        <w:ind w:left="1708" w:hanging="360"/>
      </w:pPr>
      <w:rPr>
        <w:rFonts w:ascii="Courier New" w:hAnsi="Courier New" w:cs="Courier New" w:hint="default"/>
      </w:rPr>
    </w:lvl>
    <w:lvl w:ilvl="2" w:tplc="0C090005" w:tentative="1">
      <w:start w:val="1"/>
      <w:numFmt w:val="bullet"/>
      <w:lvlText w:val=""/>
      <w:lvlJc w:val="left"/>
      <w:pPr>
        <w:ind w:left="2428" w:hanging="360"/>
      </w:pPr>
      <w:rPr>
        <w:rFonts w:ascii="Wingdings" w:hAnsi="Wingdings" w:hint="default"/>
      </w:rPr>
    </w:lvl>
    <w:lvl w:ilvl="3" w:tplc="0C090001" w:tentative="1">
      <w:start w:val="1"/>
      <w:numFmt w:val="bullet"/>
      <w:lvlText w:val=""/>
      <w:lvlJc w:val="left"/>
      <w:pPr>
        <w:ind w:left="3148" w:hanging="360"/>
      </w:pPr>
      <w:rPr>
        <w:rFonts w:ascii="Symbol" w:hAnsi="Symbol" w:hint="default"/>
      </w:rPr>
    </w:lvl>
    <w:lvl w:ilvl="4" w:tplc="0C090003" w:tentative="1">
      <w:start w:val="1"/>
      <w:numFmt w:val="bullet"/>
      <w:lvlText w:val="o"/>
      <w:lvlJc w:val="left"/>
      <w:pPr>
        <w:ind w:left="3868" w:hanging="360"/>
      </w:pPr>
      <w:rPr>
        <w:rFonts w:ascii="Courier New" w:hAnsi="Courier New" w:cs="Courier New" w:hint="default"/>
      </w:rPr>
    </w:lvl>
    <w:lvl w:ilvl="5" w:tplc="0C090005" w:tentative="1">
      <w:start w:val="1"/>
      <w:numFmt w:val="bullet"/>
      <w:lvlText w:val=""/>
      <w:lvlJc w:val="left"/>
      <w:pPr>
        <w:ind w:left="4588" w:hanging="360"/>
      </w:pPr>
      <w:rPr>
        <w:rFonts w:ascii="Wingdings" w:hAnsi="Wingdings" w:hint="default"/>
      </w:rPr>
    </w:lvl>
    <w:lvl w:ilvl="6" w:tplc="0C090001" w:tentative="1">
      <w:start w:val="1"/>
      <w:numFmt w:val="bullet"/>
      <w:lvlText w:val=""/>
      <w:lvlJc w:val="left"/>
      <w:pPr>
        <w:ind w:left="5308" w:hanging="360"/>
      </w:pPr>
      <w:rPr>
        <w:rFonts w:ascii="Symbol" w:hAnsi="Symbol" w:hint="default"/>
      </w:rPr>
    </w:lvl>
    <w:lvl w:ilvl="7" w:tplc="0C090003" w:tentative="1">
      <w:start w:val="1"/>
      <w:numFmt w:val="bullet"/>
      <w:lvlText w:val="o"/>
      <w:lvlJc w:val="left"/>
      <w:pPr>
        <w:ind w:left="6028" w:hanging="360"/>
      </w:pPr>
      <w:rPr>
        <w:rFonts w:ascii="Courier New" w:hAnsi="Courier New" w:cs="Courier New" w:hint="default"/>
      </w:rPr>
    </w:lvl>
    <w:lvl w:ilvl="8" w:tplc="0C090005" w:tentative="1">
      <w:start w:val="1"/>
      <w:numFmt w:val="bullet"/>
      <w:lvlText w:val=""/>
      <w:lvlJc w:val="left"/>
      <w:pPr>
        <w:ind w:left="6748" w:hanging="360"/>
      </w:pPr>
      <w:rPr>
        <w:rFonts w:ascii="Wingdings" w:hAnsi="Wingdings" w:hint="default"/>
      </w:rPr>
    </w:lvl>
  </w:abstractNum>
  <w:abstractNum w:abstractNumId="20" w15:restartNumberingAfterBreak="0">
    <w:nsid w:val="4751226F"/>
    <w:multiLevelType w:val="hybridMultilevel"/>
    <w:tmpl w:val="6C6E54F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0F78C7"/>
    <w:multiLevelType w:val="hybridMultilevel"/>
    <w:tmpl w:val="5804243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6A33B8"/>
    <w:multiLevelType w:val="hybridMultilevel"/>
    <w:tmpl w:val="D50A6058"/>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DE4ED6"/>
    <w:multiLevelType w:val="hybridMultilevel"/>
    <w:tmpl w:val="60F6522A"/>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FB01AD"/>
    <w:multiLevelType w:val="hybridMultilevel"/>
    <w:tmpl w:val="007CF3F2"/>
    <w:lvl w:ilvl="0" w:tplc="3BFA5874">
      <w:start w:val="4"/>
      <w:numFmt w:val="decimal"/>
      <w:lvlText w:val="%1."/>
      <w:lvlJc w:val="left"/>
      <w:pPr>
        <w:ind w:left="1517" w:hanging="347"/>
      </w:pPr>
      <w:rPr>
        <w:rFonts w:hint="default"/>
        <w:b/>
        <w:bCs/>
        <w:spacing w:val="-1"/>
        <w:w w:val="100"/>
        <w:lang w:val="en-GB" w:eastAsia="en-GB" w:bidi="en-GB"/>
      </w:rPr>
    </w:lvl>
    <w:lvl w:ilvl="1" w:tplc="D14CCACE">
      <w:numFmt w:val="bullet"/>
      <w:lvlText w:val="◆"/>
      <w:lvlJc w:val="left"/>
      <w:pPr>
        <w:ind w:left="2261" w:hanging="363"/>
      </w:pPr>
      <w:rPr>
        <w:rFonts w:ascii="Arial" w:eastAsia="Arial" w:hAnsi="Arial" w:cs="Arial" w:hint="default"/>
        <w:color w:val="F9A51C"/>
        <w:w w:val="74"/>
        <w:sz w:val="17"/>
        <w:szCs w:val="17"/>
        <w:lang w:val="en-GB" w:eastAsia="en-GB" w:bidi="en-GB"/>
      </w:rPr>
    </w:lvl>
    <w:lvl w:ilvl="2" w:tplc="CAC8001C">
      <w:numFmt w:val="bullet"/>
      <w:lvlText w:val="•"/>
      <w:lvlJc w:val="left"/>
      <w:pPr>
        <w:ind w:left="4354" w:hanging="363"/>
      </w:pPr>
      <w:rPr>
        <w:rFonts w:hint="default"/>
        <w:lang w:val="en-GB" w:eastAsia="en-GB" w:bidi="en-GB"/>
      </w:rPr>
    </w:lvl>
    <w:lvl w:ilvl="3" w:tplc="A992B82E">
      <w:numFmt w:val="bullet"/>
      <w:lvlText w:val="•"/>
      <w:lvlJc w:val="left"/>
      <w:pPr>
        <w:ind w:left="5214" w:hanging="363"/>
      </w:pPr>
      <w:rPr>
        <w:rFonts w:hint="default"/>
        <w:lang w:val="en-GB" w:eastAsia="en-GB" w:bidi="en-GB"/>
      </w:rPr>
    </w:lvl>
    <w:lvl w:ilvl="4" w:tplc="541C4896">
      <w:numFmt w:val="bullet"/>
      <w:lvlText w:val="•"/>
      <w:lvlJc w:val="left"/>
      <w:pPr>
        <w:ind w:left="5269" w:hanging="363"/>
      </w:pPr>
      <w:rPr>
        <w:rFonts w:hint="default"/>
        <w:lang w:val="en-GB" w:eastAsia="en-GB" w:bidi="en-GB"/>
      </w:rPr>
    </w:lvl>
    <w:lvl w:ilvl="5" w:tplc="1AFEF28E">
      <w:numFmt w:val="bullet"/>
      <w:lvlText w:val="•"/>
      <w:lvlJc w:val="left"/>
      <w:pPr>
        <w:ind w:left="5325" w:hanging="363"/>
      </w:pPr>
      <w:rPr>
        <w:rFonts w:hint="default"/>
        <w:lang w:val="en-GB" w:eastAsia="en-GB" w:bidi="en-GB"/>
      </w:rPr>
    </w:lvl>
    <w:lvl w:ilvl="6" w:tplc="E9B41D72">
      <w:numFmt w:val="bullet"/>
      <w:lvlText w:val="•"/>
      <w:lvlJc w:val="left"/>
      <w:pPr>
        <w:ind w:left="5381" w:hanging="363"/>
      </w:pPr>
      <w:rPr>
        <w:rFonts w:hint="default"/>
        <w:lang w:val="en-GB" w:eastAsia="en-GB" w:bidi="en-GB"/>
      </w:rPr>
    </w:lvl>
    <w:lvl w:ilvl="7" w:tplc="EE083AAC">
      <w:numFmt w:val="bullet"/>
      <w:lvlText w:val="•"/>
      <w:lvlJc w:val="left"/>
      <w:pPr>
        <w:ind w:left="5437" w:hanging="363"/>
      </w:pPr>
      <w:rPr>
        <w:rFonts w:hint="default"/>
        <w:lang w:val="en-GB" w:eastAsia="en-GB" w:bidi="en-GB"/>
      </w:rPr>
    </w:lvl>
    <w:lvl w:ilvl="8" w:tplc="311E9D80">
      <w:numFmt w:val="bullet"/>
      <w:lvlText w:val="•"/>
      <w:lvlJc w:val="left"/>
      <w:pPr>
        <w:ind w:left="5493" w:hanging="363"/>
      </w:pPr>
      <w:rPr>
        <w:rFonts w:hint="default"/>
        <w:lang w:val="en-GB" w:eastAsia="en-GB" w:bidi="en-GB"/>
      </w:rPr>
    </w:lvl>
  </w:abstractNum>
  <w:abstractNum w:abstractNumId="25" w15:restartNumberingAfterBreak="0">
    <w:nsid w:val="55642463"/>
    <w:multiLevelType w:val="hybridMultilevel"/>
    <w:tmpl w:val="336618E0"/>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E06972"/>
    <w:multiLevelType w:val="hybridMultilevel"/>
    <w:tmpl w:val="F2C87C26"/>
    <w:lvl w:ilvl="0" w:tplc="0C09000B">
      <w:start w:val="1"/>
      <w:numFmt w:val="bullet"/>
      <w:lvlText w:val=""/>
      <w:lvlJc w:val="left"/>
      <w:pPr>
        <w:ind w:left="1132" w:hanging="360"/>
      </w:pPr>
      <w:rPr>
        <w:rFonts w:ascii="Wingdings" w:hAnsi="Wingdings" w:hint="default"/>
      </w:rPr>
    </w:lvl>
    <w:lvl w:ilvl="1" w:tplc="0C090003" w:tentative="1">
      <w:start w:val="1"/>
      <w:numFmt w:val="bullet"/>
      <w:lvlText w:val="o"/>
      <w:lvlJc w:val="left"/>
      <w:pPr>
        <w:ind w:left="1852" w:hanging="360"/>
      </w:pPr>
      <w:rPr>
        <w:rFonts w:ascii="Courier New" w:hAnsi="Courier New" w:cs="Courier New" w:hint="default"/>
      </w:rPr>
    </w:lvl>
    <w:lvl w:ilvl="2" w:tplc="0C090005" w:tentative="1">
      <w:start w:val="1"/>
      <w:numFmt w:val="bullet"/>
      <w:lvlText w:val=""/>
      <w:lvlJc w:val="left"/>
      <w:pPr>
        <w:ind w:left="2572" w:hanging="360"/>
      </w:pPr>
      <w:rPr>
        <w:rFonts w:ascii="Wingdings" w:hAnsi="Wingdings" w:hint="default"/>
      </w:rPr>
    </w:lvl>
    <w:lvl w:ilvl="3" w:tplc="0C090001" w:tentative="1">
      <w:start w:val="1"/>
      <w:numFmt w:val="bullet"/>
      <w:lvlText w:val=""/>
      <w:lvlJc w:val="left"/>
      <w:pPr>
        <w:ind w:left="3292" w:hanging="360"/>
      </w:pPr>
      <w:rPr>
        <w:rFonts w:ascii="Symbol" w:hAnsi="Symbol" w:hint="default"/>
      </w:rPr>
    </w:lvl>
    <w:lvl w:ilvl="4" w:tplc="0C090003" w:tentative="1">
      <w:start w:val="1"/>
      <w:numFmt w:val="bullet"/>
      <w:lvlText w:val="o"/>
      <w:lvlJc w:val="left"/>
      <w:pPr>
        <w:ind w:left="4012" w:hanging="360"/>
      </w:pPr>
      <w:rPr>
        <w:rFonts w:ascii="Courier New" w:hAnsi="Courier New" w:cs="Courier New" w:hint="default"/>
      </w:rPr>
    </w:lvl>
    <w:lvl w:ilvl="5" w:tplc="0C090005" w:tentative="1">
      <w:start w:val="1"/>
      <w:numFmt w:val="bullet"/>
      <w:lvlText w:val=""/>
      <w:lvlJc w:val="left"/>
      <w:pPr>
        <w:ind w:left="4732" w:hanging="360"/>
      </w:pPr>
      <w:rPr>
        <w:rFonts w:ascii="Wingdings" w:hAnsi="Wingdings" w:hint="default"/>
      </w:rPr>
    </w:lvl>
    <w:lvl w:ilvl="6" w:tplc="0C090001" w:tentative="1">
      <w:start w:val="1"/>
      <w:numFmt w:val="bullet"/>
      <w:lvlText w:val=""/>
      <w:lvlJc w:val="left"/>
      <w:pPr>
        <w:ind w:left="5452" w:hanging="360"/>
      </w:pPr>
      <w:rPr>
        <w:rFonts w:ascii="Symbol" w:hAnsi="Symbol" w:hint="default"/>
      </w:rPr>
    </w:lvl>
    <w:lvl w:ilvl="7" w:tplc="0C090003" w:tentative="1">
      <w:start w:val="1"/>
      <w:numFmt w:val="bullet"/>
      <w:lvlText w:val="o"/>
      <w:lvlJc w:val="left"/>
      <w:pPr>
        <w:ind w:left="6172" w:hanging="360"/>
      </w:pPr>
      <w:rPr>
        <w:rFonts w:ascii="Courier New" w:hAnsi="Courier New" w:cs="Courier New" w:hint="default"/>
      </w:rPr>
    </w:lvl>
    <w:lvl w:ilvl="8" w:tplc="0C090005" w:tentative="1">
      <w:start w:val="1"/>
      <w:numFmt w:val="bullet"/>
      <w:lvlText w:val=""/>
      <w:lvlJc w:val="left"/>
      <w:pPr>
        <w:ind w:left="6892" w:hanging="360"/>
      </w:pPr>
      <w:rPr>
        <w:rFonts w:ascii="Wingdings" w:hAnsi="Wingdings" w:hint="default"/>
      </w:rPr>
    </w:lvl>
  </w:abstractNum>
  <w:abstractNum w:abstractNumId="27" w15:restartNumberingAfterBreak="0">
    <w:nsid w:val="62B631C4"/>
    <w:multiLevelType w:val="hybridMultilevel"/>
    <w:tmpl w:val="E8128F80"/>
    <w:lvl w:ilvl="0" w:tplc="0C09000B">
      <w:start w:val="1"/>
      <w:numFmt w:val="bullet"/>
      <w:lvlText w:val=""/>
      <w:lvlJc w:val="left"/>
      <w:pPr>
        <w:ind w:left="1546" w:hanging="360"/>
      </w:pPr>
      <w:rPr>
        <w:rFonts w:ascii="Wingdings" w:hAnsi="Wingdings" w:hint="default"/>
      </w:rPr>
    </w:lvl>
    <w:lvl w:ilvl="1" w:tplc="0C090003" w:tentative="1">
      <w:start w:val="1"/>
      <w:numFmt w:val="bullet"/>
      <w:lvlText w:val="o"/>
      <w:lvlJc w:val="left"/>
      <w:pPr>
        <w:ind w:left="2266" w:hanging="360"/>
      </w:pPr>
      <w:rPr>
        <w:rFonts w:ascii="Courier New" w:hAnsi="Courier New" w:cs="Courier New" w:hint="default"/>
      </w:rPr>
    </w:lvl>
    <w:lvl w:ilvl="2" w:tplc="0C090005" w:tentative="1">
      <w:start w:val="1"/>
      <w:numFmt w:val="bullet"/>
      <w:lvlText w:val=""/>
      <w:lvlJc w:val="left"/>
      <w:pPr>
        <w:ind w:left="2986" w:hanging="360"/>
      </w:pPr>
      <w:rPr>
        <w:rFonts w:ascii="Wingdings" w:hAnsi="Wingdings" w:hint="default"/>
      </w:rPr>
    </w:lvl>
    <w:lvl w:ilvl="3" w:tplc="0C090001" w:tentative="1">
      <w:start w:val="1"/>
      <w:numFmt w:val="bullet"/>
      <w:lvlText w:val=""/>
      <w:lvlJc w:val="left"/>
      <w:pPr>
        <w:ind w:left="3706" w:hanging="360"/>
      </w:pPr>
      <w:rPr>
        <w:rFonts w:ascii="Symbol" w:hAnsi="Symbol" w:hint="default"/>
      </w:rPr>
    </w:lvl>
    <w:lvl w:ilvl="4" w:tplc="0C090003" w:tentative="1">
      <w:start w:val="1"/>
      <w:numFmt w:val="bullet"/>
      <w:lvlText w:val="o"/>
      <w:lvlJc w:val="left"/>
      <w:pPr>
        <w:ind w:left="4426" w:hanging="360"/>
      </w:pPr>
      <w:rPr>
        <w:rFonts w:ascii="Courier New" w:hAnsi="Courier New" w:cs="Courier New" w:hint="default"/>
      </w:rPr>
    </w:lvl>
    <w:lvl w:ilvl="5" w:tplc="0C090005" w:tentative="1">
      <w:start w:val="1"/>
      <w:numFmt w:val="bullet"/>
      <w:lvlText w:val=""/>
      <w:lvlJc w:val="left"/>
      <w:pPr>
        <w:ind w:left="5146" w:hanging="360"/>
      </w:pPr>
      <w:rPr>
        <w:rFonts w:ascii="Wingdings" w:hAnsi="Wingdings" w:hint="default"/>
      </w:rPr>
    </w:lvl>
    <w:lvl w:ilvl="6" w:tplc="0C090001" w:tentative="1">
      <w:start w:val="1"/>
      <w:numFmt w:val="bullet"/>
      <w:lvlText w:val=""/>
      <w:lvlJc w:val="left"/>
      <w:pPr>
        <w:ind w:left="5866" w:hanging="360"/>
      </w:pPr>
      <w:rPr>
        <w:rFonts w:ascii="Symbol" w:hAnsi="Symbol" w:hint="default"/>
      </w:rPr>
    </w:lvl>
    <w:lvl w:ilvl="7" w:tplc="0C090003" w:tentative="1">
      <w:start w:val="1"/>
      <w:numFmt w:val="bullet"/>
      <w:lvlText w:val="o"/>
      <w:lvlJc w:val="left"/>
      <w:pPr>
        <w:ind w:left="6586" w:hanging="360"/>
      </w:pPr>
      <w:rPr>
        <w:rFonts w:ascii="Courier New" w:hAnsi="Courier New" w:cs="Courier New" w:hint="default"/>
      </w:rPr>
    </w:lvl>
    <w:lvl w:ilvl="8" w:tplc="0C090005" w:tentative="1">
      <w:start w:val="1"/>
      <w:numFmt w:val="bullet"/>
      <w:lvlText w:val=""/>
      <w:lvlJc w:val="left"/>
      <w:pPr>
        <w:ind w:left="7306" w:hanging="360"/>
      </w:pPr>
      <w:rPr>
        <w:rFonts w:ascii="Wingdings" w:hAnsi="Wingdings" w:hint="default"/>
      </w:rPr>
    </w:lvl>
  </w:abstractNum>
  <w:abstractNum w:abstractNumId="28" w15:restartNumberingAfterBreak="0">
    <w:nsid w:val="677A77D7"/>
    <w:multiLevelType w:val="hybridMultilevel"/>
    <w:tmpl w:val="6C6ABF9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5C29B8"/>
    <w:multiLevelType w:val="hybridMultilevel"/>
    <w:tmpl w:val="64F8FBB4"/>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61296E"/>
    <w:multiLevelType w:val="hybridMultilevel"/>
    <w:tmpl w:val="35EE4FC2"/>
    <w:lvl w:ilvl="0" w:tplc="0C090017">
      <w:start w:val="1"/>
      <w:numFmt w:val="lowerLetter"/>
      <w:lvlText w:val="%1)"/>
      <w:lvlJc w:val="left"/>
      <w:pPr>
        <w:ind w:left="1547" w:hanging="360"/>
      </w:pPr>
    </w:lvl>
    <w:lvl w:ilvl="1" w:tplc="0C090019" w:tentative="1">
      <w:start w:val="1"/>
      <w:numFmt w:val="lowerLetter"/>
      <w:lvlText w:val="%2."/>
      <w:lvlJc w:val="left"/>
      <w:pPr>
        <w:ind w:left="2267" w:hanging="360"/>
      </w:pPr>
    </w:lvl>
    <w:lvl w:ilvl="2" w:tplc="0C09001B" w:tentative="1">
      <w:start w:val="1"/>
      <w:numFmt w:val="lowerRoman"/>
      <w:lvlText w:val="%3."/>
      <w:lvlJc w:val="right"/>
      <w:pPr>
        <w:ind w:left="2987" w:hanging="180"/>
      </w:pPr>
    </w:lvl>
    <w:lvl w:ilvl="3" w:tplc="0C09000F" w:tentative="1">
      <w:start w:val="1"/>
      <w:numFmt w:val="decimal"/>
      <w:lvlText w:val="%4."/>
      <w:lvlJc w:val="left"/>
      <w:pPr>
        <w:ind w:left="3707" w:hanging="360"/>
      </w:pPr>
    </w:lvl>
    <w:lvl w:ilvl="4" w:tplc="0C090019" w:tentative="1">
      <w:start w:val="1"/>
      <w:numFmt w:val="lowerLetter"/>
      <w:lvlText w:val="%5."/>
      <w:lvlJc w:val="left"/>
      <w:pPr>
        <w:ind w:left="4427" w:hanging="360"/>
      </w:pPr>
    </w:lvl>
    <w:lvl w:ilvl="5" w:tplc="0C09001B" w:tentative="1">
      <w:start w:val="1"/>
      <w:numFmt w:val="lowerRoman"/>
      <w:lvlText w:val="%6."/>
      <w:lvlJc w:val="right"/>
      <w:pPr>
        <w:ind w:left="5147" w:hanging="180"/>
      </w:pPr>
    </w:lvl>
    <w:lvl w:ilvl="6" w:tplc="0C09000F" w:tentative="1">
      <w:start w:val="1"/>
      <w:numFmt w:val="decimal"/>
      <w:lvlText w:val="%7."/>
      <w:lvlJc w:val="left"/>
      <w:pPr>
        <w:ind w:left="5867" w:hanging="360"/>
      </w:pPr>
    </w:lvl>
    <w:lvl w:ilvl="7" w:tplc="0C090019" w:tentative="1">
      <w:start w:val="1"/>
      <w:numFmt w:val="lowerLetter"/>
      <w:lvlText w:val="%8."/>
      <w:lvlJc w:val="left"/>
      <w:pPr>
        <w:ind w:left="6587" w:hanging="360"/>
      </w:pPr>
    </w:lvl>
    <w:lvl w:ilvl="8" w:tplc="0C09001B" w:tentative="1">
      <w:start w:val="1"/>
      <w:numFmt w:val="lowerRoman"/>
      <w:lvlText w:val="%9."/>
      <w:lvlJc w:val="right"/>
      <w:pPr>
        <w:ind w:left="7307" w:hanging="180"/>
      </w:pPr>
    </w:lvl>
  </w:abstractNum>
  <w:abstractNum w:abstractNumId="31" w15:restartNumberingAfterBreak="0">
    <w:nsid w:val="713C66AF"/>
    <w:multiLevelType w:val="hybridMultilevel"/>
    <w:tmpl w:val="3172473A"/>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084687"/>
    <w:multiLevelType w:val="multilevel"/>
    <w:tmpl w:val="912CD504"/>
    <w:lvl w:ilvl="0">
      <w:start w:val="2"/>
      <w:numFmt w:val="decimal"/>
      <w:lvlText w:val="%1"/>
      <w:lvlJc w:val="left"/>
      <w:pPr>
        <w:ind w:left="2016" w:hanging="576"/>
      </w:pPr>
      <w:rPr>
        <w:rFonts w:hint="default"/>
        <w:lang w:val="en-US" w:eastAsia="en-US" w:bidi="en-US"/>
      </w:rPr>
    </w:lvl>
    <w:lvl w:ilvl="1">
      <w:start w:val="1"/>
      <w:numFmt w:val="decimal"/>
      <w:lvlText w:val="%1.%2"/>
      <w:lvlJc w:val="left"/>
      <w:pPr>
        <w:ind w:left="2016" w:hanging="576"/>
      </w:pPr>
      <w:rPr>
        <w:rFonts w:ascii="Calibri" w:eastAsia="Calibri" w:hAnsi="Calibri" w:cs="Calibri" w:hint="default"/>
        <w:color w:val="DA291C"/>
        <w:spacing w:val="-1"/>
        <w:w w:val="99"/>
        <w:sz w:val="32"/>
        <w:szCs w:val="32"/>
        <w:lang w:val="en-US" w:eastAsia="en-US" w:bidi="en-US"/>
      </w:rPr>
    </w:lvl>
    <w:lvl w:ilvl="2">
      <w:numFmt w:val="bullet"/>
      <w:lvlText w:val="•"/>
      <w:lvlJc w:val="left"/>
      <w:pPr>
        <w:ind w:left="3997" w:hanging="576"/>
      </w:pPr>
      <w:rPr>
        <w:rFonts w:hint="default"/>
        <w:lang w:val="en-US" w:eastAsia="en-US" w:bidi="en-US"/>
      </w:rPr>
    </w:lvl>
    <w:lvl w:ilvl="3">
      <w:numFmt w:val="bullet"/>
      <w:lvlText w:val="•"/>
      <w:lvlJc w:val="left"/>
      <w:pPr>
        <w:ind w:left="4985" w:hanging="576"/>
      </w:pPr>
      <w:rPr>
        <w:rFonts w:hint="default"/>
        <w:lang w:val="en-US" w:eastAsia="en-US" w:bidi="en-US"/>
      </w:rPr>
    </w:lvl>
    <w:lvl w:ilvl="4">
      <w:numFmt w:val="bullet"/>
      <w:lvlText w:val="•"/>
      <w:lvlJc w:val="left"/>
      <w:pPr>
        <w:ind w:left="5974" w:hanging="576"/>
      </w:pPr>
      <w:rPr>
        <w:rFonts w:hint="default"/>
        <w:lang w:val="en-US" w:eastAsia="en-US" w:bidi="en-US"/>
      </w:rPr>
    </w:lvl>
    <w:lvl w:ilvl="5">
      <w:numFmt w:val="bullet"/>
      <w:lvlText w:val="•"/>
      <w:lvlJc w:val="left"/>
      <w:pPr>
        <w:ind w:left="6963" w:hanging="576"/>
      </w:pPr>
      <w:rPr>
        <w:rFonts w:hint="default"/>
        <w:lang w:val="en-US" w:eastAsia="en-US" w:bidi="en-US"/>
      </w:rPr>
    </w:lvl>
    <w:lvl w:ilvl="6">
      <w:numFmt w:val="bullet"/>
      <w:lvlText w:val="•"/>
      <w:lvlJc w:val="left"/>
      <w:pPr>
        <w:ind w:left="7951" w:hanging="576"/>
      </w:pPr>
      <w:rPr>
        <w:rFonts w:hint="default"/>
        <w:lang w:val="en-US" w:eastAsia="en-US" w:bidi="en-US"/>
      </w:rPr>
    </w:lvl>
    <w:lvl w:ilvl="7">
      <w:numFmt w:val="bullet"/>
      <w:lvlText w:val="•"/>
      <w:lvlJc w:val="left"/>
      <w:pPr>
        <w:ind w:left="8940" w:hanging="576"/>
      </w:pPr>
      <w:rPr>
        <w:rFonts w:hint="default"/>
        <w:lang w:val="en-US" w:eastAsia="en-US" w:bidi="en-US"/>
      </w:rPr>
    </w:lvl>
    <w:lvl w:ilvl="8">
      <w:numFmt w:val="bullet"/>
      <w:lvlText w:val="•"/>
      <w:lvlJc w:val="left"/>
      <w:pPr>
        <w:ind w:left="9929" w:hanging="576"/>
      </w:pPr>
      <w:rPr>
        <w:rFonts w:hint="default"/>
        <w:lang w:val="en-US" w:eastAsia="en-US" w:bidi="en-US"/>
      </w:rPr>
    </w:lvl>
  </w:abstractNum>
  <w:abstractNum w:abstractNumId="33" w15:restartNumberingAfterBreak="0">
    <w:nsid w:val="73F96B5B"/>
    <w:multiLevelType w:val="hybridMultilevel"/>
    <w:tmpl w:val="97B20894"/>
    <w:lvl w:ilvl="0" w:tplc="6A42FFA6">
      <w:start w:val="1"/>
      <w:numFmt w:val="decimal"/>
      <w:lvlText w:val="%1."/>
      <w:lvlJc w:val="left"/>
      <w:pPr>
        <w:ind w:left="1147" w:hanging="347"/>
      </w:pPr>
      <w:rPr>
        <w:rFonts w:ascii="Calibri" w:eastAsia="Calibri" w:hAnsi="Calibri" w:cs="Calibri" w:hint="default"/>
        <w:b/>
        <w:bCs/>
        <w:color w:val="96473D"/>
        <w:spacing w:val="-1"/>
        <w:w w:val="100"/>
        <w:sz w:val="34"/>
        <w:szCs w:val="34"/>
        <w:lang w:val="en-GB" w:eastAsia="en-GB" w:bidi="en-GB"/>
      </w:rPr>
    </w:lvl>
    <w:lvl w:ilvl="1" w:tplc="22FA3AE8">
      <w:numFmt w:val="bullet"/>
      <w:lvlText w:val="•"/>
      <w:lvlJc w:val="left"/>
      <w:pPr>
        <w:ind w:left="2156" w:hanging="347"/>
      </w:pPr>
      <w:rPr>
        <w:rFonts w:hint="default"/>
        <w:lang w:val="en-GB" w:eastAsia="en-GB" w:bidi="en-GB"/>
      </w:rPr>
    </w:lvl>
    <w:lvl w:ilvl="2" w:tplc="54C6C2F8">
      <w:numFmt w:val="bullet"/>
      <w:lvlText w:val="•"/>
      <w:lvlJc w:val="left"/>
      <w:pPr>
        <w:ind w:left="3173" w:hanging="347"/>
      </w:pPr>
      <w:rPr>
        <w:rFonts w:hint="default"/>
        <w:lang w:val="en-GB" w:eastAsia="en-GB" w:bidi="en-GB"/>
      </w:rPr>
    </w:lvl>
    <w:lvl w:ilvl="3" w:tplc="2CA07E2C">
      <w:numFmt w:val="bullet"/>
      <w:lvlText w:val="•"/>
      <w:lvlJc w:val="left"/>
      <w:pPr>
        <w:ind w:left="4189" w:hanging="347"/>
      </w:pPr>
      <w:rPr>
        <w:rFonts w:hint="default"/>
        <w:lang w:val="en-GB" w:eastAsia="en-GB" w:bidi="en-GB"/>
      </w:rPr>
    </w:lvl>
    <w:lvl w:ilvl="4" w:tplc="EDAC6C7A">
      <w:numFmt w:val="bullet"/>
      <w:lvlText w:val="•"/>
      <w:lvlJc w:val="left"/>
      <w:pPr>
        <w:ind w:left="5206" w:hanging="347"/>
      </w:pPr>
      <w:rPr>
        <w:rFonts w:hint="default"/>
        <w:lang w:val="en-GB" w:eastAsia="en-GB" w:bidi="en-GB"/>
      </w:rPr>
    </w:lvl>
    <w:lvl w:ilvl="5" w:tplc="F76684AE">
      <w:numFmt w:val="bullet"/>
      <w:lvlText w:val="•"/>
      <w:lvlJc w:val="left"/>
      <w:pPr>
        <w:ind w:left="6222" w:hanging="347"/>
      </w:pPr>
      <w:rPr>
        <w:rFonts w:hint="default"/>
        <w:lang w:val="en-GB" w:eastAsia="en-GB" w:bidi="en-GB"/>
      </w:rPr>
    </w:lvl>
    <w:lvl w:ilvl="6" w:tplc="A07EA9FA">
      <w:numFmt w:val="bullet"/>
      <w:lvlText w:val="•"/>
      <w:lvlJc w:val="left"/>
      <w:pPr>
        <w:ind w:left="7239" w:hanging="347"/>
      </w:pPr>
      <w:rPr>
        <w:rFonts w:hint="default"/>
        <w:lang w:val="en-GB" w:eastAsia="en-GB" w:bidi="en-GB"/>
      </w:rPr>
    </w:lvl>
    <w:lvl w:ilvl="7" w:tplc="615C7912">
      <w:numFmt w:val="bullet"/>
      <w:lvlText w:val="•"/>
      <w:lvlJc w:val="left"/>
      <w:pPr>
        <w:ind w:left="8255" w:hanging="347"/>
      </w:pPr>
      <w:rPr>
        <w:rFonts w:hint="default"/>
        <w:lang w:val="en-GB" w:eastAsia="en-GB" w:bidi="en-GB"/>
      </w:rPr>
    </w:lvl>
    <w:lvl w:ilvl="8" w:tplc="0A2A71CC">
      <w:numFmt w:val="bullet"/>
      <w:lvlText w:val="•"/>
      <w:lvlJc w:val="left"/>
      <w:pPr>
        <w:ind w:left="9272" w:hanging="347"/>
      </w:pPr>
      <w:rPr>
        <w:rFonts w:hint="default"/>
        <w:lang w:val="en-GB" w:eastAsia="en-GB" w:bidi="en-GB"/>
      </w:rPr>
    </w:lvl>
  </w:abstractNum>
  <w:abstractNum w:abstractNumId="34" w15:restartNumberingAfterBreak="0">
    <w:nsid w:val="74B33C9A"/>
    <w:multiLevelType w:val="hybridMultilevel"/>
    <w:tmpl w:val="1E04C14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556787"/>
    <w:multiLevelType w:val="hybridMultilevel"/>
    <w:tmpl w:val="FD74136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877A4F"/>
    <w:multiLevelType w:val="hybridMultilevel"/>
    <w:tmpl w:val="A65EE40C"/>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4"/>
  </w:num>
  <w:num w:numId="4">
    <w:abstractNumId w:val="33"/>
  </w:num>
  <w:num w:numId="5">
    <w:abstractNumId w:val="12"/>
  </w:num>
  <w:num w:numId="6">
    <w:abstractNumId w:val="20"/>
  </w:num>
  <w:num w:numId="7">
    <w:abstractNumId w:val="22"/>
  </w:num>
  <w:num w:numId="8">
    <w:abstractNumId w:val="28"/>
  </w:num>
  <w:num w:numId="9">
    <w:abstractNumId w:val="36"/>
  </w:num>
  <w:num w:numId="10">
    <w:abstractNumId w:val="25"/>
  </w:num>
  <w:num w:numId="11">
    <w:abstractNumId w:val="15"/>
  </w:num>
  <w:num w:numId="12">
    <w:abstractNumId w:val="2"/>
  </w:num>
  <w:num w:numId="13">
    <w:abstractNumId w:val="3"/>
  </w:num>
  <w:num w:numId="14">
    <w:abstractNumId w:val="6"/>
  </w:num>
  <w:num w:numId="15">
    <w:abstractNumId w:val="13"/>
  </w:num>
  <w:num w:numId="16">
    <w:abstractNumId w:val="27"/>
  </w:num>
  <w:num w:numId="17">
    <w:abstractNumId w:val="19"/>
  </w:num>
  <w:num w:numId="18">
    <w:abstractNumId w:val="34"/>
  </w:num>
  <w:num w:numId="19">
    <w:abstractNumId w:val="8"/>
  </w:num>
  <w:num w:numId="20">
    <w:abstractNumId w:val="31"/>
  </w:num>
  <w:num w:numId="21">
    <w:abstractNumId w:val="17"/>
  </w:num>
  <w:num w:numId="22">
    <w:abstractNumId w:val="18"/>
  </w:num>
  <w:num w:numId="23">
    <w:abstractNumId w:val="11"/>
  </w:num>
  <w:num w:numId="24">
    <w:abstractNumId w:val="0"/>
  </w:num>
  <w:num w:numId="25">
    <w:abstractNumId w:val="23"/>
  </w:num>
  <w:num w:numId="26">
    <w:abstractNumId w:val="14"/>
  </w:num>
  <w:num w:numId="27">
    <w:abstractNumId w:val="21"/>
  </w:num>
  <w:num w:numId="28">
    <w:abstractNumId w:val="29"/>
  </w:num>
  <w:num w:numId="29">
    <w:abstractNumId w:val="35"/>
  </w:num>
  <w:num w:numId="30">
    <w:abstractNumId w:val="5"/>
  </w:num>
  <w:num w:numId="31">
    <w:abstractNumId w:val="4"/>
  </w:num>
  <w:num w:numId="32">
    <w:abstractNumId w:val="26"/>
  </w:num>
  <w:num w:numId="33">
    <w:abstractNumId w:val="16"/>
  </w:num>
  <w:num w:numId="34">
    <w:abstractNumId w:val="30"/>
  </w:num>
  <w:num w:numId="35">
    <w:abstractNumId w:val="32"/>
  </w:num>
  <w:num w:numId="36">
    <w:abstractNumId w:val="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ABF"/>
    <w:rsid w:val="0000050B"/>
    <w:rsid w:val="00014D3A"/>
    <w:rsid w:val="00017DFD"/>
    <w:rsid w:val="0002622B"/>
    <w:rsid w:val="0006017F"/>
    <w:rsid w:val="000A1826"/>
    <w:rsid w:val="000A4CB1"/>
    <w:rsid w:val="000D3EF6"/>
    <w:rsid w:val="001037D4"/>
    <w:rsid w:val="0010739D"/>
    <w:rsid w:val="001142B7"/>
    <w:rsid w:val="00135913"/>
    <w:rsid w:val="00136FBE"/>
    <w:rsid w:val="00165C12"/>
    <w:rsid w:val="00181DE0"/>
    <w:rsid w:val="0019055F"/>
    <w:rsid w:val="00190D2F"/>
    <w:rsid w:val="001E514D"/>
    <w:rsid w:val="001F3841"/>
    <w:rsid w:val="00216D6B"/>
    <w:rsid w:val="00281437"/>
    <w:rsid w:val="00291C5A"/>
    <w:rsid w:val="00292536"/>
    <w:rsid w:val="002A30F0"/>
    <w:rsid w:val="002B0023"/>
    <w:rsid w:val="002D1C12"/>
    <w:rsid w:val="002F5D51"/>
    <w:rsid w:val="00305C0E"/>
    <w:rsid w:val="0031510F"/>
    <w:rsid w:val="00350A09"/>
    <w:rsid w:val="003522CB"/>
    <w:rsid w:val="00357CAD"/>
    <w:rsid w:val="00357E37"/>
    <w:rsid w:val="00377BDD"/>
    <w:rsid w:val="003A0C0E"/>
    <w:rsid w:val="003C6528"/>
    <w:rsid w:val="003D7BFE"/>
    <w:rsid w:val="00410AA2"/>
    <w:rsid w:val="004171C6"/>
    <w:rsid w:val="00445CEF"/>
    <w:rsid w:val="00477215"/>
    <w:rsid w:val="0048467C"/>
    <w:rsid w:val="00495F23"/>
    <w:rsid w:val="004D795B"/>
    <w:rsid w:val="00501AA2"/>
    <w:rsid w:val="00553AF3"/>
    <w:rsid w:val="005630FC"/>
    <w:rsid w:val="0056638C"/>
    <w:rsid w:val="00567CB3"/>
    <w:rsid w:val="00580ABF"/>
    <w:rsid w:val="00590605"/>
    <w:rsid w:val="005C5B3E"/>
    <w:rsid w:val="005D3114"/>
    <w:rsid w:val="005D53C3"/>
    <w:rsid w:val="005F31DB"/>
    <w:rsid w:val="00642B92"/>
    <w:rsid w:val="00673ED3"/>
    <w:rsid w:val="00676DCC"/>
    <w:rsid w:val="00686CB3"/>
    <w:rsid w:val="006B7C7E"/>
    <w:rsid w:val="006D3B2D"/>
    <w:rsid w:val="006E6019"/>
    <w:rsid w:val="006F38EB"/>
    <w:rsid w:val="00701C56"/>
    <w:rsid w:val="00711E3C"/>
    <w:rsid w:val="00721264"/>
    <w:rsid w:val="00722B28"/>
    <w:rsid w:val="007540AD"/>
    <w:rsid w:val="007622E8"/>
    <w:rsid w:val="00793E99"/>
    <w:rsid w:val="007E0DC8"/>
    <w:rsid w:val="00880E9F"/>
    <w:rsid w:val="008A696C"/>
    <w:rsid w:val="008E6D80"/>
    <w:rsid w:val="00912A32"/>
    <w:rsid w:val="00913E09"/>
    <w:rsid w:val="0091510D"/>
    <w:rsid w:val="009663DC"/>
    <w:rsid w:val="0097368A"/>
    <w:rsid w:val="00992371"/>
    <w:rsid w:val="0099490E"/>
    <w:rsid w:val="009C5BEA"/>
    <w:rsid w:val="009D21EF"/>
    <w:rsid w:val="009F3FEF"/>
    <w:rsid w:val="00A043AC"/>
    <w:rsid w:val="00A20871"/>
    <w:rsid w:val="00A244CC"/>
    <w:rsid w:val="00A3477E"/>
    <w:rsid w:val="00A47367"/>
    <w:rsid w:val="00A6031A"/>
    <w:rsid w:val="00A91B60"/>
    <w:rsid w:val="00AA721E"/>
    <w:rsid w:val="00AC7702"/>
    <w:rsid w:val="00AD0F84"/>
    <w:rsid w:val="00B02438"/>
    <w:rsid w:val="00B16E4A"/>
    <w:rsid w:val="00B25950"/>
    <w:rsid w:val="00B511D1"/>
    <w:rsid w:val="00B63225"/>
    <w:rsid w:val="00B95B4C"/>
    <w:rsid w:val="00BD5CF7"/>
    <w:rsid w:val="00BE5A66"/>
    <w:rsid w:val="00C13FDF"/>
    <w:rsid w:val="00C37933"/>
    <w:rsid w:val="00C41F6A"/>
    <w:rsid w:val="00C546B4"/>
    <w:rsid w:val="00CA1474"/>
    <w:rsid w:val="00CD788E"/>
    <w:rsid w:val="00CF2220"/>
    <w:rsid w:val="00D06BA3"/>
    <w:rsid w:val="00D07754"/>
    <w:rsid w:val="00D42DC0"/>
    <w:rsid w:val="00D433AB"/>
    <w:rsid w:val="00D51460"/>
    <w:rsid w:val="00D76EAE"/>
    <w:rsid w:val="00D907BC"/>
    <w:rsid w:val="00DA6175"/>
    <w:rsid w:val="00DE6167"/>
    <w:rsid w:val="00E1109D"/>
    <w:rsid w:val="00E126D0"/>
    <w:rsid w:val="00E1638B"/>
    <w:rsid w:val="00E213D2"/>
    <w:rsid w:val="00E352FF"/>
    <w:rsid w:val="00E85DEC"/>
    <w:rsid w:val="00EB399A"/>
    <w:rsid w:val="00EC56D0"/>
    <w:rsid w:val="00EC5B8E"/>
    <w:rsid w:val="00ED101A"/>
    <w:rsid w:val="00EE2C67"/>
    <w:rsid w:val="00F33947"/>
    <w:rsid w:val="00F415C1"/>
    <w:rsid w:val="00F918B4"/>
    <w:rsid w:val="00F94A94"/>
    <w:rsid w:val="00F95A08"/>
    <w:rsid w:val="00F96D66"/>
    <w:rsid w:val="00FA662A"/>
    <w:rsid w:val="00FB3778"/>
    <w:rsid w:val="00FC11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958F44"/>
  <w15:docId w15:val="{78A8B2AB-DEB4-4669-A83C-C0777E51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9"/>
    <w:qFormat/>
    <w:pPr>
      <w:ind w:left="833"/>
      <w:outlineLvl w:val="0"/>
    </w:pPr>
    <w:rPr>
      <w:b/>
      <w:bCs/>
      <w:sz w:val="34"/>
      <w:szCs w:val="34"/>
    </w:rPr>
  </w:style>
  <w:style w:type="paragraph" w:styleId="Heading2">
    <w:name w:val="heading 2"/>
    <w:basedOn w:val="Normal"/>
    <w:uiPriority w:val="9"/>
    <w:qFormat/>
    <w:pPr>
      <w:ind w:left="827"/>
      <w:outlineLvl w:val="1"/>
    </w:pPr>
    <w:rPr>
      <w:sz w:val="30"/>
      <w:szCs w:val="30"/>
    </w:rPr>
  </w:style>
  <w:style w:type="paragraph" w:styleId="Heading3">
    <w:name w:val="heading 3"/>
    <w:basedOn w:val="Normal"/>
    <w:uiPriority w:val="9"/>
    <w:qFormat/>
    <w:pPr>
      <w:spacing w:before="36"/>
      <w:ind w:left="827"/>
      <w:outlineLvl w:val="2"/>
    </w:pPr>
    <w:rPr>
      <w:sz w:val="26"/>
      <w:szCs w:val="26"/>
    </w:rPr>
  </w:style>
  <w:style w:type="paragraph" w:styleId="Heading4">
    <w:name w:val="heading 4"/>
    <w:basedOn w:val="Normal"/>
    <w:uiPriority w:val="9"/>
    <w:qFormat/>
    <w:pPr>
      <w:ind w:left="831"/>
      <w:outlineLvl w:val="3"/>
    </w:pPr>
    <w:rPr>
      <w:b/>
      <w:bCs/>
    </w:rPr>
  </w:style>
  <w:style w:type="paragraph" w:styleId="Heading5">
    <w:name w:val="heading 5"/>
    <w:basedOn w:val="Normal"/>
    <w:uiPriority w:val="1"/>
    <w:qFormat/>
    <w:pPr>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65" w:lineRule="exact"/>
      <w:ind w:left="2471"/>
    </w:pPr>
    <w:rPr>
      <w:sz w:val="20"/>
      <w:szCs w:val="20"/>
    </w:rPr>
  </w:style>
  <w:style w:type="paragraph" w:styleId="TOC2">
    <w:name w:val="toc 2"/>
    <w:basedOn w:val="Normal"/>
    <w:uiPriority w:val="1"/>
    <w:qFormat/>
    <w:pPr>
      <w:spacing w:before="193"/>
      <w:ind w:left="2471"/>
    </w:pPr>
    <w:rPr>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line="447" w:lineRule="exact"/>
      <w:ind w:left="1147" w:hanging="347"/>
    </w:pPr>
  </w:style>
  <w:style w:type="paragraph" w:customStyle="1" w:styleId="TableParagraph">
    <w:name w:val="Table Paragraph"/>
    <w:basedOn w:val="Normal"/>
    <w:uiPriority w:val="1"/>
    <w:qFormat/>
    <w:pPr>
      <w:ind w:left="226"/>
    </w:pPr>
  </w:style>
  <w:style w:type="paragraph" w:styleId="BalloonText">
    <w:name w:val="Balloon Text"/>
    <w:basedOn w:val="Normal"/>
    <w:link w:val="BalloonTextChar"/>
    <w:uiPriority w:val="99"/>
    <w:semiHidden/>
    <w:unhideWhenUsed/>
    <w:rsid w:val="003C6528"/>
    <w:rPr>
      <w:rFonts w:ascii="Tahoma" w:hAnsi="Tahoma" w:cs="Tahoma"/>
      <w:sz w:val="16"/>
      <w:szCs w:val="16"/>
    </w:rPr>
  </w:style>
  <w:style w:type="character" w:customStyle="1" w:styleId="BalloonTextChar">
    <w:name w:val="Balloon Text Char"/>
    <w:basedOn w:val="DefaultParagraphFont"/>
    <w:link w:val="BalloonText"/>
    <w:uiPriority w:val="99"/>
    <w:semiHidden/>
    <w:rsid w:val="003C6528"/>
    <w:rPr>
      <w:rFonts w:ascii="Tahoma" w:eastAsia="Calibri" w:hAnsi="Tahoma" w:cs="Tahoma"/>
      <w:sz w:val="16"/>
      <w:szCs w:val="16"/>
      <w:lang w:val="en-GB" w:eastAsia="en-GB" w:bidi="en-GB"/>
    </w:rPr>
  </w:style>
  <w:style w:type="paragraph" w:styleId="FootnoteText">
    <w:name w:val="footnote text"/>
    <w:basedOn w:val="Normal"/>
    <w:link w:val="FootnoteTextChar"/>
    <w:uiPriority w:val="99"/>
    <w:semiHidden/>
    <w:unhideWhenUsed/>
    <w:rsid w:val="00D907BC"/>
    <w:rPr>
      <w:sz w:val="20"/>
      <w:szCs w:val="20"/>
    </w:rPr>
  </w:style>
  <w:style w:type="character" w:customStyle="1" w:styleId="FootnoteTextChar">
    <w:name w:val="Footnote Text Char"/>
    <w:basedOn w:val="DefaultParagraphFont"/>
    <w:link w:val="FootnoteText"/>
    <w:uiPriority w:val="99"/>
    <w:semiHidden/>
    <w:rsid w:val="00D907BC"/>
    <w:rPr>
      <w:rFonts w:ascii="Calibri" w:eastAsia="Calibri" w:hAnsi="Calibri" w:cs="Calibri"/>
      <w:sz w:val="20"/>
      <w:szCs w:val="20"/>
      <w:lang w:val="en-GB" w:eastAsia="en-GB" w:bidi="en-GB"/>
    </w:rPr>
  </w:style>
  <w:style w:type="character" w:styleId="FootnoteReference">
    <w:name w:val="footnote reference"/>
    <w:basedOn w:val="DefaultParagraphFont"/>
    <w:uiPriority w:val="99"/>
    <w:semiHidden/>
    <w:unhideWhenUsed/>
    <w:rsid w:val="00D907BC"/>
    <w:rPr>
      <w:vertAlign w:val="superscript"/>
    </w:rPr>
  </w:style>
  <w:style w:type="table" w:styleId="TableGrid">
    <w:name w:val="Table Grid"/>
    <w:basedOn w:val="TableNormal"/>
    <w:uiPriority w:val="59"/>
    <w:rsid w:val="00BE5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FEF"/>
    <w:rPr>
      <w:color w:val="0000FF" w:themeColor="hyperlink"/>
      <w:u w:val="single"/>
    </w:rPr>
  </w:style>
  <w:style w:type="paragraph" w:styleId="Header">
    <w:name w:val="header"/>
    <w:basedOn w:val="Normal"/>
    <w:link w:val="HeaderChar"/>
    <w:uiPriority w:val="99"/>
    <w:unhideWhenUsed/>
    <w:rsid w:val="00CA1474"/>
    <w:pPr>
      <w:tabs>
        <w:tab w:val="center" w:pos="4513"/>
        <w:tab w:val="right" w:pos="9026"/>
      </w:tabs>
    </w:pPr>
  </w:style>
  <w:style w:type="character" w:customStyle="1" w:styleId="HeaderChar">
    <w:name w:val="Header Char"/>
    <w:basedOn w:val="DefaultParagraphFont"/>
    <w:link w:val="Header"/>
    <w:uiPriority w:val="99"/>
    <w:rsid w:val="00CA1474"/>
    <w:rPr>
      <w:rFonts w:ascii="Calibri" w:eastAsia="Calibri" w:hAnsi="Calibri" w:cs="Calibri"/>
      <w:lang w:val="en-GB" w:eastAsia="en-GB" w:bidi="en-GB"/>
    </w:rPr>
  </w:style>
  <w:style w:type="paragraph" w:styleId="Footer">
    <w:name w:val="footer"/>
    <w:basedOn w:val="Normal"/>
    <w:link w:val="FooterChar"/>
    <w:uiPriority w:val="99"/>
    <w:unhideWhenUsed/>
    <w:rsid w:val="00CA1474"/>
    <w:pPr>
      <w:tabs>
        <w:tab w:val="center" w:pos="4513"/>
        <w:tab w:val="right" w:pos="9026"/>
      </w:tabs>
    </w:pPr>
  </w:style>
  <w:style w:type="character" w:customStyle="1" w:styleId="FooterChar">
    <w:name w:val="Footer Char"/>
    <w:basedOn w:val="DefaultParagraphFont"/>
    <w:link w:val="Footer"/>
    <w:uiPriority w:val="99"/>
    <w:rsid w:val="00CA1474"/>
    <w:rPr>
      <w:rFonts w:ascii="Calibri" w:eastAsia="Calibri" w:hAnsi="Calibri" w:cs="Calibri"/>
      <w:lang w:val="en-GB" w:eastAsia="en-GB" w:bidi="en-GB"/>
    </w:rPr>
  </w:style>
  <w:style w:type="paragraph" w:styleId="NormalWeb">
    <w:name w:val="Normal (Web)"/>
    <w:basedOn w:val="Normal"/>
    <w:uiPriority w:val="99"/>
    <w:unhideWhenUsed/>
    <w:rsid w:val="00EB399A"/>
    <w:pPr>
      <w:widowControl/>
      <w:autoSpaceDE/>
      <w:autoSpaceDN/>
      <w:spacing w:before="100" w:beforeAutospacing="1" w:after="100" w:afterAutospacing="1"/>
    </w:pPr>
    <w:rPr>
      <w:rFonts w:ascii="Times New Roman" w:eastAsiaTheme="minorHAnsi" w:hAnsi="Times New Roman" w:cs="Times New Roman"/>
      <w:sz w:val="24"/>
      <w:szCs w:val="24"/>
      <w:lang w:val="en-AU" w:eastAsia="en-AU" w:bidi="ar-SA"/>
    </w:rPr>
  </w:style>
  <w:style w:type="character" w:styleId="Strong">
    <w:name w:val="Strong"/>
    <w:basedOn w:val="DefaultParagraphFont"/>
    <w:uiPriority w:val="22"/>
    <w:qFormat/>
    <w:rsid w:val="00EB399A"/>
    <w:rPr>
      <w:b/>
      <w:bCs/>
    </w:rPr>
  </w:style>
  <w:style w:type="character" w:styleId="Emphasis">
    <w:name w:val="Emphasis"/>
    <w:basedOn w:val="DefaultParagraphFont"/>
    <w:uiPriority w:val="20"/>
    <w:qFormat/>
    <w:rsid w:val="00EB39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618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www.healthinfonet.ecu.edu.au/key-resources/organisations?oid=914"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healthinfonet.ecu.edu.au/key-resources/organisations?oid=410"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library.pmc.gov.au/wp-content/uploads/ccby.png" TargetMode="External"/><Relationship Id="rId17" Type="http://schemas.openxmlformats.org/officeDocument/2006/relationships/footer" Target="footer2.xml"/><Relationship Id="rId25" Type="http://schemas.openxmlformats.org/officeDocument/2006/relationships/hyperlink" Target="http://www.healthinfonet.ecu.edu.au/key-resources/organisations?oid=698" TargetMode="External"/><Relationship Id="rId33" Type="http://schemas.openxmlformats.org/officeDocument/2006/relationships/image" Target="media/image1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24" Type="http://schemas.openxmlformats.org/officeDocument/2006/relationships/hyperlink" Target="http://www.healthinfonet.ecu.edu.au/key-resources/organisations?oid=698" TargetMode="External"/><Relationship Id="rId32" Type="http://schemas.openxmlformats.org/officeDocument/2006/relationships/image" Target="media/image9.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www.healthinfonet.ecu.edu.au/key-resources/organisations?oid=696" TargetMode="External"/><Relationship Id="rId28" Type="http://schemas.openxmlformats.org/officeDocument/2006/relationships/hyperlink" Target="http://www.healthinfonet.ecu.edu.au/key-resources/organisations?oid=912"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11.png@01D57460.095B79D0" TargetMode="External"/><Relationship Id="rId22" Type="http://schemas.openxmlformats.org/officeDocument/2006/relationships/hyperlink" Target="http://www.healthinfonet.ecu.edu.au/key-resources/organisations?oid=410" TargetMode="External"/><Relationship Id="rId27" Type="http://schemas.openxmlformats.org/officeDocument/2006/relationships/hyperlink" Target="http://www.healthinfonet.ecu.edu.au/key-resources/organisations?oid=912" TargetMode="External"/><Relationship Id="rId30" Type="http://schemas.openxmlformats.org/officeDocument/2006/relationships/image" Target="media/image7.pn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DA81093705957B4AB5B7BFF74DBB23C0" ma:contentTypeVersion="5" ma:contentTypeDescription="ShareHub Document" ma:contentTypeScope="" ma:versionID="6379c0d240b34c1019b8933387948aed">
  <xsd:schema xmlns:xsd="http://www.w3.org/2001/XMLSchema" xmlns:xs="http://www.w3.org/2001/XMLSchema" xmlns:p="http://schemas.microsoft.com/office/2006/metadata/properties" xmlns:ns1="6875d2de-78c6-45d3-9b76-a2cafc1a88f1" xmlns:ns3="685f9fda-bd71-4433-b331-92feb9553089" targetNamespace="http://schemas.microsoft.com/office/2006/metadata/properties" ma:root="true" ma:fieldsID="8872f99d347d896ae3746cdebf3e1c95" ns1:_="" ns3:_="">
    <xsd:import namespace="6875d2de-78c6-45d3-9b76-a2cafc1a88f1"/>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ad2598c9e9ca4fffa090320c946301ef"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5d2de-78c6-45d3-9b76-a2cafc1a88f1"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d9ba376-79cd-4f05-88a3-dfc229ccdce3}" ma:internalName="TaxCatchAll" ma:showField="CatchAllData" ma:web="6875d2de-78c6-45d3-9b76-a2cafc1a88f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d9ba376-79cd-4f05-88a3-dfc229ccdce3}" ma:internalName="TaxCatchAllLabel" ma:readOnly="true" ma:showField="CatchAllDataLabel" ma:web="6875d2de-78c6-45d3-9b76-a2cafc1a88f1">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ad2598c9e9ca4fffa090320c946301ef" ma:index="17" nillable="true" ma:taxonomy="true" ma:internalName="ad2598c9e9ca4fffa090320c946301ef" ma:taxonomyFieldName="ESearchTags" ma:displayName="Tags" ma:fieldId="{ad2598c9-e9ca-4fff-a090-320c946301ef}"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6875d2de-78c6-45d3-9b76-a2cafc1a88f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6875d2de-78c6-45d3-9b76-a2cafc1a88f1">
      <Terms xmlns="http://schemas.microsoft.com/office/infopath/2007/PartnerControls"/>
    </jd1c641577414dfdab1686c9d5d0dbd0>
    <ShareHubID xmlns="6875d2de-78c6-45d3-9b76-a2cafc1a88f1">DOC19-366363</ShareHubID>
    <TaxCatchAll xmlns="6875d2de-78c6-45d3-9b76-a2cafc1a88f1">
      <Value>10</Value>
      <Value>1</Value>
    </TaxCatchAll>
    <PMCNotes xmlns="6875d2de-78c6-45d3-9b76-a2cafc1a88f1" xsi:nil="true"/>
    <ad2598c9e9ca4fffa090320c946301ef xmlns="6875d2de-78c6-45d3-9b76-a2cafc1a88f1">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s>
    </ad2598c9e9ca4fffa090320c946301e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C9FB5-C8E4-4E28-8430-AF61BB93932E}">
  <ds:schemaRefs>
    <ds:schemaRef ds:uri="http://schemas.microsoft.com/sharepoint/v3/contenttype/forms"/>
  </ds:schemaRefs>
</ds:datastoreItem>
</file>

<file path=customXml/itemProps2.xml><?xml version="1.0" encoding="utf-8"?>
<ds:datastoreItem xmlns:ds="http://schemas.openxmlformats.org/officeDocument/2006/customXml" ds:itemID="{B8B1F481-C74B-4DD8-8616-CAC11CBA6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5d2de-78c6-45d3-9b76-a2cafc1a88f1"/>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27EE3A-1FFB-4F49-8203-859A4EA9D4D0}">
  <ds:schemaRefs>
    <ds:schemaRef ds:uri="685f9fda-bd71-4433-b331-92feb9553089"/>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6875d2de-78c6-45d3-9b76-a2cafc1a88f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5775B9C-9C2F-43F2-B253-35F43676C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57</Pages>
  <Words>21323</Words>
  <Characters>121547</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Closing the Gap Retrospective Review</vt:lpstr>
    </vt:vector>
  </TitlesOfParts>
  <Company>Department of the Prime Minister and Cabinet and prepared by Murawin Pty Ltd and Associates</Company>
  <LinksUpToDate>false</LinksUpToDate>
  <CharactersWithSpaces>142585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Gap Retrospective Review</dc:title>
  <dc:creator>Department of the Prime Minister and Cabinet and prepared by Murawin Pty Ltd and AssociatesDebbie and Co</dc:creator>
  <cp:lastModifiedBy>King, David</cp:lastModifiedBy>
  <cp:revision>5</cp:revision>
  <dcterms:created xsi:type="dcterms:W3CDTF">2019-04-01T04:40:00Z</dcterms:created>
  <dcterms:modified xsi:type="dcterms:W3CDTF">2019-09-27T05:54:00Z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2019-03-04T00:00:00Z</vt:filetime>
  </property>
  <property fmtid="{D5CDD505-2E9C-101B-9397-08002B2CF9AE}" pid="3" name="Creator">
    <vt:lpwstr>Adobe InDesign CC 14.0 (Macintosh)</vt:lpwstr>
  </property>
  <property fmtid="{D5CDD505-2E9C-101B-9397-08002B2CF9AE}" pid="4" name="LastSaved">
    <vt:filetime>2019-03-04T00:00:00Z</vt:filetime>
  </property>
  <property fmtid="{D5CDD505-2E9C-101B-9397-08002B2CF9AE}" pid="5" name="ContentTypeId">
    <vt:lpwstr>0x0101002825A64A6E1845A99A9D8EE8A5686ECB00DA81093705957B4AB5B7BFF74DBB23C0</vt:lpwstr>
  </property>
  <property fmtid="{D5CDD505-2E9C-101B-9397-08002B2CF9AE}" pid="6" name="ESearchTags">
    <vt:lpwstr>10;#Training|2f396fb6-baad-479d-8254-1550153bbe31</vt:lpwstr>
  </property>
  <property fmtid="{D5CDD505-2E9C-101B-9397-08002B2CF9AE}" pid="7" name="HPRMSecurityLevel">
    <vt:lpwstr>1;#UNCLASSIFIED|9c49a7c7-17c7-412f-8077-62dec89b9196</vt:lpwstr>
  </property>
  <property fmtid="{D5CDD505-2E9C-101B-9397-08002B2CF9AE}" pid="8" name="HPRMSecurityCaveat">
    <vt:lpwstr/>
  </property>
  <property fmtid="{D5CDD505-2E9C-101B-9397-08002B2CF9AE}" pid="9" name="PMC.ESearch.TagGeneratedTime">
    <vt:lpwstr>2019-09-27T16:00:48</vt:lpwstr>
  </property>
</Properties>
</file>