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13698" w14:textId="5DA36F33" w:rsidR="00F00464" w:rsidRPr="00E52513" w:rsidRDefault="00792E8D" w:rsidP="00734CC4">
      <w:pPr>
        <w:spacing w:line="276" w:lineRule="auto"/>
        <w:ind w:left="-1418"/>
        <w:rPr>
          <w:b/>
          <w:color w:val="0050B5"/>
        </w:rPr>
      </w:pPr>
      <w:r>
        <w:rPr>
          <w:b/>
          <w:noProof/>
          <w:color w:val="0050B5"/>
          <w:lang w:eastAsia="en-AU"/>
        </w:rPr>
        <w:drawing>
          <wp:inline distT="0" distB="0" distL="0" distR="0" wp14:anchorId="715D3FEA" wp14:editId="32659A3A">
            <wp:extent cx="7556739" cy="10688779"/>
            <wp:effectExtent l="0" t="0" r="6350" b="0"/>
            <wp:docPr id="34" name="Picture 34" descr="Circular dot pattern background"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ite &amp; Gold Corporate Sleek Clean Modern Annual Report.jpg"/>
                    <pic:cNvPicPr/>
                  </pic:nvPicPr>
                  <pic:blipFill>
                    <a:blip r:embed="rId8">
                      <a:extLst>
                        <a:ext uri="{28A0092B-C50C-407E-A947-70E740481C1C}">
                          <a14:useLocalDpi xmlns:a14="http://schemas.microsoft.com/office/drawing/2010/main" val="0"/>
                        </a:ext>
                      </a:extLst>
                    </a:blip>
                    <a:stretch>
                      <a:fillRect/>
                    </a:stretch>
                  </pic:blipFill>
                  <pic:spPr>
                    <a:xfrm>
                      <a:off x="0" y="0"/>
                      <a:ext cx="7568180" cy="10704962"/>
                    </a:xfrm>
                    <a:prstGeom prst="rect">
                      <a:avLst/>
                    </a:prstGeom>
                  </pic:spPr>
                </pic:pic>
              </a:graphicData>
            </a:graphic>
          </wp:inline>
        </w:drawing>
      </w:r>
    </w:p>
    <w:p w14:paraId="0B7843DB" w14:textId="77777777" w:rsidR="00F00464" w:rsidRPr="00E52513" w:rsidRDefault="00F00464">
      <w:pPr>
        <w:spacing w:line="276" w:lineRule="auto"/>
        <w:rPr>
          <w:b/>
          <w:color w:val="0050B5"/>
        </w:rPr>
      </w:pPr>
    </w:p>
    <w:p w14:paraId="771F661F" w14:textId="13A17964" w:rsidR="00AF0648" w:rsidRPr="00E52513" w:rsidRDefault="00AF0648" w:rsidP="00AF0648">
      <w:pPr>
        <w:rPr>
          <w:b/>
          <w:color w:val="984806" w:themeColor="accent6" w:themeShade="80"/>
        </w:rPr>
      </w:pPr>
      <w:r w:rsidRPr="00E52513">
        <w:rPr>
          <w:b/>
          <w:color w:val="984806" w:themeColor="accent6" w:themeShade="80"/>
        </w:rPr>
        <w:t>Document preparation</w:t>
      </w:r>
    </w:p>
    <w:p w14:paraId="633B0F29" w14:textId="0DE8A397" w:rsidR="00AF0648" w:rsidRPr="00E52513" w:rsidRDefault="00AF0648" w:rsidP="00FD4A0E">
      <w:r w:rsidRPr="00E52513">
        <w:t xml:space="preserve">This document was prepared by Human Capital Alliance (International) Pty Ltd (HCA) for </w:t>
      </w:r>
      <w:proofErr w:type="spellStart"/>
      <w:r w:rsidR="00A46A78" w:rsidRPr="00E52513">
        <w:t>Thirrili</w:t>
      </w:r>
      <w:proofErr w:type="spellEnd"/>
      <w:r w:rsidR="00A46A78" w:rsidRPr="00E52513">
        <w:t xml:space="preserve"> Ltd.</w:t>
      </w:r>
    </w:p>
    <w:p w14:paraId="20E0F71C" w14:textId="77777777" w:rsidR="00F54949" w:rsidRPr="00E52513" w:rsidRDefault="00F54949" w:rsidP="00AF0648">
      <w:pPr>
        <w:rPr>
          <w:b/>
          <w:color w:val="984806" w:themeColor="accent6" w:themeShade="80"/>
        </w:rPr>
      </w:pPr>
    </w:p>
    <w:p w14:paraId="02924417" w14:textId="79BB48B3" w:rsidR="00AF0648" w:rsidRPr="00E52513" w:rsidRDefault="00AF0648" w:rsidP="00AF0648">
      <w:pPr>
        <w:rPr>
          <w:b/>
          <w:color w:val="984806" w:themeColor="accent6" w:themeShade="80"/>
        </w:rPr>
      </w:pPr>
      <w:r w:rsidRPr="00E52513">
        <w:rPr>
          <w:b/>
          <w:color w:val="984806" w:themeColor="accent6" w:themeShade="80"/>
        </w:rPr>
        <w:t>Acknowledgements</w:t>
      </w:r>
    </w:p>
    <w:p w14:paraId="404AE3A6" w14:textId="77777777" w:rsidR="00AF0648" w:rsidRPr="00E52513" w:rsidRDefault="00AF0648" w:rsidP="00FD4A0E">
      <w:r w:rsidRPr="00E52513">
        <w:t>We acknowledge this country as belonging to the Aboriginal and Torres Strait Islander peoples of Australia. Australia is the only place in the world where Aboriginal and Torres Strait Islander Australians belong. There is no place in Australia where this is not true.</w:t>
      </w:r>
    </w:p>
    <w:p w14:paraId="5167B812" w14:textId="38889E7C" w:rsidR="002763A7" w:rsidRPr="00E52513" w:rsidRDefault="00A91842" w:rsidP="00FD4A0E">
      <w:r w:rsidRPr="00E52513">
        <w:t xml:space="preserve">HCA would </w:t>
      </w:r>
      <w:r w:rsidR="00FC5181" w:rsidRPr="00E52513">
        <w:t>particularly</w:t>
      </w:r>
      <w:r w:rsidRPr="00E52513">
        <w:t xml:space="preserve"> like to acknowledge and extend their gratitude to the clients, community members and stakeholders who participated in the interviews </w:t>
      </w:r>
      <w:r w:rsidR="00DD0F36" w:rsidRPr="00E52513">
        <w:t xml:space="preserve">that informed </w:t>
      </w:r>
      <w:r w:rsidR="005E7FFA">
        <w:t xml:space="preserve">the evaluation and </w:t>
      </w:r>
      <w:r w:rsidRPr="00E52513">
        <w:t>this report. Your willingness to contribute your time and share your perspectives and personal experiences were pivotal for undertaking the evaluation.</w:t>
      </w:r>
    </w:p>
    <w:p w14:paraId="46192878" w14:textId="3F95CDA1" w:rsidR="0098206D" w:rsidRPr="00E52513" w:rsidRDefault="00A91842" w:rsidP="00FD4A0E">
      <w:r w:rsidRPr="00E52513">
        <w:t xml:space="preserve">HCA would also like to thank the </w:t>
      </w:r>
      <w:r w:rsidR="00DD0F36" w:rsidRPr="00E52513">
        <w:t>Critical Response Support Advocates (CRSAs)</w:t>
      </w:r>
      <w:r w:rsidRPr="00E52513">
        <w:t xml:space="preserve"> who assisted with coordination and liaising with interview participants. Your care and dedication to the people you support was </w:t>
      </w:r>
      <w:r w:rsidR="00635AFB" w:rsidRPr="00E52513">
        <w:t>undeniable.</w:t>
      </w:r>
    </w:p>
    <w:p w14:paraId="04A112ED" w14:textId="4E093F55" w:rsidR="00A91842" w:rsidRPr="00E52513" w:rsidRDefault="0098206D" w:rsidP="00FD4A0E">
      <w:r w:rsidRPr="00E52513">
        <w:t xml:space="preserve">Finally, we would like to thank </w:t>
      </w:r>
      <w:proofErr w:type="spellStart"/>
      <w:r w:rsidRPr="00E52513">
        <w:t>T</w:t>
      </w:r>
      <w:r w:rsidR="000363C4" w:rsidRPr="00E52513">
        <w:t>h</w:t>
      </w:r>
      <w:r w:rsidRPr="00E52513">
        <w:t>irrili</w:t>
      </w:r>
      <w:proofErr w:type="spellEnd"/>
      <w:r w:rsidRPr="00E52513">
        <w:t xml:space="preserve"> </w:t>
      </w:r>
      <w:r w:rsidR="00E4783B" w:rsidRPr="00E52513">
        <w:t xml:space="preserve">Ltd </w:t>
      </w:r>
      <w:r w:rsidRPr="00E52513">
        <w:t>management for supporting the evaluation by fulfilling data requests and document requirements.</w:t>
      </w:r>
    </w:p>
    <w:p w14:paraId="26D89D37" w14:textId="77777777" w:rsidR="00F54949" w:rsidRPr="00E52513" w:rsidRDefault="00F54949" w:rsidP="00AF0648">
      <w:pPr>
        <w:rPr>
          <w:b/>
          <w:color w:val="984806" w:themeColor="accent6" w:themeShade="80"/>
        </w:rPr>
      </w:pPr>
    </w:p>
    <w:p w14:paraId="7AF40A5C" w14:textId="7174BF37" w:rsidR="00AF0648" w:rsidRPr="00E52513" w:rsidRDefault="00AF0648" w:rsidP="00AF0648">
      <w:pPr>
        <w:rPr>
          <w:rFonts w:cstheme="minorBidi"/>
          <w:b/>
          <w:color w:val="984806" w:themeColor="accent6" w:themeShade="80"/>
        </w:rPr>
      </w:pPr>
      <w:r w:rsidRPr="00E52513">
        <w:rPr>
          <w:b/>
          <w:color w:val="984806" w:themeColor="accent6" w:themeShade="80"/>
        </w:rPr>
        <w:t>Copyright &amp; confidentiality:</w:t>
      </w:r>
    </w:p>
    <w:p w14:paraId="7F3E762F" w14:textId="474D323E" w:rsidR="00734CC4" w:rsidRPr="00FE486D" w:rsidRDefault="00AF0648" w:rsidP="00734CC4">
      <w:r w:rsidRPr="00E52513">
        <w:t xml:space="preserve">No part of this publication may be reproduced, stored in a retrieval system, translated, transcribed or transmitted in any form, or by any means manual, electric, electronic, electromagnetic, mechanical, chemical, optical, or otherwise, to any party other than </w:t>
      </w:r>
      <w:proofErr w:type="spellStart"/>
      <w:r w:rsidR="00855026" w:rsidRPr="00E52513">
        <w:t>Thirrili</w:t>
      </w:r>
      <w:proofErr w:type="spellEnd"/>
      <w:r w:rsidR="00855026" w:rsidRPr="00E52513">
        <w:t xml:space="preserve"> Ltd.</w:t>
      </w:r>
      <w:r w:rsidRPr="00E52513">
        <w:t xml:space="preserve"> without the prior explicit written permission of HCA.</w:t>
      </w:r>
    </w:p>
    <w:p w14:paraId="43D2A167" w14:textId="1CBC8290" w:rsidR="00FE486D" w:rsidRPr="00FE486D" w:rsidRDefault="00FE486D" w:rsidP="00FE486D">
      <w:pPr>
        <w:tabs>
          <w:tab w:val="left" w:pos="6705"/>
        </w:tabs>
        <w:sectPr w:rsidR="00FE486D" w:rsidRPr="00FE486D" w:rsidSect="00734CC4">
          <w:headerReference w:type="default" r:id="rId9"/>
          <w:footerReference w:type="default" r:id="rId10"/>
          <w:pgSz w:w="11906" w:h="16838"/>
          <w:pgMar w:top="851" w:right="1440" w:bottom="1702" w:left="1440" w:header="709" w:footer="454" w:gutter="0"/>
          <w:cols w:space="708"/>
          <w:titlePg/>
          <w:docGrid w:linePitch="360"/>
        </w:sectPr>
      </w:pPr>
    </w:p>
    <w:p w14:paraId="4D8E66B2" w14:textId="67798E1E" w:rsidR="00D23D79" w:rsidRDefault="00D23D79" w:rsidP="00CD6417">
      <w:pPr>
        <w:pStyle w:val="Heading1"/>
        <w:numPr>
          <w:ilvl w:val="0"/>
          <w:numId w:val="0"/>
        </w:numPr>
        <w:jc w:val="center"/>
      </w:pPr>
      <w:bookmarkStart w:id="0" w:name="_Toc54966609"/>
      <w:bookmarkStart w:id="1" w:name="_Toc35966312"/>
      <w:r w:rsidRPr="00E52513">
        <w:lastRenderedPageBreak/>
        <w:t>Acknowledgements to Country</w:t>
      </w:r>
      <w:bookmarkEnd w:id="0"/>
    </w:p>
    <w:p w14:paraId="731FCB12" w14:textId="77777777" w:rsidR="00CD6417" w:rsidRPr="00E52513" w:rsidRDefault="00CD6417" w:rsidP="00CD6417">
      <w:pPr>
        <w:shd w:val="clear" w:color="auto" w:fill="FDE9D9" w:themeFill="accent6" w:themeFillTint="33"/>
        <w:spacing w:before="480" w:after="120"/>
        <w:ind w:left="567" w:right="567"/>
        <w:rPr>
          <w:i/>
        </w:rPr>
      </w:pPr>
      <w:r w:rsidRPr="00E52513">
        <w:rPr>
          <w:i/>
        </w:rPr>
        <w:t>We pay our respects to the Aboriginal and Torres Strait Islander Elders, past present and future, on the Lands throughout Australia that the National Incident Response Service (NICRS) is tasked to support.  We acknowledge the trauma that suicide and its aftermath bring to individuals, families and communities and recognise the power of Culture in the prevention and healing processes.</w:t>
      </w:r>
    </w:p>
    <w:p w14:paraId="25BE575E" w14:textId="77777777" w:rsidR="00CD6417" w:rsidRPr="00E52513" w:rsidRDefault="00CD6417" w:rsidP="00CD6417">
      <w:pPr>
        <w:shd w:val="clear" w:color="auto" w:fill="FDE9D9" w:themeFill="accent6" w:themeFillTint="33"/>
        <w:spacing w:before="480" w:after="120"/>
        <w:ind w:left="567" w:right="567"/>
        <w:rPr>
          <w:i/>
        </w:rPr>
      </w:pPr>
      <w:r w:rsidRPr="00E52513">
        <w:rPr>
          <w:i/>
        </w:rPr>
        <w:t xml:space="preserve">The team members for the evaluation included Aboriginal people belonging to the </w:t>
      </w:r>
      <w:proofErr w:type="spellStart"/>
      <w:r w:rsidRPr="00E52513">
        <w:rPr>
          <w:i/>
        </w:rPr>
        <w:t>Dhungutti</w:t>
      </w:r>
      <w:proofErr w:type="spellEnd"/>
      <w:r w:rsidRPr="00E52513">
        <w:rPr>
          <w:i/>
        </w:rPr>
        <w:t xml:space="preserve">, </w:t>
      </w:r>
      <w:proofErr w:type="spellStart"/>
      <w:r w:rsidRPr="00E52513">
        <w:rPr>
          <w:i/>
        </w:rPr>
        <w:t>Palawa</w:t>
      </w:r>
      <w:proofErr w:type="spellEnd"/>
      <w:r w:rsidRPr="00E52513">
        <w:rPr>
          <w:i/>
        </w:rPr>
        <w:t xml:space="preserve">, Wiradjuri and </w:t>
      </w:r>
      <w:proofErr w:type="spellStart"/>
      <w:r w:rsidRPr="00E52513">
        <w:rPr>
          <w:i/>
        </w:rPr>
        <w:t>Anaiwan</w:t>
      </w:r>
      <w:proofErr w:type="spellEnd"/>
      <w:r w:rsidRPr="00E52513">
        <w:rPr>
          <w:i/>
        </w:rPr>
        <w:t xml:space="preserve"> Nations and this report was prepared on Eora (</w:t>
      </w:r>
      <w:proofErr w:type="spellStart"/>
      <w:r w:rsidRPr="00E52513">
        <w:rPr>
          <w:i/>
        </w:rPr>
        <w:t>Guringai</w:t>
      </w:r>
      <w:proofErr w:type="spellEnd"/>
      <w:r w:rsidRPr="00E52513">
        <w:rPr>
          <w:i/>
        </w:rPr>
        <w:t xml:space="preserve"> and </w:t>
      </w:r>
      <w:proofErr w:type="spellStart"/>
      <w:r w:rsidRPr="00E52513">
        <w:rPr>
          <w:i/>
        </w:rPr>
        <w:t>Gadigal</w:t>
      </w:r>
      <w:proofErr w:type="spellEnd"/>
      <w:r w:rsidRPr="00E52513">
        <w:rPr>
          <w:i/>
        </w:rPr>
        <w:t xml:space="preserve">), Darkinjung, Awabakal, </w:t>
      </w:r>
      <w:proofErr w:type="spellStart"/>
      <w:r w:rsidRPr="00E52513">
        <w:rPr>
          <w:i/>
        </w:rPr>
        <w:t>Bundjalung</w:t>
      </w:r>
      <w:proofErr w:type="spellEnd"/>
      <w:r w:rsidRPr="00E52513">
        <w:rPr>
          <w:i/>
        </w:rPr>
        <w:t xml:space="preserve"> and </w:t>
      </w:r>
      <w:proofErr w:type="spellStart"/>
      <w:r w:rsidRPr="00E52513">
        <w:rPr>
          <w:i/>
        </w:rPr>
        <w:t>Ngunnawal</w:t>
      </w:r>
      <w:proofErr w:type="spellEnd"/>
      <w:r w:rsidRPr="00E52513">
        <w:rPr>
          <w:i/>
        </w:rPr>
        <w:t xml:space="preserve"> Country.</w:t>
      </w:r>
    </w:p>
    <w:p w14:paraId="122A854C" w14:textId="77777777" w:rsidR="00CD6417" w:rsidRPr="00E52513" w:rsidRDefault="00CD6417" w:rsidP="00CD6417">
      <w:pPr>
        <w:shd w:val="clear" w:color="auto" w:fill="FDE9D9" w:themeFill="accent6" w:themeFillTint="33"/>
        <w:spacing w:before="480" w:after="120"/>
        <w:ind w:left="567" w:right="567"/>
        <w:rPr>
          <w:i/>
          <w:color w:val="000000"/>
        </w:rPr>
      </w:pPr>
      <w:r w:rsidRPr="00E52513">
        <w:rPr>
          <w:i/>
        </w:rPr>
        <w:t xml:space="preserve">Fieldwork for this evaluation was undertaken (either in person or by electronic means) with respondents on </w:t>
      </w:r>
      <w:proofErr w:type="spellStart"/>
      <w:r w:rsidRPr="00E52513">
        <w:rPr>
          <w:i/>
          <w:color w:val="000000"/>
        </w:rPr>
        <w:t>Whadjuk</w:t>
      </w:r>
      <w:proofErr w:type="spellEnd"/>
      <w:r w:rsidRPr="00E52513">
        <w:rPr>
          <w:i/>
          <w:color w:val="000000"/>
        </w:rPr>
        <w:t xml:space="preserve">, </w:t>
      </w:r>
      <w:proofErr w:type="spellStart"/>
      <w:r w:rsidRPr="00E52513">
        <w:rPr>
          <w:i/>
          <w:color w:val="000000"/>
        </w:rPr>
        <w:t>Yamaji</w:t>
      </w:r>
      <w:proofErr w:type="spellEnd"/>
      <w:r w:rsidRPr="00E52513">
        <w:rPr>
          <w:i/>
          <w:color w:val="000000"/>
        </w:rPr>
        <w:t xml:space="preserve">, Yawuru, </w:t>
      </w:r>
      <w:proofErr w:type="spellStart"/>
      <w:r w:rsidRPr="00E52513">
        <w:rPr>
          <w:i/>
        </w:rPr>
        <w:t>Larrakia</w:t>
      </w:r>
      <w:proofErr w:type="spellEnd"/>
      <w:r w:rsidRPr="00E52513">
        <w:rPr>
          <w:i/>
        </w:rPr>
        <w:t xml:space="preserve">, Arrernte, </w:t>
      </w:r>
      <w:proofErr w:type="spellStart"/>
      <w:r w:rsidRPr="00E52513">
        <w:rPr>
          <w:i/>
        </w:rPr>
        <w:t>Alyawarr</w:t>
      </w:r>
      <w:proofErr w:type="spellEnd"/>
      <w:r w:rsidRPr="00E52513">
        <w:rPr>
          <w:i/>
        </w:rPr>
        <w:t xml:space="preserve">, </w:t>
      </w:r>
      <w:proofErr w:type="spellStart"/>
      <w:r w:rsidRPr="00E52513">
        <w:rPr>
          <w:i/>
        </w:rPr>
        <w:t>Gimuy-walubarra</w:t>
      </w:r>
      <w:proofErr w:type="spellEnd"/>
      <w:r w:rsidRPr="00E52513">
        <w:rPr>
          <w:i/>
        </w:rPr>
        <w:t xml:space="preserve"> </w:t>
      </w:r>
      <w:proofErr w:type="spellStart"/>
      <w:r w:rsidRPr="00E52513">
        <w:rPr>
          <w:i/>
        </w:rPr>
        <w:t>yidi</w:t>
      </w:r>
      <w:proofErr w:type="spellEnd"/>
      <w:r w:rsidRPr="00E52513">
        <w:rPr>
          <w:i/>
          <w:color w:val="000000"/>
        </w:rPr>
        <w:t xml:space="preserve">, </w:t>
      </w:r>
      <w:proofErr w:type="spellStart"/>
      <w:r w:rsidRPr="00E52513">
        <w:rPr>
          <w:i/>
        </w:rPr>
        <w:t>Wulgurukaba</w:t>
      </w:r>
      <w:proofErr w:type="spellEnd"/>
      <w:r w:rsidRPr="00E52513">
        <w:rPr>
          <w:i/>
        </w:rPr>
        <w:t xml:space="preserve"> and </w:t>
      </w:r>
      <w:proofErr w:type="spellStart"/>
      <w:r w:rsidRPr="00E52513">
        <w:rPr>
          <w:i/>
        </w:rPr>
        <w:t>Bindal</w:t>
      </w:r>
      <w:proofErr w:type="spellEnd"/>
      <w:r w:rsidRPr="00E52513">
        <w:rPr>
          <w:i/>
        </w:rPr>
        <w:t>,</w:t>
      </w:r>
      <w:r w:rsidRPr="00E52513">
        <w:rPr>
          <w:i/>
          <w:color w:val="000000"/>
        </w:rPr>
        <w:t xml:space="preserve"> </w:t>
      </w:r>
      <w:proofErr w:type="spellStart"/>
      <w:r w:rsidRPr="00E52513">
        <w:rPr>
          <w:i/>
        </w:rPr>
        <w:t>Yuggera</w:t>
      </w:r>
      <w:proofErr w:type="spellEnd"/>
      <w:r w:rsidRPr="00E52513">
        <w:rPr>
          <w:i/>
          <w:color w:val="000000"/>
        </w:rPr>
        <w:t xml:space="preserve">, Kaurna, </w:t>
      </w:r>
      <w:proofErr w:type="spellStart"/>
      <w:r w:rsidRPr="00E52513">
        <w:rPr>
          <w:i/>
          <w:color w:val="000000"/>
        </w:rPr>
        <w:t>Ngunnawal</w:t>
      </w:r>
      <w:proofErr w:type="spellEnd"/>
      <w:r w:rsidRPr="00E52513">
        <w:rPr>
          <w:i/>
          <w:color w:val="000000"/>
        </w:rPr>
        <w:t xml:space="preserve"> and Kulin Country.  We thank the people from these and other Nations for their contributions to this process of reflection.</w:t>
      </w:r>
    </w:p>
    <w:p w14:paraId="358D9C81" w14:textId="77777777" w:rsidR="004C2311" w:rsidRPr="00E52513" w:rsidRDefault="004C2311" w:rsidP="006072F3">
      <w:pPr>
        <w:pStyle w:val="Heading1"/>
        <w:numPr>
          <w:ilvl w:val="0"/>
          <w:numId w:val="0"/>
        </w:numPr>
        <w:ind w:left="432" w:hanging="432"/>
        <w:sectPr w:rsidR="004C2311" w:rsidRPr="00E52513" w:rsidSect="008040F0">
          <w:footerReference w:type="default" r:id="rId11"/>
          <w:pgSz w:w="11906" w:h="16838"/>
          <w:pgMar w:top="1440" w:right="1080" w:bottom="1440" w:left="1080" w:header="709" w:footer="454" w:gutter="0"/>
          <w:cols w:space="708"/>
          <w:docGrid w:linePitch="360"/>
        </w:sectPr>
      </w:pPr>
    </w:p>
    <w:p w14:paraId="1BBB85DD" w14:textId="4E6884B4" w:rsidR="006072F3" w:rsidRPr="00E52513" w:rsidRDefault="006072F3" w:rsidP="004E0FBE">
      <w:pPr>
        <w:pStyle w:val="Heading1"/>
        <w:numPr>
          <w:ilvl w:val="0"/>
          <w:numId w:val="0"/>
        </w:numPr>
        <w:ind w:left="432" w:hanging="432"/>
        <w:rPr>
          <w:b w:val="0"/>
        </w:rPr>
      </w:pPr>
      <w:bookmarkStart w:id="4" w:name="_Toc54966610"/>
      <w:r w:rsidRPr="00E52513">
        <w:lastRenderedPageBreak/>
        <w:t>Key findings</w:t>
      </w:r>
      <w:bookmarkEnd w:id="4"/>
      <w:r w:rsidRPr="00E52513">
        <w:t xml:space="preserve"> </w:t>
      </w:r>
    </w:p>
    <w:p w14:paraId="040B28D6" w14:textId="77777777" w:rsidR="006072F3" w:rsidRPr="00E52513" w:rsidRDefault="006072F3" w:rsidP="00DB2BEB">
      <w:pPr>
        <w:spacing w:after="120"/>
      </w:pPr>
      <w:r w:rsidRPr="00E52513">
        <w:t xml:space="preserve">The summative evaluation of </w:t>
      </w:r>
      <w:r w:rsidRPr="00E52513">
        <w:rPr>
          <w:bCs/>
        </w:rPr>
        <w:t>the first three years</w:t>
      </w:r>
      <w:r w:rsidRPr="00E52513">
        <w:t xml:space="preserve"> (2017-2020) of development and implementation of the National Indigenous Crisis Response Service (NICRS) has found that the service is providing </w:t>
      </w:r>
      <w:r w:rsidRPr="00E52513">
        <w:rPr>
          <w:b/>
        </w:rPr>
        <w:t xml:space="preserve">valuable </w:t>
      </w:r>
      <w:proofErr w:type="spellStart"/>
      <w:r w:rsidRPr="00E52513">
        <w:rPr>
          <w:b/>
        </w:rPr>
        <w:t>postvention</w:t>
      </w:r>
      <w:proofErr w:type="spellEnd"/>
      <w:r w:rsidRPr="00E52513">
        <w:rPr>
          <w:b/>
        </w:rPr>
        <w:t xml:space="preserve"> support</w:t>
      </w:r>
      <w:r w:rsidRPr="00E52513">
        <w:t xml:space="preserve"> to individuals and families (clients) who have recently experienced a suicide or other traumatic incident in their close family network.  The evaluation found that </w:t>
      </w:r>
      <w:r w:rsidRPr="00E52513">
        <w:rPr>
          <w:bCs/>
        </w:rPr>
        <w:t>there is support for the service</w:t>
      </w:r>
      <w:r w:rsidRPr="00E52513">
        <w:t xml:space="preserve">, however all stakeholder groups agreed that there was </w:t>
      </w:r>
      <w:r w:rsidRPr="00E52513">
        <w:rPr>
          <w:b/>
        </w:rPr>
        <w:t xml:space="preserve">scope for improvement </w:t>
      </w:r>
      <w:r w:rsidRPr="00E52513">
        <w:t>in the way the NICRS is managed and delivered.</w:t>
      </w:r>
    </w:p>
    <w:p w14:paraId="3B2A3A09" w14:textId="77777777" w:rsidR="006072F3" w:rsidRPr="00E52513" w:rsidRDefault="006072F3" w:rsidP="00DB2BEB">
      <w:pPr>
        <w:spacing w:after="120"/>
      </w:pPr>
      <w:r w:rsidRPr="00E52513">
        <w:t>Clients reported that the NICRS Crisis Response Support Advocates (CRSAs – frontline staff) provided welcome and highly valued personal support and financial relief at a time of great stress and crisis. CRSAs reported that the role was generally rewarding but could be stressful and overwhelming. The long-term impact of the service on social and emotional wellbeing (SEWB) of clients could not be determined due to the outstanding need for established outcome measures and the immaturity of data collection processes at this point in the service’s development.</w:t>
      </w:r>
    </w:p>
    <w:p w14:paraId="5E01501F" w14:textId="35C8B615" w:rsidR="006072F3" w:rsidRDefault="006072F3" w:rsidP="006072F3">
      <w:pPr>
        <w:spacing w:after="120" w:line="276" w:lineRule="auto"/>
        <w:rPr>
          <w:szCs w:val="22"/>
        </w:rPr>
      </w:pPr>
      <w:r w:rsidRPr="00E52513">
        <w:rPr>
          <w:szCs w:val="22"/>
        </w:rPr>
        <w:t xml:space="preserve">The evaluation found that the service could be </w:t>
      </w:r>
      <w:r w:rsidRPr="00E52513">
        <w:rPr>
          <w:b/>
          <w:szCs w:val="22"/>
        </w:rPr>
        <w:t>improved by</w:t>
      </w:r>
      <w:r w:rsidRPr="00E52513">
        <w:rPr>
          <w:szCs w:val="22"/>
        </w:rPr>
        <w:t>:</w:t>
      </w:r>
    </w:p>
    <w:p w14:paraId="7F6A7C8B" w14:textId="77777777" w:rsidR="00CD6417" w:rsidRDefault="00CD6417" w:rsidP="009437A5">
      <w:pPr>
        <w:pStyle w:val="ListParagraph"/>
        <w:numPr>
          <w:ilvl w:val="0"/>
          <w:numId w:val="48"/>
        </w:numPr>
        <w:shd w:val="clear" w:color="auto" w:fill="FDE9D9" w:themeFill="accent6" w:themeFillTint="33"/>
        <w:spacing w:after="120"/>
      </w:pPr>
      <w:r>
        <w:t>locating small teams of 2-3 workers in areas of known suicide ‘hotspots’</w:t>
      </w:r>
    </w:p>
    <w:p w14:paraId="3338D89B" w14:textId="77777777" w:rsidR="00CD6417" w:rsidRDefault="00CD6417" w:rsidP="009437A5">
      <w:pPr>
        <w:pStyle w:val="ListParagraph"/>
        <w:numPr>
          <w:ilvl w:val="0"/>
          <w:numId w:val="48"/>
        </w:numPr>
        <w:shd w:val="clear" w:color="auto" w:fill="FDE9D9" w:themeFill="accent6" w:themeFillTint="33"/>
        <w:spacing w:after="120"/>
      </w:pPr>
      <w:proofErr w:type="gramStart"/>
      <w:r>
        <w:t>establishing</w:t>
      </w:r>
      <w:proofErr w:type="gramEnd"/>
      <w:r>
        <w:t xml:space="preserve"> stronger governance arrangements, including a strategic plan with outcome indicators and improve data collection processes to support quality improvement and future evaluation efforts.</w:t>
      </w:r>
    </w:p>
    <w:p w14:paraId="26DA92BE" w14:textId="77777777" w:rsidR="00CD6417" w:rsidRDefault="00CD6417" w:rsidP="009437A5">
      <w:pPr>
        <w:pStyle w:val="ListParagraph"/>
        <w:numPr>
          <w:ilvl w:val="0"/>
          <w:numId w:val="48"/>
        </w:numPr>
        <w:shd w:val="clear" w:color="auto" w:fill="FDE9D9" w:themeFill="accent6" w:themeFillTint="33"/>
        <w:spacing w:after="120"/>
      </w:pPr>
      <w:r>
        <w:t>achieving greater consistency and clarity in the program’s core guiding documents (i.e. the Model of Care and the Program Logic) and in the application of organisational policies, including the use of Emergency Relief Funding</w:t>
      </w:r>
    </w:p>
    <w:p w14:paraId="2A3C5419" w14:textId="77777777" w:rsidR="00CD6417" w:rsidRDefault="00CD6417" w:rsidP="009437A5">
      <w:pPr>
        <w:pStyle w:val="ListParagraph"/>
        <w:numPr>
          <w:ilvl w:val="0"/>
          <w:numId w:val="48"/>
        </w:numPr>
        <w:shd w:val="clear" w:color="auto" w:fill="FDE9D9" w:themeFill="accent6" w:themeFillTint="33"/>
        <w:spacing w:after="120"/>
      </w:pPr>
      <w:r>
        <w:t>providing comprehensive, regular and systematic professional and emotional support, clinical supervision and cultural supervision for frontline workers (CRSAs and Coordinators), including by enlisting additional options to assist those staff in responding to 24/7 enquiries or calls for assistance and by strengthening the workforce’s capabilities and capacity</w:t>
      </w:r>
    </w:p>
    <w:p w14:paraId="67730B16" w14:textId="77777777" w:rsidR="00CD6417" w:rsidRDefault="00CD6417" w:rsidP="009437A5">
      <w:pPr>
        <w:pStyle w:val="ListParagraph"/>
        <w:numPr>
          <w:ilvl w:val="0"/>
          <w:numId w:val="48"/>
        </w:numPr>
        <w:shd w:val="clear" w:color="auto" w:fill="FDE9D9" w:themeFill="accent6" w:themeFillTint="33"/>
        <w:spacing w:after="120"/>
      </w:pPr>
      <w:r>
        <w:t>increasing efforts to build an understanding of, connection with and referrals to other services and community organisations in the client’s local community and surrounding area</w:t>
      </w:r>
    </w:p>
    <w:p w14:paraId="437D3A30" w14:textId="77777777" w:rsidR="00CD6417" w:rsidRDefault="00CD6417" w:rsidP="009437A5">
      <w:pPr>
        <w:pStyle w:val="ListParagraph"/>
        <w:numPr>
          <w:ilvl w:val="0"/>
          <w:numId w:val="48"/>
        </w:numPr>
        <w:shd w:val="clear" w:color="auto" w:fill="FDE9D9" w:themeFill="accent6" w:themeFillTint="33"/>
        <w:spacing w:after="120"/>
      </w:pPr>
      <w:r>
        <w:t xml:space="preserve">planning, documenting and implementing </w:t>
      </w:r>
      <w:proofErr w:type="spellStart"/>
      <w:r>
        <w:t>throughcare</w:t>
      </w:r>
      <w:proofErr w:type="spellEnd"/>
      <w:r>
        <w:t xml:space="preserve"> plans that are co-designed with clients and developed in consultation with relevant local service providers and trusted (by the client) community Elders</w:t>
      </w:r>
    </w:p>
    <w:p w14:paraId="362E0C32" w14:textId="77777777" w:rsidR="00CD6417" w:rsidRDefault="00CD6417" w:rsidP="009437A5">
      <w:pPr>
        <w:pStyle w:val="ListParagraph"/>
        <w:numPr>
          <w:ilvl w:val="0"/>
          <w:numId w:val="48"/>
        </w:numPr>
        <w:shd w:val="clear" w:color="auto" w:fill="FDE9D9" w:themeFill="accent6" w:themeFillTint="33"/>
        <w:spacing w:after="120"/>
      </w:pPr>
      <w:proofErr w:type="gramStart"/>
      <w:r w:rsidRPr="004C2311">
        <w:t>including</w:t>
      </w:r>
      <w:proofErr w:type="gramEnd"/>
      <w:r w:rsidRPr="004C2311">
        <w:t xml:space="preserve"> of stronger and more explicit Aboriginal and Torres Strait Islander cultural and social and emotional wellbeing improvement practices built in service delivery patterns to provide leadership and modelling for best practice in the mental health sector more broadly.</w:t>
      </w:r>
    </w:p>
    <w:p w14:paraId="6FFE0749" w14:textId="77777777" w:rsidR="00CD6417" w:rsidRPr="00E52513" w:rsidRDefault="00CD6417" w:rsidP="006072F3">
      <w:pPr>
        <w:spacing w:after="120" w:line="276" w:lineRule="auto"/>
        <w:rPr>
          <w:szCs w:val="22"/>
        </w:rPr>
      </w:pPr>
    </w:p>
    <w:p w14:paraId="6F2BE1D3" w14:textId="1F969BF4" w:rsidR="004C2311" w:rsidRPr="00E52513" w:rsidRDefault="004C2311" w:rsidP="006072F3">
      <w:pPr>
        <w:spacing w:after="120" w:line="276" w:lineRule="auto"/>
        <w:rPr>
          <w:szCs w:val="22"/>
        </w:rPr>
      </w:pPr>
    </w:p>
    <w:p w14:paraId="7812C2E0" w14:textId="4F39E26A" w:rsidR="004C2311" w:rsidRPr="00E52513" w:rsidRDefault="004C2311" w:rsidP="006072F3">
      <w:pPr>
        <w:spacing w:line="276" w:lineRule="auto"/>
        <w:sectPr w:rsidR="004C2311" w:rsidRPr="00E52513" w:rsidSect="00BD6F5C">
          <w:footerReference w:type="default" r:id="rId12"/>
          <w:pgSz w:w="11906" w:h="16838"/>
          <w:pgMar w:top="1440" w:right="1080" w:bottom="1440" w:left="1080" w:header="709" w:footer="454" w:gutter="0"/>
          <w:cols w:space="708"/>
          <w:docGrid w:linePitch="360"/>
        </w:sectPr>
      </w:pPr>
    </w:p>
    <w:p w14:paraId="27835FF3" w14:textId="39147354" w:rsidR="006072F3" w:rsidRDefault="006072F3" w:rsidP="006072F3">
      <w:pPr>
        <w:pStyle w:val="Heading1"/>
        <w:numPr>
          <w:ilvl w:val="0"/>
          <w:numId w:val="0"/>
        </w:numPr>
        <w:ind w:left="432" w:hanging="432"/>
      </w:pPr>
      <w:bookmarkStart w:id="5" w:name="_Toc54966611"/>
      <w:r w:rsidRPr="00E52513">
        <w:lastRenderedPageBreak/>
        <w:t>Executive Summary</w:t>
      </w:r>
      <w:bookmarkEnd w:id="5"/>
    </w:p>
    <w:p w14:paraId="6F442643" w14:textId="77777777" w:rsidR="00CD6417" w:rsidRPr="00E52513" w:rsidRDefault="00CD6417" w:rsidP="00CD6417">
      <w:pPr>
        <w:shd w:val="clear" w:color="auto" w:fill="FDE9D9" w:themeFill="accent6" w:themeFillTint="33"/>
        <w:spacing w:before="240" w:after="0" w:line="276" w:lineRule="auto"/>
        <w:ind w:right="283"/>
        <w:rPr>
          <w:b/>
          <w:sz w:val="28"/>
          <w:szCs w:val="28"/>
        </w:rPr>
      </w:pPr>
      <w:r w:rsidRPr="00E52513">
        <w:rPr>
          <w:b/>
          <w:sz w:val="28"/>
          <w:szCs w:val="28"/>
        </w:rPr>
        <w:t>Overview</w:t>
      </w:r>
    </w:p>
    <w:p w14:paraId="247CD386" w14:textId="5AACFEF5" w:rsidR="00CD6417" w:rsidRDefault="00CD6417" w:rsidP="00CD6417">
      <w:pPr>
        <w:shd w:val="clear" w:color="auto" w:fill="FDE9D9" w:themeFill="accent6" w:themeFillTint="33"/>
        <w:spacing w:after="0"/>
        <w:ind w:right="248"/>
        <w:rPr>
          <w:i/>
          <w:iCs/>
        </w:rPr>
      </w:pPr>
      <w:r w:rsidRPr="002A1FC7">
        <w:rPr>
          <w:i/>
          <w:iCs/>
        </w:rPr>
        <w:t xml:space="preserve">Since its establishment in 2017 and up to June 2019, the </w:t>
      </w:r>
      <w:r w:rsidRPr="002A1FC7">
        <w:rPr>
          <w:b/>
          <w:i/>
          <w:iCs/>
        </w:rPr>
        <w:t>National Indigenous Critical Response Service (NICRS)</w:t>
      </w:r>
      <w:r w:rsidRPr="002A1FC7">
        <w:rPr>
          <w:i/>
          <w:iCs/>
        </w:rPr>
        <w:t xml:space="preserve"> provided </w:t>
      </w:r>
      <w:proofErr w:type="spellStart"/>
      <w:r w:rsidRPr="002A1FC7">
        <w:rPr>
          <w:bCs/>
          <w:i/>
          <w:iCs/>
        </w:rPr>
        <w:t>postvention</w:t>
      </w:r>
      <w:proofErr w:type="spellEnd"/>
      <w:r w:rsidRPr="002A1FC7">
        <w:rPr>
          <w:bCs/>
          <w:i/>
          <w:iCs/>
        </w:rPr>
        <w:t xml:space="preserve"> support to Aboriginal and Torres Strait Islander individuals, families and communities</w:t>
      </w:r>
      <w:r w:rsidRPr="002A1FC7">
        <w:rPr>
          <w:b/>
          <w:i/>
          <w:iCs/>
        </w:rPr>
        <w:t xml:space="preserve"> </w:t>
      </w:r>
      <w:r w:rsidRPr="002A1FC7">
        <w:rPr>
          <w:i/>
          <w:iCs/>
        </w:rPr>
        <w:t>in response to 367 incidents (suicides or other traumatic events) in WA, NT, Queensland, SA, NSW and Victoria.  At the time of the evaluation (2018-19) a network of approximately 12 (FTE) Critical Response Support Advocates (CRSAs) were employed to deliver the service. These frontline workers were supported by a team of approximately seven (FTE) management, coordination, cultural advisor and administrative NICRS staff positions.  Clinical supervision and management support services were also contracted to support the CRSA team as required.</w:t>
      </w:r>
    </w:p>
    <w:p w14:paraId="39BDD379" w14:textId="77777777" w:rsidR="00CD6417" w:rsidRPr="00CD6417" w:rsidRDefault="00CD6417" w:rsidP="00CD6417">
      <w:pPr>
        <w:shd w:val="clear" w:color="auto" w:fill="FDE9D9" w:themeFill="accent6" w:themeFillTint="33"/>
        <w:spacing w:after="0"/>
        <w:ind w:right="248"/>
        <w:rPr>
          <w:i/>
          <w:iCs/>
          <w:sz w:val="10"/>
          <w:szCs w:val="10"/>
        </w:rPr>
      </w:pPr>
    </w:p>
    <w:p w14:paraId="383306F9" w14:textId="2709E109" w:rsidR="00DE6F9E" w:rsidRPr="00CD6417" w:rsidRDefault="00CD6417" w:rsidP="00CD6417">
      <w:pPr>
        <w:shd w:val="clear" w:color="auto" w:fill="FDE9D9" w:themeFill="accent6" w:themeFillTint="33"/>
        <w:spacing w:after="0"/>
        <w:ind w:right="248"/>
      </w:pPr>
      <w:r w:rsidRPr="002A1FC7">
        <w:rPr>
          <w:i/>
          <w:iCs/>
        </w:rPr>
        <w:t xml:space="preserve">The national service is delivered by a newly established not-for-profit company, </w:t>
      </w:r>
      <w:proofErr w:type="spellStart"/>
      <w:r w:rsidRPr="002A1FC7">
        <w:rPr>
          <w:i/>
          <w:iCs/>
        </w:rPr>
        <w:t>Thirrili</w:t>
      </w:r>
      <w:proofErr w:type="spellEnd"/>
      <w:r w:rsidRPr="002A1FC7">
        <w:rPr>
          <w:i/>
          <w:iCs/>
        </w:rPr>
        <w:t xml:space="preserve"> Ltd., which is led by a Board of Aboriginal and Torres Strait Islander Directors and has been built during the initial program development phase.  </w:t>
      </w:r>
      <w:proofErr w:type="spellStart"/>
      <w:r w:rsidRPr="002A1FC7">
        <w:rPr>
          <w:i/>
          <w:iCs/>
        </w:rPr>
        <w:t>Thirrili</w:t>
      </w:r>
      <w:proofErr w:type="spellEnd"/>
      <w:r w:rsidRPr="002A1FC7">
        <w:rPr>
          <w:i/>
          <w:iCs/>
        </w:rPr>
        <w:t xml:space="preserve"> is governed by a comprehensive set of </w:t>
      </w:r>
      <w:r w:rsidRPr="002A1FC7">
        <w:rPr>
          <w:bCs/>
          <w:i/>
          <w:iCs/>
        </w:rPr>
        <w:t>organisational guidance documents, s</w:t>
      </w:r>
      <w:r w:rsidRPr="002A1FC7">
        <w:rPr>
          <w:i/>
          <w:iCs/>
        </w:rPr>
        <w:t xml:space="preserve">ome of which </w:t>
      </w:r>
      <w:r w:rsidRPr="002A1FC7">
        <w:rPr>
          <w:b/>
          <w:i/>
          <w:iCs/>
        </w:rPr>
        <w:t>require review to support a clearer definition of the service goals and associated activities.</w:t>
      </w:r>
      <w:r w:rsidRPr="00E52513">
        <w:t xml:space="preserve"> </w:t>
      </w:r>
    </w:p>
    <w:p w14:paraId="4AE91158" w14:textId="426693F6" w:rsidR="00DE6F9E" w:rsidRPr="00E52513" w:rsidRDefault="00DE6F9E" w:rsidP="00054B25">
      <w:pPr>
        <w:pStyle w:val="Heading20"/>
        <w:outlineLvl w:val="1"/>
      </w:pPr>
      <w:r w:rsidRPr="00E52513">
        <w:t>The evaluation</w:t>
      </w:r>
    </w:p>
    <w:p w14:paraId="6A4B2FC3" w14:textId="77777777" w:rsidR="00DE6F9E" w:rsidRPr="00E52513" w:rsidRDefault="00DE6F9E" w:rsidP="00DE6F9E">
      <w:pPr>
        <w:rPr>
          <w:rFonts w:cs="Segoe UI"/>
          <w:szCs w:val="22"/>
        </w:rPr>
      </w:pPr>
      <w:r w:rsidRPr="00E52513">
        <w:t xml:space="preserve">The 2018-19 </w:t>
      </w:r>
      <w:r w:rsidRPr="00E52513">
        <w:rPr>
          <w:rFonts w:cs="Segoe UI"/>
          <w:szCs w:val="22"/>
        </w:rPr>
        <w:t>evaluation examined the NICRS from the period of establishment up to June 2019.</w:t>
      </w:r>
    </w:p>
    <w:p w14:paraId="61744107" w14:textId="77777777" w:rsidR="00DE6F9E" w:rsidRPr="00E52513" w:rsidRDefault="00DE6F9E" w:rsidP="00DE6F9E">
      <w:r w:rsidRPr="00E52513">
        <w:rPr>
          <w:rFonts w:cs="Segoe UI"/>
          <w:szCs w:val="22"/>
        </w:rPr>
        <w:t xml:space="preserve">The objectives were to: </w:t>
      </w:r>
    </w:p>
    <w:p w14:paraId="43EF86AE" w14:textId="77777777" w:rsidR="00DE6F9E" w:rsidRPr="00E52513" w:rsidRDefault="00DE6F9E" w:rsidP="009437A5">
      <w:pPr>
        <w:pStyle w:val="ListParagraph"/>
        <w:numPr>
          <w:ilvl w:val="0"/>
          <w:numId w:val="49"/>
        </w:numPr>
        <w:rPr>
          <w:rFonts w:cs="Segoe UI"/>
          <w:szCs w:val="22"/>
        </w:rPr>
      </w:pPr>
      <w:r w:rsidRPr="00E52513">
        <w:rPr>
          <w:rFonts w:cs="Segoe UI"/>
          <w:szCs w:val="22"/>
        </w:rPr>
        <w:t xml:space="preserve">demonstrate NICRS accountability in response to Indigenous Advancement Strategy (IAS) funding </w:t>
      </w:r>
    </w:p>
    <w:p w14:paraId="570E9295" w14:textId="77777777" w:rsidR="00DE6F9E" w:rsidRPr="00E52513" w:rsidRDefault="00DE6F9E" w:rsidP="009437A5">
      <w:pPr>
        <w:pStyle w:val="ListParagraph"/>
        <w:numPr>
          <w:ilvl w:val="0"/>
          <w:numId w:val="49"/>
        </w:numPr>
        <w:rPr>
          <w:rFonts w:cs="Segoe UI"/>
          <w:szCs w:val="22"/>
        </w:rPr>
      </w:pPr>
      <w:r w:rsidRPr="00E52513">
        <w:rPr>
          <w:rFonts w:cs="Segoe UI"/>
          <w:szCs w:val="22"/>
        </w:rPr>
        <w:t xml:space="preserve">assess program quality, value &amp; effectiveness </w:t>
      </w:r>
    </w:p>
    <w:p w14:paraId="651A4202" w14:textId="77777777" w:rsidR="00DE6F9E" w:rsidRPr="00E52513" w:rsidRDefault="00DE6F9E" w:rsidP="009437A5">
      <w:pPr>
        <w:pStyle w:val="ListParagraph"/>
        <w:numPr>
          <w:ilvl w:val="0"/>
          <w:numId w:val="49"/>
        </w:numPr>
        <w:rPr>
          <w:rFonts w:cs="Segoe UI"/>
          <w:szCs w:val="22"/>
        </w:rPr>
      </w:pPr>
      <w:r w:rsidRPr="00E52513">
        <w:rPr>
          <w:rFonts w:cs="Segoe UI"/>
          <w:szCs w:val="22"/>
        </w:rPr>
        <w:t xml:space="preserve">identify opportunities for program improvement &amp; re-design </w:t>
      </w:r>
    </w:p>
    <w:p w14:paraId="3B632570" w14:textId="77777777" w:rsidR="00DE6F9E" w:rsidRPr="00E52513" w:rsidRDefault="00DE6F9E" w:rsidP="009437A5">
      <w:pPr>
        <w:pStyle w:val="ListParagraph"/>
        <w:numPr>
          <w:ilvl w:val="0"/>
          <w:numId w:val="49"/>
        </w:numPr>
        <w:rPr>
          <w:rFonts w:cs="Segoe UI"/>
          <w:szCs w:val="22"/>
        </w:rPr>
      </w:pPr>
      <w:proofErr w:type="gramStart"/>
      <w:r w:rsidRPr="00E52513">
        <w:rPr>
          <w:rFonts w:cs="Segoe UI"/>
          <w:szCs w:val="22"/>
        </w:rPr>
        <w:t>generate</w:t>
      </w:r>
      <w:proofErr w:type="gramEnd"/>
      <w:r w:rsidRPr="00E52513">
        <w:rPr>
          <w:rFonts w:cs="Segoe UI"/>
          <w:szCs w:val="22"/>
        </w:rPr>
        <w:t xml:space="preserve"> </w:t>
      </w:r>
      <w:r w:rsidRPr="00E52513">
        <w:rPr>
          <w:rFonts w:cs="Segoe UI"/>
        </w:rPr>
        <w:t>evidence to inform decision</w:t>
      </w:r>
      <w:r w:rsidRPr="00E52513">
        <w:rPr>
          <w:rFonts w:cs="Segoe UI"/>
          <w:szCs w:val="22"/>
        </w:rPr>
        <w:t xml:space="preserve">-making in line with the IAS Evaluation Framework. </w:t>
      </w:r>
    </w:p>
    <w:p w14:paraId="65A003F1" w14:textId="77777777" w:rsidR="00DE6F9E" w:rsidRDefault="00DE6F9E" w:rsidP="00DE6F9E">
      <w:r w:rsidRPr="00E52513">
        <w:t xml:space="preserve">A mixed methods approach was used to combine information from </w:t>
      </w:r>
      <w:r>
        <w:t xml:space="preserve">a literature review, </w:t>
      </w:r>
      <w:r w:rsidRPr="00E52513">
        <w:t>review</w:t>
      </w:r>
      <w:r>
        <w:t xml:space="preserve"> of program documents</w:t>
      </w:r>
      <w:r w:rsidRPr="00E52513">
        <w:t>,</w:t>
      </w:r>
      <w:r>
        <w:t xml:space="preserve"> </w:t>
      </w:r>
      <w:r w:rsidRPr="00E52513">
        <w:t>interview</w:t>
      </w:r>
      <w:r>
        <w:t>s</w:t>
      </w:r>
      <w:r w:rsidRPr="00E52513">
        <w:t xml:space="preserve"> in </w:t>
      </w:r>
      <w:r w:rsidRPr="00E52513">
        <w:rPr>
          <w:bCs/>
        </w:rPr>
        <w:t>WA, NT, Qld, and Victoria</w:t>
      </w:r>
      <w:r>
        <w:t xml:space="preserve"> (</w:t>
      </w:r>
      <w:r w:rsidRPr="00E52513">
        <w:t>14 Board and staff members, 18 clients, and 30 other service and community stakeholders</w:t>
      </w:r>
      <w:r>
        <w:rPr>
          <w:bCs/>
        </w:rPr>
        <w:t xml:space="preserve">) </w:t>
      </w:r>
      <w:r w:rsidRPr="00E52513">
        <w:t xml:space="preserve">and NICRS </w:t>
      </w:r>
      <w:r>
        <w:t xml:space="preserve">program </w:t>
      </w:r>
      <w:r w:rsidRPr="00E52513">
        <w:t>data</w:t>
      </w:r>
      <w:r>
        <w:t xml:space="preserve">. Information from these sources helped to </w:t>
      </w:r>
      <w:r w:rsidRPr="00E52513">
        <w:t xml:space="preserve">understand how the service was operating, what it had achieved, </w:t>
      </w:r>
      <w:r>
        <w:t xml:space="preserve">and </w:t>
      </w:r>
      <w:r w:rsidRPr="00E52513">
        <w:t xml:space="preserve">where there were gaps or a need for future adjustment. </w:t>
      </w:r>
    </w:p>
    <w:p w14:paraId="3B3D3858" w14:textId="665914B1" w:rsidR="00315C77" w:rsidRPr="00CD6417" w:rsidRDefault="00DE6F9E" w:rsidP="00DE6F9E">
      <w:pPr>
        <w:rPr>
          <w:bCs/>
        </w:rPr>
      </w:pPr>
      <w:r w:rsidRPr="00E52513">
        <w:t xml:space="preserve">The evaluation </w:t>
      </w:r>
      <w:r>
        <w:t xml:space="preserve">had </w:t>
      </w:r>
      <w:r w:rsidRPr="00E52513">
        <w:t>ethical approval</w:t>
      </w:r>
      <w:r>
        <w:t xml:space="preserve"> </w:t>
      </w:r>
      <w:r w:rsidRPr="00E52513">
        <w:t xml:space="preserve">and was guided by a set of questions to look at </w:t>
      </w:r>
      <w:r w:rsidRPr="00E52513">
        <w:rPr>
          <w:bCs/>
        </w:rPr>
        <w:t xml:space="preserve">relevance, effectiveness, efficiency, impact and sustainability of the service.  </w:t>
      </w:r>
    </w:p>
    <w:p w14:paraId="04DDEB62" w14:textId="48A8F310" w:rsidR="006072F3" w:rsidRPr="00E52513" w:rsidRDefault="006072F3" w:rsidP="00054B25">
      <w:pPr>
        <w:pStyle w:val="Heading20"/>
        <w:outlineLvl w:val="1"/>
      </w:pPr>
      <w:r w:rsidRPr="00E52513">
        <w:t>Effectiveness of the service</w:t>
      </w:r>
    </w:p>
    <w:p w14:paraId="483C825F" w14:textId="1C21F8EF" w:rsidR="00C26F3F" w:rsidRPr="00E52513" w:rsidRDefault="006072F3" w:rsidP="00C26F3F">
      <w:r w:rsidRPr="00E52513">
        <w:t xml:space="preserve">Clients and families consistently reported that </w:t>
      </w:r>
      <w:r w:rsidRPr="00E52513">
        <w:rPr>
          <w:b/>
        </w:rPr>
        <w:t>NICRS support was valuable</w:t>
      </w:r>
      <w:r w:rsidRPr="00E52513">
        <w:t xml:space="preserve"> in their time of crisis many liked the confidentiality that an independent service could provide.  Many service provider stakeholders confirmed that </w:t>
      </w:r>
      <w:r w:rsidRPr="00E52513">
        <w:rPr>
          <w:bCs/>
        </w:rPr>
        <w:t>the service was</w:t>
      </w:r>
      <w:r w:rsidRPr="00E52513">
        <w:t xml:space="preserve"> </w:t>
      </w:r>
      <w:r w:rsidRPr="00E52513">
        <w:rPr>
          <w:b/>
        </w:rPr>
        <w:t xml:space="preserve">filling a service gap </w:t>
      </w:r>
      <w:r w:rsidRPr="00E52513">
        <w:t xml:space="preserve">in their geographic location. </w:t>
      </w:r>
    </w:p>
    <w:p w14:paraId="032F0268" w14:textId="451DE9F2" w:rsidR="006072F3" w:rsidRPr="00E52513" w:rsidRDefault="006072F3" w:rsidP="006072F3">
      <w:r w:rsidRPr="00E52513">
        <w:lastRenderedPageBreak/>
        <w:t xml:space="preserve">Clients also highly valued receiving support from a </w:t>
      </w:r>
      <w:r w:rsidRPr="00E52513">
        <w:rPr>
          <w:bCs/>
        </w:rPr>
        <w:t>service led by Aboriginal and Torres Strait Islander board and staff members and guided by values that align with</w:t>
      </w:r>
      <w:r w:rsidR="00DE6F9E">
        <w:rPr>
          <w:bCs/>
        </w:rPr>
        <w:t xml:space="preserve"> their</w:t>
      </w:r>
      <w:r w:rsidRPr="00E52513">
        <w:rPr>
          <w:bCs/>
        </w:rPr>
        <w:t xml:space="preserve"> culture and </w:t>
      </w:r>
      <w:r w:rsidR="00DE6F9E">
        <w:rPr>
          <w:bCs/>
        </w:rPr>
        <w:t xml:space="preserve">approach to </w:t>
      </w:r>
      <w:r w:rsidRPr="00E52513">
        <w:rPr>
          <w:bCs/>
        </w:rPr>
        <w:t>social and emotional wellbeing. However, it was clear that greater emphasis on implementation of the culturally focus</w:t>
      </w:r>
      <w:r w:rsidR="00E52513">
        <w:rPr>
          <w:bCs/>
        </w:rPr>
        <w:t>s</w:t>
      </w:r>
      <w:r w:rsidRPr="00E52513">
        <w:rPr>
          <w:bCs/>
        </w:rPr>
        <w:t>ed and place-based elements of the model would be appreciated</w:t>
      </w:r>
      <w:r w:rsidRPr="00E52513">
        <w:t>.</w:t>
      </w:r>
    </w:p>
    <w:p w14:paraId="3D7BFF5C" w14:textId="77777777" w:rsidR="006072F3" w:rsidRPr="00E52513" w:rsidRDefault="006072F3" w:rsidP="00C26F3F">
      <w:r w:rsidRPr="00E52513">
        <w:t>Effectiveness of NICRS service provision could also be improved through careful consideration of the competencies required to undertake the challenging CRSA role – both in the initial recruitment process and in ongoing and professional development of staff (such as Mental Health First Aid and Accidental Counselling courses).</w:t>
      </w:r>
    </w:p>
    <w:p w14:paraId="59005360" w14:textId="654285CF" w:rsidR="006072F3" w:rsidRPr="00E52513" w:rsidRDefault="006072F3" w:rsidP="006072F3">
      <w:pPr>
        <w:rPr>
          <w:rFonts w:cs="Segoe UI"/>
          <w:color w:val="000000"/>
          <w:sz w:val="20"/>
        </w:rPr>
      </w:pPr>
      <w:r w:rsidRPr="00E52513">
        <w:rPr>
          <w:b/>
          <w:bCs/>
          <w:i/>
          <w:iCs/>
          <w:szCs w:val="22"/>
        </w:rPr>
        <w:t xml:space="preserve">NICRS program activity </w:t>
      </w:r>
      <w:r w:rsidRPr="00E52513">
        <w:rPr>
          <w:szCs w:val="22"/>
        </w:rPr>
        <w:t>identified throughout the evaluation can be summarised as follows</w:t>
      </w:r>
      <w:r w:rsidRPr="00E52513">
        <w:rPr>
          <w:rFonts w:cs="Segoe UI"/>
          <w:iCs/>
          <w:color w:val="000000"/>
          <w:sz w:val="20"/>
        </w:rPr>
        <w:t xml:space="preserve">: </w:t>
      </w:r>
    </w:p>
    <w:tbl>
      <w:tblPr>
        <w:tblStyle w:val="MediumGrid3-Accent6"/>
        <w:tblW w:w="9799" w:type="dxa"/>
        <w:jc w:val="center"/>
        <w:tblLayout w:type="fixed"/>
        <w:tblLook w:val="04A0" w:firstRow="1" w:lastRow="0" w:firstColumn="1" w:lastColumn="0" w:noHBand="0" w:noVBand="1"/>
        <w:tblCaption w:val="NICRS program activity table"/>
        <w:tblDescription w:val="Two columns - summarising key data analyses such as number of service responses, types of incidents and support provided, requests for service, nature of services delivered"/>
      </w:tblPr>
      <w:tblGrid>
        <w:gridCol w:w="2258"/>
        <w:gridCol w:w="7541"/>
      </w:tblGrid>
      <w:tr w:rsidR="00CD6417" w:rsidRPr="00E52513" w14:paraId="0B7D09A5" w14:textId="77777777" w:rsidTr="00841B5E">
        <w:trPr>
          <w:cnfStyle w:val="100000000000" w:firstRow="1" w:lastRow="0" w:firstColumn="0" w:lastColumn="0" w:oddVBand="0" w:evenVBand="0" w:oddHBand="0" w:evenHBand="0" w:firstRowFirstColumn="0" w:firstRowLastColumn="0" w:lastRowFirstColumn="0" w:lastRowLastColumn="0"/>
          <w:trHeight w:val="175"/>
          <w:tblHeader/>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single" w:sz="4" w:space="0" w:color="F79646" w:themeColor="accent6"/>
            </w:tcBorders>
          </w:tcPr>
          <w:p w14:paraId="38DBEE10" w14:textId="77777777" w:rsidR="00CD6417" w:rsidRPr="00E52513" w:rsidRDefault="00CD6417" w:rsidP="00C26F3F">
            <w:pPr>
              <w:autoSpaceDE w:val="0"/>
              <w:autoSpaceDN w:val="0"/>
              <w:adjustRightInd w:val="0"/>
              <w:spacing w:before="120" w:after="120"/>
              <w:rPr>
                <w:rFonts w:cs="Segoe UI"/>
                <w:b w:val="0"/>
                <w:bCs w:val="0"/>
                <w:sz w:val="24"/>
                <w:szCs w:val="24"/>
              </w:rPr>
            </w:pPr>
            <w:r w:rsidRPr="00E52513">
              <w:rPr>
                <w:rFonts w:cs="Segoe UI"/>
                <w:color w:val="auto"/>
                <w:sz w:val="24"/>
                <w:szCs w:val="24"/>
              </w:rPr>
              <w:t>NICRS PROGRAM ACTIVITY</w:t>
            </w:r>
          </w:p>
        </w:tc>
        <w:tc>
          <w:tcPr>
            <w:tcW w:w="7541" w:type="dxa"/>
            <w:tcBorders>
              <w:left w:val="single" w:sz="4" w:space="0" w:color="F79646" w:themeColor="accent6"/>
            </w:tcBorders>
          </w:tcPr>
          <w:p w14:paraId="7C8B6A61" w14:textId="4C036238" w:rsidR="00CD6417" w:rsidRPr="00E52513" w:rsidRDefault="00CD6417" w:rsidP="00C26F3F">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cs="Segoe UI"/>
                <w:sz w:val="24"/>
                <w:szCs w:val="24"/>
              </w:rPr>
            </w:pPr>
          </w:p>
        </w:tc>
      </w:tr>
      <w:tr w:rsidR="006072F3" w:rsidRPr="00E52513" w14:paraId="19D0A1D6" w14:textId="77777777" w:rsidTr="00CD6417">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58" w:type="dxa"/>
          </w:tcPr>
          <w:p w14:paraId="56E7C2E6" w14:textId="77777777" w:rsidR="006072F3" w:rsidRPr="00DE6F9E" w:rsidRDefault="006072F3" w:rsidP="00C26F3F">
            <w:pPr>
              <w:autoSpaceDE w:val="0"/>
              <w:autoSpaceDN w:val="0"/>
              <w:adjustRightInd w:val="0"/>
              <w:spacing w:before="120" w:after="120"/>
              <w:rPr>
                <w:rFonts w:cs="Segoe UI"/>
                <w:sz w:val="20"/>
              </w:rPr>
            </w:pPr>
            <w:r w:rsidRPr="00DE6F9E">
              <w:rPr>
                <w:rFonts w:cs="Segoe UI"/>
                <w:color w:val="auto"/>
                <w:sz w:val="20"/>
              </w:rPr>
              <w:t xml:space="preserve">Number of service responses </w:t>
            </w:r>
          </w:p>
        </w:tc>
        <w:tc>
          <w:tcPr>
            <w:tcW w:w="7541" w:type="dxa"/>
          </w:tcPr>
          <w:p w14:paraId="142CE818" w14:textId="02146072" w:rsidR="006072F3" w:rsidRPr="00DE6F9E" w:rsidRDefault="006072F3" w:rsidP="00C26F3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Segoe UI"/>
                <w:color w:val="000000"/>
                <w:sz w:val="20"/>
              </w:rPr>
            </w:pPr>
            <w:r w:rsidRPr="00DE6F9E">
              <w:rPr>
                <w:rFonts w:cs="Segoe UI"/>
                <w:color w:val="000000"/>
                <w:sz w:val="20"/>
              </w:rPr>
              <w:t>Between commencement of the service and the last date of a reported incident in the O</w:t>
            </w:r>
            <w:r w:rsidR="002A1FC7">
              <w:rPr>
                <w:rFonts w:cs="Segoe UI"/>
                <w:color w:val="000000"/>
                <w:sz w:val="20"/>
              </w:rPr>
              <w:t>nline Reporting System (O</w:t>
            </w:r>
            <w:r w:rsidRPr="00DE6F9E">
              <w:rPr>
                <w:rFonts w:cs="Segoe UI"/>
                <w:color w:val="000000"/>
                <w:sz w:val="20"/>
              </w:rPr>
              <w:t>RS</w:t>
            </w:r>
            <w:r w:rsidR="002A1FC7">
              <w:rPr>
                <w:rFonts w:cs="Segoe UI"/>
                <w:color w:val="000000"/>
                <w:sz w:val="20"/>
              </w:rPr>
              <w:t>)</w:t>
            </w:r>
            <w:r w:rsidRPr="00DE6F9E">
              <w:rPr>
                <w:rFonts w:cs="Segoe UI"/>
                <w:color w:val="000000"/>
                <w:sz w:val="20"/>
              </w:rPr>
              <w:t xml:space="preserve"> data supplied to the evaluation team (23rd June 2019), there were </w:t>
            </w:r>
            <w:r w:rsidRPr="00DE6F9E">
              <w:rPr>
                <w:rFonts w:cs="Segoe UI"/>
                <w:b/>
                <w:bCs/>
                <w:i/>
                <w:iCs/>
                <w:color w:val="000000"/>
                <w:sz w:val="20"/>
              </w:rPr>
              <w:t>367 incident notifications</w:t>
            </w:r>
            <w:r w:rsidRPr="00DE6F9E">
              <w:rPr>
                <w:rFonts w:cs="Segoe UI"/>
                <w:color w:val="000000"/>
                <w:sz w:val="20"/>
              </w:rPr>
              <w:t>.</w:t>
            </w:r>
            <w:r w:rsidR="00DE6F9E">
              <w:rPr>
                <w:rFonts w:cs="Segoe UI"/>
                <w:color w:val="000000"/>
                <w:sz w:val="20"/>
              </w:rPr>
              <w:t xml:space="preserve"> Of these, 275 incidents</w:t>
            </w:r>
            <w:r w:rsidR="00BB554C">
              <w:rPr>
                <w:rFonts w:cs="Segoe UI"/>
                <w:color w:val="000000"/>
                <w:sz w:val="20"/>
              </w:rPr>
              <w:t xml:space="preserve"> were responded to by the NICRS.</w:t>
            </w:r>
          </w:p>
        </w:tc>
      </w:tr>
      <w:tr w:rsidR="006072F3" w:rsidRPr="00E52513" w14:paraId="207E358F" w14:textId="77777777" w:rsidTr="00CD6417">
        <w:trPr>
          <w:trHeight w:val="627"/>
          <w:jc w:val="center"/>
        </w:trPr>
        <w:tc>
          <w:tcPr>
            <w:cnfStyle w:val="001000000000" w:firstRow="0" w:lastRow="0" w:firstColumn="1" w:lastColumn="0" w:oddVBand="0" w:evenVBand="0" w:oddHBand="0" w:evenHBand="0" w:firstRowFirstColumn="0" w:firstRowLastColumn="0" w:lastRowFirstColumn="0" w:lastRowLastColumn="0"/>
            <w:tcW w:w="2258" w:type="dxa"/>
          </w:tcPr>
          <w:p w14:paraId="73DD3C4C" w14:textId="77777777" w:rsidR="006072F3" w:rsidRPr="00DE6F9E" w:rsidRDefault="006072F3" w:rsidP="00C26F3F">
            <w:pPr>
              <w:autoSpaceDE w:val="0"/>
              <w:autoSpaceDN w:val="0"/>
              <w:adjustRightInd w:val="0"/>
              <w:spacing w:before="120" w:after="120"/>
              <w:rPr>
                <w:rFonts w:cs="Segoe UI"/>
                <w:sz w:val="20"/>
              </w:rPr>
            </w:pPr>
          </w:p>
        </w:tc>
        <w:tc>
          <w:tcPr>
            <w:tcW w:w="7541" w:type="dxa"/>
          </w:tcPr>
          <w:p w14:paraId="095F1A3C" w14:textId="08EEDF15" w:rsidR="006072F3" w:rsidRPr="00DE6F9E" w:rsidRDefault="006072F3" w:rsidP="00C26F3F">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Segoe UI"/>
                <w:color w:val="000000"/>
                <w:sz w:val="20"/>
              </w:rPr>
            </w:pPr>
            <w:r w:rsidRPr="00DE6F9E">
              <w:rPr>
                <w:rFonts w:cs="Segoe UI"/>
                <w:color w:val="000000"/>
                <w:sz w:val="20"/>
              </w:rPr>
              <w:t xml:space="preserve">NICRS ‘cases’ and ‘clients’ are created </w:t>
            </w:r>
            <w:r w:rsidR="00DE6F9E">
              <w:rPr>
                <w:rFonts w:cs="Segoe UI"/>
                <w:color w:val="000000"/>
                <w:sz w:val="20"/>
              </w:rPr>
              <w:t>after being assessed for</w:t>
            </w:r>
            <w:r w:rsidRPr="00DE6F9E">
              <w:rPr>
                <w:rFonts w:cs="Segoe UI"/>
                <w:color w:val="000000"/>
                <w:sz w:val="20"/>
              </w:rPr>
              <w:t xml:space="preserve"> when a service </w:t>
            </w:r>
            <w:r w:rsidR="00DE6F9E">
              <w:rPr>
                <w:rFonts w:cs="Segoe UI"/>
                <w:color w:val="000000"/>
                <w:sz w:val="20"/>
              </w:rPr>
              <w:t>should be provided</w:t>
            </w:r>
            <w:r w:rsidRPr="00DE6F9E">
              <w:rPr>
                <w:rFonts w:cs="Segoe UI"/>
                <w:color w:val="000000"/>
                <w:sz w:val="20"/>
              </w:rPr>
              <w:t>.</w:t>
            </w:r>
            <w:r w:rsidR="00DE6F9E">
              <w:rPr>
                <w:rFonts w:cs="Segoe UI"/>
                <w:color w:val="000000"/>
                <w:sz w:val="20"/>
              </w:rPr>
              <w:t xml:space="preserve"> </w:t>
            </w:r>
            <w:r w:rsidRPr="00DE6F9E">
              <w:rPr>
                <w:rFonts w:cs="Segoe UI"/>
                <w:color w:val="000000"/>
                <w:sz w:val="20"/>
              </w:rPr>
              <w:t xml:space="preserve">A </w:t>
            </w:r>
            <w:r w:rsidRPr="00DE6F9E">
              <w:rPr>
                <w:rFonts w:cs="Segoe UI"/>
                <w:b/>
                <w:bCs/>
                <w:i/>
                <w:iCs/>
                <w:color w:val="000000"/>
                <w:sz w:val="20"/>
              </w:rPr>
              <w:t xml:space="preserve">total of 1,001 family members </w:t>
            </w:r>
            <w:r w:rsidR="00DE6F9E">
              <w:rPr>
                <w:rFonts w:cs="Segoe UI"/>
                <w:color w:val="000000"/>
                <w:sz w:val="20"/>
              </w:rPr>
              <w:t>had</w:t>
            </w:r>
            <w:r w:rsidRPr="00DE6F9E">
              <w:rPr>
                <w:rFonts w:cs="Segoe UI"/>
                <w:color w:val="000000"/>
                <w:sz w:val="20"/>
              </w:rPr>
              <w:t xml:space="preserve"> been assisted in conjunction with all</w:t>
            </w:r>
            <w:r w:rsidR="00DE6F9E">
              <w:rPr>
                <w:rFonts w:cs="Segoe UI"/>
                <w:color w:val="000000"/>
                <w:sz w:val="20"/>
              </w:rPr>
              <w:t xml:space="preserve"> </w:t>
            </w:r>
            <w:r w:rsidRPr="00DE6F9E">
              <w:rPr>
                <w:rFonts w:cs="Segoe UI"/>
                <w:color w:val="000000"/>
                <w:sz w:val="20"/>
              </w:rPr>
              <w:t>recorded cases to June 2019</w:t>
            </w:r>
            <w:r w:rsidR="00DE6F9E">
              <w:rPr>
                <w:rFonts w:cs="Segoe UI"/>
                <w:color w:val="000000"/>
                <w:sz w:val="20"/>
              </w:rPr>
              <w:t xml:space="preserve"> where support was provided by NICRS.</w:t>
            </w:r>
          </w:p>
        </w:tc>
      </w:tr>
      <w:tr w:rsidR="006072F3" w:rsidRPr="00E52513" w14:paraId="03A10D72" w14:textId="77777777" w:rsidTr="00CD6417">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58" w:type="dxa"/>
          </w:tcPr>
          <w:p w14:paraId="24D9668C" w14:textId="77777777" w:rsidR="006072F3" w:rsidRPr="00DE6F9E" w:rsidRDefault="006072F3" w:rsidP="00C26F3F">
            <w:pPr>
              <w:autoSpaceDE w:val="0"/>
              <w:autoSpaceDN w:val="0"/>
              <w:adjustRightInd w:val="0"/>
              <w:spacing w:before="120" w:after="120"/>
              <w:rPr>
                <w:rFonts w:cs="Segoe UI"/>
                <w:sz w:val="20"/>
              </w:rPr>
            </w:pPr>
            <w:r w:rsidRPr="00DE6F9E">
              <w:rPr>
                <w:rFonts w:cs="Segoe UI"/>
                <w:color w:val="auto"/>
                <w:sz w:val="20"/>
              </w:rPr>
              <w:t xml:space="preserve">Location of service responses </w:t>
            </w:r>
          </w:p>
        </w:tc>
        <w:tc>
          <w:tcPr>
            <w:tcW w:w="7541" w:type="dxa"/>
          </w:tcPr>
          <w:p w14:paraId="433FDA28" w14:textId="77777777" w:rsidR="006072F3" w:rsidRPr="00DE6F9E" w:rsidRDefault="006072F3" w:rsidP="00C26F3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Segoe UI"/>
                <w:color w:val="000000"/>
                <w:sz w:val="20"/>
              </w:rPr>
            </w:pPr>
            <w:r w:rsidRPr="00DE6F9E">
              <w:rPr>
                <w:rFonts w:cs="Segoe UI"/>
                <w:color w:val="000000"/>
                <w:sz w:val="20"/>
              </w:rPr>
              <w:t xml:space="preserve">The largest proportion of total incidents notified (by place of incident) to the NICRS occurred in WA (40.5%, n = 363) followed by NT (26.4%) and QLD (23.1%), with SA (5.0%), NSW (3.0%) and Victoria (1.9%) presenting smaller numbers. </w:t>
            </w:r>
          </w:p>
        </w:tc>
      </w:tr>
      <w:tr w:rsidR="006072F3" w:rsidRPr="00E52513" w14:paraId="3FF27FC5" w14:textId="77777777" w:rsidTr="00CD6417">
        <w:trPr>
          <w:trHeight w:val="922"/>
          <w:jc w:val="center"/>
        </w:trPr>
        <w:tc>
          <w:tcPr>
            <w:cnfStyle w:val="001000000000" w:firstRow="0" w:lastRow="0" w:firstColumn="1" w:lastColumn="0" w:oddVBand="0" w:evenVBand="0" w:oddHBand="0" w:evenHBand="0" w:firstRowFirstColumn="0" w:firstRowLastColumn="0" w:lastRowFirstColumn="0" w:lastRowLastColumn="0"/>
            <w:tcW w:w="2258" w:type="dxa"/>
          </w:tcPr>
          <w:p w14:paraId="548D8AE1" w14:textId="77777777" w:rsidR="006072F3" w:rsidRPr="00DE6F9E" w:rsidRDefault="006072F3" w:rsidP="00C26F3F">
            <w:pPr>
              <w:autoSpaceDE w:val="0"/>
              <w:autoSpaceDN w:val="0"/>
              <w:adjustRightInd w:val="0"/>
              <w:spacing w:before="120" w:after="120"/>
              <w:rPr>
                <w:rFonts w:cs="Segoe UI"/>
                <w:sz w:val="20"/>
              </w:rPr>
            </w:pPr>
            <w:r w:rsidRPr="00DE6F9E">
              <w:rPr>
                <w:rFonts w:cs="Segoe UI"/>
                <w:color w:val="auto"/>
                <w:sz w:val="20"/>
              </w:rPr>
              <w:t xml:space="preserve">Types of incidents responded to / types of support provided </w:t>
            </w:r>
          </w:p>
        </w:tc>
        <w:tc>
          <w:tcPr>
            <w:tcW w:w="7541" w:type="dxa"/>
          </w:tcPr>
          <w:p w14:paraId="5515C9FB" w14:textId="731AF9F9" w:rsidR="006072F3" w:rsidRPr="00DE6F9E" w:rsidRDefault="00DE6F9E" w:rsidP="00C26F3F">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Segoe UI"/>
                <w:color w:val="000000"/>
                <w:sz w:val="20"/>
              </w:rPr>
            </w:pPr>
            <w:r w:rsidRPr="00DE6F9E">
              <w:rPr>
                <w:rFonts w:cs="Segoe UI"/>
                <w:b/>
                <w:bCs/>
                <w:i/>
                <w:iCs/>
                <w:color w:val="000000"/>
                <w:sz w:val="20"/>
              </w:rPr>
              <w:t xml:space="preserve">76% of incidents received a service </w:t>
            </w:r>
            <w:r w:rsidRPr="00DE6F9E">
              <w:rPr>
                <w:rFonts w:cs="Segoe UI"/>
                <w:color w:val="000000"/>
                <w:sz w:val="20"/>
              </w:rPr>
              <w:t>and by definition, had therefore been considered ‘in-scope’ by NICRS staff.</w:t>
            </w:r>
            <w:r w:rsidR="006072F3" w:rsidRPr="00DE6F9E">
              <w:rPr>
                <w:rFonts w:cs="Segoe UI"/>
                <w:color w:val="000000"/>
                <w:sz w:val="20"/>
              </w:rPr>
              <w:t xml:space="preserve"> </w:t>
            </w:r>
          </w:p>
        </w:tc>
      </w:tr>
      <w:tr w:rsidR="006072F3" w:rsidRPr="00E52513" w14:paraId="2CA801DB" w14:textId="77777777" w:rsidTr="00CD6417">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2258" w:type="dxa"/>
          </w:tcPr>
          <w:p w14:paraId="551C7D62" w14:textId="77777777" w:rsidR="006072F3" w:rsidRPr="00DE6F9E" w:rsidRDefault="006072F3" w:rsidP="00C26F3F">
            <w:pPr>
              <w:autoSpaceDE w:val="0"/>
              <w:autoSpaceDN w:val="0"/>
              <w:adjustRightInd w:val="0"/>
              <w:spacing w:before="120" w:after="120"/>
              <w:rPr>
                <w:rFonts w:cs="Segoe UI"/>
                <w:b w:val="0"/>
                <w:bCs w:val="0"/>
                <w:sz w:val="20"/>
              </w:rPr>
            </w:pPr>
          </w:p>
        </w:tc>
        <w:tc>
          <w:tcPr>
            <w:tcW w:w="7541" w:type="dxa"/>
          </w:tcPr>
          <w:p w14:paraId="41030A1E" w14:textId="6CF4C548" w:rsidR="006072F3" w:rsidRPr="00DE6F9E" w:rsidRDefault="00DE6F9E" w:rsidP="00C26F3F">
            <w:pPr>
              <w:autoSpaceDE w:val="0"/>
              <w:autoSpaceDN w:val="0"/>
              <w:adjustRightInd w:val="0"/>
              <w:spacing w:before="120" w:after="120"/>
              <w:cnfStyle w:val="000000100000" w:firstRow="0" w:lastRow="0" w:firstColumn="0" w:lastColumn="0" w:oddVBand="0" w:evenVBand="0" w:oddHBand="1" w:evenHBand="0" w:firstRowFirstColumn="0" w:firstRowLastColumn="0" w:lastRowFirstColumn="0" w:lastRowLastColumn="0"/>
              <w:rPr>
                <w:rFonts w:cs="Segoe UI"/>
                <w:b/>
                <w:bCs/>
                <w:i/>
                <w:iCs/>
                <w:color w:val="000000"/>
                <w:sz w:val="20"/>
              </w:rPr>
            </w:pPr>
            <w:r w:rsidRPr="00DE6F9E">
              <w:rPr>
                <w:rFonts w:cs="Segoe UI"/>
                <w:color w:val="000000"/>
                <w:sz w:val="20"/>
              </w:rPr>
              <w:t>Suicides represent approximately 60% of all NICRS incidents</w:t>
            </w:r>
            <w:r>
              <w:rPr>
                <w:rFonts w:cs="Segoe UI"/>
                <w:color w:val="000000"/>
                <w:sz w:val="20"/>
              </w:rPr>
              <w:t>. I</w:t>
            </w:r>
            <w:r w:rsidRPr="00DE6F9E">
              <w:rPr>
                <w:rFonts w:cs="Segoe UI"/>
                <w:color w:val="000000"/>
                <w:sz w:val="20"/>
              </w:rPr>
              <w:t>ncidents of completed suicide were those most likely to</w:t>
            </w:r>
            <w:r>
              <w:rPr>
                <w:rFonts w:cs="Segoe UI"/>
                <w:color w:val="000000"/>
                <w:sz w:val="20"/>
              </w:rPr>
              <w:t xml:space="preserve"> receive MICRS support</w:t>
            </w:r>
            <w:r w:rsidRPr="00DE6F9E">
              <w:rPr>
                <w:rFonts w:cs="Segoe UI"/>
                <w:color w:val="000000"/>
                <w:sz w:val="20"/>
              </w:rPr>
              <w:t xml:space="preserve"> (i.e. in nine out of every 10 cases)</w:t>
            </w:r>
            <w:r>
              <w:rPr>
                <w:rFonts w:cs="Segoe UI"/>
                <w:color w:val="000000"/>
                <w:sz w:val="20"/>
              </w:rPr>
              <w:t>;</w:t>
            </w:r>
            <w:r w:rsidRPr="00DE6F9E">
              <w:rPr>
                <w:rFonts w:cs="Segoe UI"/>
                <w:color w:val="000000"/>
                <w:sz w:val="20"/>
              </w:rPr>
              <w:t xml:space="preserve"> other types of incident</w:t>
            </w:r>
            <w:r>
              <w:rPr>
                <w:rFonts w:cs="Segoe UI"/>
                <w:color w:val="000000"/>
                <w:sz w:val="20"/>
              </w:rPr>
              <w:t>s</w:t>
            </w:r>
            <w:r w:rsidRPr="00DE6F9E">
              <w:rPr>
                <w:rFonts w:cs="Segoe UI"/>
                <w:color w:val="000000"/>
                <w:sz w:val="20"/>
              </w:rPr>
              <w:t xml:space="preserve"> were slightly less likely to receive assistance.</w:t>
            </w:r>
          </w:p>
        </w:tc>
      </w:tr>
      <w:tr w:rsidR="006072F3" w:rsidRPr="00E52513" w14:paraId="30718C8E" w14:textId="77777777" w:rsidTr="00CD6417">
        <w:trPr>
          <w:trHeight w:val="922"/>
          <w:jc w:val="center"/>
        </w:trPr>
        <w:tc>
          <w:tcPr>
            <w:cnfStyle w:val="001000000000" w:firstRow="0" w:lastRow="0" w:firstColumn="1" w:lastColumn="0" w:oddVBand="0" w:evenVBand="0" w:oddHBand="0" w:evenHBand="0" w:firstRowFirstColumn="0" w:firstRowLastColumn="0" w:lastRowFirstColumn="0" w:lastRowLastColumn="0"/>
            <w:tcW w:w="2258" w:type="dxa"/>
          </w:tcPr>
          <w:p w14:paraId="445C0A0C" w14:textId="77777777" w:rsidR="006072F3" w:rsidRPr="00DE6F9E" w:rsidRDefault="006072F3" w:rsidP="00C26F3F">
            <w:pPr>
              <w:autoSpaceDE w:val="0"/>
              <w:autoSpaceDN w:val="0"/>
              <w:adjustRightInd w:val="0"/>
              <w:spacing w:before="120" w:after="120"/>
              <w:rPr>
                <w:rFonts w:cs="Segoe UI"/>
                <w:b w:val="0"/>
                <w:bCs w:val="0"/>
                <w:sz w:val="20"/>
              </w:rPr>
            </w:pPr>
          </w:p>
        </w:tc>
        <w:tc>
          <w:tcPr>
            <w:tcW w:w="7541" w:type="dxa"/>
          </w:tcPr>
          <w:p w14:paraId="19FA3FE2" w14:textId="62C4B5C7" w:rsidR="006072F3" w:rsidRPr="00DE6F9E" w:rsidRDefault="006072F3" w:rsidP="00C26F3F">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Segoe UI"/>
                <w:color w:val="000000"/>
                <w:sz w:val="20"/>
              </w:rPr>
            </w:pPr>
            <w:r w:rsidRPr="00DE6F9E">
              <w:rPr>
                <w:rFonts w:cs="Segoe UI"/>
                <w:color w:val="000000"/>
                <w:sz w:val="20"/>
              </w:rPr>
              <w:t>Where a service was provided, the most common type of intervention was an Emergency Relief Fund (ERF) payment (82.8%) followed by a referral (56.9%) and accidental counselling (22.1%).</w:t>
            </w:r>
          </w:p>
        </w:tc>
      </w:tr>
      <w:tr w:rsidR="006072F3" w:rsidRPr="00E52513" w14:paraId="10D86361" w14:textId="77777777" w:rsidTr="00CD6417">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258" w:type="dxa"/>
          </w:tcPr>
          <w:p w14:paraId="0F29FA0E" w14:textId="77777777" w:rsidR="006072F3" w:rsidRPr="00DE6F9E" w:rsidRDefault="006072F3" w:rsidP="00C26F3F">
            <w:pPr>
              <w:autoSpaceDE w:val="0"/>
              <w:autoSpaceDN w:val="0"/>
              <w:adjustRightInd w:val="0"/>
              <w:spacing w:before="120" w:after="120"/>
              <w:rPr>
                <w:rFonts w:cs="Segoe UI"/>
                <w:sz w:val="20"/>
              </w:rPr>
            </w:pPr>
            <w:r w:rsidRPr="00DE6F9E">
              <w:rPr>
                <w:rFonts w:cs="Segoe UI"/>
                <w:color w:val="auto"/>
                <w:sz w:val="20"/>
              </w:rPr>
              <w:t xml:space="preserve">Requests for services </w:t>
            </w:r>
          </w:p>
        </w:tc>
        <w:tc>
          <w:tcPr>
            <w:tcW w:w="7541" w:type="dxa"/>
          </w:tcPr>
          <w:p w14:paraId="586AB617" w14:textId="43293DE9" w:rsidR="006072F3" w:rsidRPr="00DE6F9E" w:rsidRDefault="006072F3" w:rsidP="00C26F3F">
            <w:pPr>
              <w:spacing w:before="120" w:after="120"/>
              <w:cnfStyle w:val="000000100000" w:firstRow="0" w:lastRow="0" w:firstColumn="0" w:lastColumn="0" w:oddVBand="0" w:evenVBand="0" w:oddHBand="1" w:evenHBand="0" w:firstRowFirstColumn="0" w:firstRowLastColumn="0" w:lastRowFirstColumn="0" w:lastRowLastColumn="0"/>
              <w:rPr>
                <w:sz w:val="20"/>
              </w:rPr>
            </w:pPr>
            <w:r w:rsidRPr="00DE6F9E">
              <w:rPr>
                <w:sz w:val="20"/>
              </w:rPr>
              <w:t xml:space="preserve">The most </w:t>
            </w:r>
            <w:r w:rsidR="00DE6F9E">
              <w:rPr>
                <w:sz w:val="20"/>
              </w:rPr>
              <w:t xml:space="preserve">common </w:t>
            </w:r>
            <w:r w:rsidRPr="00DE6F9E">
              <w:rPr>
                <w:sz w:val="20"/>
              </w:rPr>
              <w:t>source</w:t>
            </w:r>
            <w:r w:rsidR="00DE6F9E">
              <w:rPr>
                <w:sz w:val="20"/>
              </w:rPr>
              <w:t>s</w:t>
            </w:r>
            <w:r w:rsidRPr="00DE6F9E">
              <w:rPr>
                <w:sz w:val="20"/>
              </w:rPr>
              <w:t xml:space="preserve"> of request for assistance was the family (63%), service providers (39%) and community members (15%). </w:t>
            </w:r>
          </w:p>
        </w:tc>
      </w:tr>
      <w:tr w:rsidR="006072F3" w:rsidRPr="00E52513" w14:paraId="7073DC1F" w14:textId="77777777" w:rsidTr="00CD6417">
        <w:trPr>
          <w:trHeight w:val="774"/>
          <w:jc w:val="center"/>
        </w:trPr>
        <w:tc>
          <w:tcPr>
            <w:cnfStyle w:val="001000000000" w:firstRow="0" w:lastRow="0" w:firstColumn="1" w:lastColumn="0" w:oddVBand="0" w:evenVBand="0" w:oddHBand="0" w:evenHBand="0" w:firstRowFirstColumn="0" w:firstRowLastColumn="0" w:lastRowFirstColumn="0" w:lastRowLastColumn="0"/>
            <w:tcW w:w="2258" w:type="dxa"/>
          </w:tcPr>
          <w:p w14:paraId="58693D9A" w14:textId="77777777" w:rsidR="006072F3" w:rsidRPr="00DE6F9E" w:rsidRDefault="006072F3" w:rsidP="00C26F3F">
            <w:pPr>
              <w:autoSpaceDE w:val="0"/>
              <w:autoSpaceDN w:val="0"/>
              <w:adjustRightInd w:val="0"/>
              <w:spacing w:before="120" w:after="120"/>
              <w:rPr>
                <w:rFonts w:cs="Segoe UI"/>
                <w:sz w:val="20"/>
              </w:rPr>
            </w:pPr>
            <w:r w:rsidRPr="00DE6F9E">
              <w:rPr>
                <w:rFonts w:cs="Segoe UI"/>
                <w:color w:val="auto"/>
                <w:sz w:val="20"/>
              </w:rPr>
              <w:t xml:space="preserve">Nature of service delivery </w:t>
            </w:r>
          </w:p>
        </w:tc>
        <w:tc>
          <w:tcPr>
            <w:tcW w:w="7541" w:type="dxa"/>
          </w:tcPr>
          <w:p w14:paraId="586D3415" w14:textId="3E08CC8A" w:rsidR="006072F3" w:rsidRPr="00DE6F9E" w:rsidRDefault="006072F3" w:rsidP="00C26F3F">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cs="Segoe UI"/>
                <w:color w:val="000000"/>
                <w:sz w:val="20"/>
              </w:rPr>
            </w:pPr>
            <w:r w:rsidRPr="00DE6F9E">
              <w:rPr>
                <w:rFonts w:cs="Segoe UI"/>
                <w:color w:val="000000"/>
                <w:sz w:val="20"/>
              </w:rPr>
              <w:t xml:space="preserve">Of the 275 incidents </w:t>
            </w:r>
            <w:r w:rsidR="00BB554C">
              <w:rPr>
                <w:rFonts w:cs="Segoe UI"/>
                <w:color w:val="000000"/>
                <w:sz w:val="20"/>
              </w:rPr>
              <w:t xml:space="preserve">that received </w:t>
            </w:r>
            <w:r w:rsidRPr="00DE6F9E">
              <w:rPr>
                <w:rFonts w:cs="Segoe UI"/>
                <w:color w:val="000000"/>
                <w:sz w:val="20"/>
              </w:rPr>
              <w:t>assistance (</w:t>
            </w:r>
            <w:r w:rsidR="00BB554C">
              <w:rPr>
                <w:rFonts w:cs="Segoe UI"/>
                <w:color w:val="000000"/>
                <w:sz w:val="20"/>
              </w:rPr>
              <w:t>up to</w:t>
            </w:r>
            <w:r w:rsidRPr="00DE6F9E">
              <w:rPr>
                <w:rFonts w:cs="Segoe UI"/>
                <w:color w:val="000000"/>
                <w:sz w:val="20"/>
              </w:rPr>
              <w:t xml:space="preserve"> June 2019), </w:t>
            </w:r>
            <w:r w:rsidRPr="00DE6F9E">
              <w:rPr>
                <w:rFonts w:cs="Segoe UI"/>
                <w:b/>
                <w:bCs/>
                <w:i/>
                <w:iCs/>
                <w:color w:val="000000"/>
                <w:sz w:val="20"/>
              </w:rPr>
              <w:t>169 (61%) cases were responded to at least partially via face to face contact</w:t>
            </w:r>
            <w:r w:rsidR="00BB554C">
              <w:rPr>
                <w:rFonts w:cs="Segoe UI"/>
                <w:color w:val="000000"/>
                <w:sz w:val="20"/>
              </w:rPr>
              <w:t xml:space="preserve"> and m</w:t>
            </w:r>
            <w:r w:rsidRPr="00DE6F9E">
              <w:rPr>
                <w:rFonts w:cs="Segoe UI"/>
                <w:color w:val="000000"/>
                <w:sz w:val="20"/>
              </w:rPr>
              <w:t>ost</w:t>
            </w:r>
            <w:r w:rsidR="00BB554C">
              <w:rPr>
                <w:rFonts w:cs="Segoe UI"/>
                <w:color w:val="000000"/>
                <w:sz w:val="20"/>
              </w:rPr>
              <w:t xml:space="preserve"> were </w:t>
            </w:r>
            <w:r w:rsidRPr="00DE6F9E">
              <w:rPr>
                <w:rFonts w:cs="Segoe UI"/>
                <w:color w:val="000000"/>
                <w:sz w:val="20"/>
              </w:rPr>
              <w:t xml:space="preserve">supplemented by telephone contact. </w:t>
            </w:r>
            <w:r w:rsidRPr="00DE6F9E">
              <w:rPr>
                <w:rFonts w:cs="Segoe UI"/>
                <w:b/>
                <w:bCs/>
                <w:i/>
                <w:iCs/>
                <w:color w:val="000000"/>
                <w:sz w:val="20"/>
              </w:rPr>
              <w:t>96 (35%) of contacts were made only by telephone</w:t>
            </w:r>
            <w:r w:rsidRPr="00DE6F9E">
              <w:rPr>
                <w:rFonts w:cs="Segoe UI"/>
                <w:color w:val="000000"/>
                <w:sz w:val="20"/>
              </w:rPr>
              <w:t xml:space="preserve">, with 4% involving ‘other’ contact. </w:t>
            </w:r>
          </w:p>
        </w:tc>
      </w:tr>
    </w:tbl>
    <w:p w14:paraId="27D090F1" w14:textId="77777777" w:rsidR="006072F3" w:rsidRPr="00E52513" w:rsidRDefault="006072F3" w:rsidP="00054B25">
      <w:pPr>
        <w:pStyle w:val="Heading20"/>
        <w:outlineLvl w:val="1"/>
      </w:pPr>
      <w:r w:rsidRPr="00E52513">
        <w:lastRenderedPageBreak/>
        <w:t>Relevance of the service</w:t>
      </w:r>
    </w:p>
    <w:p w14:paraId="075534D0" w14:textId="77777777" w:rsidR="006072F3" w:rsidRPr="00E52513" w:rsidRDefault="006072F3" w:rsidP="006072F3">
      <w:pPr>
        <w:spacing w:after="120"/>
      </w:pPr>
      <w:r w:rsidRPr="00E52513">
        <w:t xml:space="preserve">Clients, other stakeholders and CRSAs reported that the </w:t>
      </w:r>
      <w:r w:rsidRPr="00E52513">
        <w:rPr>
          <w:b/>
        </w:rPr>
        <w:t>scope</w:t>
      </w:r>
      <w:r w:rsidRPr="00E52513">
        <w:t xml:space="preserve"> and </w:t>
      </w:r>
      <w:r w:rsidRPr="00E52513">
        <w:rPr>
          <w:b/>
        </w:rPr>
        <w:t>application</w:t>
      </w:r>
      <w:r w:rsidRPr="00E52513">
        <w:t xml:space="preserve"> of NICRS services were </w:t>
      </w:r>
      <w:r w:rsidRPr="00E52513">
        <w:rPr>
          <w:b/>
        </w:rPr>
        <w:t>not yet clear enough</w:t>
      </w:r>
      <w:r w:rsidRPr="00E52513">
        <w:t xml:space="preserve"> – more explicit information and guidance was needed, including better elaboration and data collection around its</w:t>
      </w:r>
      <w:r w:rsidRPr="00E52513">
        <w:rPr>
          <w:b/>
        </w:rPr>
        <w:t xml:space="preserve"> </w:t>
      </w:r>
      <w:r w:rsidRPr="00E52513">
        <w:t xml:space="preserve">culture-based approach.  Many service providers and community representatives were not supportive of the ‘fly in, fly out’ service model for a region and strongly believed there was a need for a stronger emphasis on a </w:t>
      </w:r>
      <w:r w:rsidRPr="00E52513">
        <w:rPr>
          <w:b/>
        </w:rPr>
        <w:t>‘place-based’ approach</w:t>
      </w:r>
      <w:r w:rsidRPr="00E52513">
        <w:t xml:space="preserve"> - to ensure that the service is well connected with local services and networks and has a good understanding of the context and needs of the local community. A more </w:t>
      </w:r>
      <w:r w:rsidRPr="00E52513">
        <w:rPr>
          <w:bCs/>
        </w:rPr>
        <w:t>open, transparent and better documented service planning approach would help the proc</w:t>
      </w:r>
      <w:r w:rsidRPr="00E52513">
        <w:t>ess of co-design and engagement with clients, communities and local service networks, contribute to the creation of national suicide prevention resource mapping, and enable review and quality improvement.</w:t>
      </w:r>
    </w:p>
    <w:p w14:paraId="70E3D981" w14:textId="77777777" w:rsidR="006072F3" w:rsidRPr="00E52513" w:rsidRDefault="006072F3" w:rsidP="00054B25">
      <w:pPr>
        <w:pStyle w:val="Heading20"/>
        <w:outlineLvl w:val="1"/>
      </w:pPr>
      <w:r w:rsidRPr="00E52513">
        <w:t>Service reach</w:t>
      </w:r>
    </w:p>
    <w:p w14:paraId="701C0E57" w14:textId="3B98442D" w:rsidR="006072F3" w:rsidRDefault="006072F3" w:rsidP="006072F3">
      <w:pPr>
        <w:spacing w:after="120"/>
      </w:pPr>
      <w:r w:rsidRPr="00E52513">
        <w:t xml:space="preserve">Rollout of the NICRS was </w:t>
      </w:r>
      <w:r w:rsidRPr="00E52513">
        <w:rPr>
          <w:b/>
        </w:rPr>
        <w:t>not achieved to all states and territories</w:t>
      </w:r>
      <w:r w:rsidRPr="00E52513">
        <w:t xml:space="preserve"> (nor coverage of all priority areas within jurisdictions) within the initial three years as anticipated.  This appears to have been an overly ambitious target which did not account for the intensity of effort that is required to achieve effective engagement in </w:t>
      </w:r>
      <w:r w:rsidR="00DD59B4" w:rsidRPr="00E52513">
        <w:t>many</w:t>
      </w:r>
      <w:r w:rsidRPr="00E52513">
        <w:t xml:space="preserve"> communities.  </w:t>
      </w:r>
    </w:p>
    <w:p w14:paraId="5B7C3808" w14:textId="635A92BC" w:rsidR="00CE5D97" w:rsidRPr="00E52513" w:rsidRDefault="00375009" w:rsidP="001A2D74">
      <w:pPr>
        <w:spacing w:after="120"/>
        <w:jc w:val="center"/>
      </w:pPr>
      <w:r>
        <w:rPr>
          <w:noProof/>
          <w:lang w:eastAsia="en-AU"/>
        </w:rPr>
        <w:drawing>
          <wp:inline distT="0" distB="0" distL="0" distR="0" wp14:anchorId="24BC1BD4" wp14:editId="61E153A5">
            <wp:extent cx="5582908" cy="4762831"/>
            <wp:effectExtent l="0" t="0" r="0" b="0"/>
            <wp:docPr id="2" name="Picture 2" descr="Diagram - Map of Australia &#10;&#10;NICRS service delivery locations - Cairns, Brisbane, Melbourne, Adelaide, Perth, Kimberley, Darwin (Standby). Top estimated very major hotspots - Darwin, Kimberley, Central Australia, Brisbane, Perth; top estimated major hotspots - Arnhem Land, Cairns, Townsville, Mt Isa, Sydney, Adelaide, Gascoigne-Murchison, Pilbara" title="Figure 1: NICRS service delivery locations vs suicide 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PNG"/>
                    <pic:cNvPicPr/>
                  </pic:nvPicPr>
                  <pic:blipFill rotWithShape="1">
                    <a:blip r:embed="rId13">
                      <a:extLst>
                        <a:ext uri="{28A0092B-C50C-407E-A947-70E740481C1C}">
                          <a14:useLocalDpi xmlns:a14="http://schemas.microsoft.com/office/drawing/2010/main" val="0"/>
                        </a:ext>
                      </a:extLst>
                    </a:blip>
                    <a:srcRect t="6290" b="6702"/>
                    <a:stretch/>
                  </pic:blipFill>
                  <pic:spPr bwMode="auto">
                    <a:xfrm>
                      <a:off x="0" y="0"/>
                      <a:ext cx="5597782" cy="4775520"/>
                    </a:xfrm>
                    <a:prstGeom prst="rect">
                      <a:avLst/>
                    </a:prstGeom>
                    <a:ln>
                      <a:noFill/>
                    </a:ln>
                    <a:extLst>
                      <a:ext uri="{53640926-AAD7-44D8-BBD7-CCE9431645EC}">
                        <a14:shadowObscured xmlns:a14="http://schemas.microsoft.com/office/drawing/2010/main"/>
                      </a:ext>
                    </a:extLst>
                  </pic:spPr>
                </pic:pic>
              </a:graphicData>
            </a:graphic>
          </wp:inline>
        </w:drawing>
      </w:r>
    </w:p>
    <w:p w14:paraId="032A548C" w14:textId="766B9D32" w:rsidR="00DB2BEB" w:rsidRDefault="00DB2BEB" w:rsidP="006072F3">
      <w:pPr>
        <w:spacing w:after="120"/>
        <w:rPr>
          <w:rFonts w:cs="Segoe UI"/>
          <w:color w:val="000000"/>
          <w:szCs w:val="22"/>
        </w:rPr>
      </w:pPr>
    </w:p>
    <w:p w14:paraId="7F5F0FC5" w14:textId="2B1296A7" w:rsidR="006072F3" w:rsidRPr="00E52513" w:rsidRDefault="006072F3" w:rsidP="006072F3">
      <w:pPr>
        <w:spacing w:after="120"/>
        <w:rPr>
          <w:rFonts w:cs="Segoe UI"/>
          <w:color w:val="000000"/>
          <w:szCs w:val="22"/>
        </w:rPr>
      </w:pPr>
      <w:r w:rsidRPr="00E52513">
        <w:rPr>
          <w:rFonts w:cs="Segoe UI"/>
          <w:color w:val="000000"/>
          <w:szCs w:val="22"/>
        </w:rPr>
        <w:lastRenderedPageBreak/>
        <w:t xml:space="preserve">Measurement of the program’s reach against national coronial data suggested that </w:t>
      </w:r>
      <w:r w:rsidRPr="00E52513">
        <w:rPr>
          <w:rFonts w:cs="Segoe UI"/>
          <w:iCs/>
          <w:color w:val="000000"/>
          <w:szCs w:val="22"/>
        </w:rPr>
        <w:t xml:space="preserve">NT and WA have achieved significant reach </w:t>
      </w:r>
      <w:r w:rsidRPr="00E52513">
        <w:rPr>
          <w:rFonts w:cs="Segoe UI"/>
          <w:color w:val="000000"/>
          <w:szCs w:val="22"/>
        </w:rPr>
        <w:t xml:space="preserve">while </w:t>
      </w:r>
      <w:r w:rsidRPr="00E52513">
        <w:rPr>
          <w:rFonts w:cs="Segoe UI"/>
          <w:iCs/>
          <w:color w:val="000000"/>
          <w:szCs w:val="22"/>
        </w:rPr>
        <w:t>QLD and SA</w:t>
      </w:r>
      <w:r w:rsidRPr="00E52513">
        <w:rPr>
          <w:rFonts w:cs="Segoe UI"/>
          <w:color w:val="000000"/>
          <w:szCs w:val="22"/>
        </w:rPr>
        <w:t xml:space="preserve"> </w:t>
      </w:r>
      <w:r w:rsidRPr="00E52513">
        <w:rPr>
          <w:rFonts w:cs="Segoe UI"/>
          <w:iCs/>
          <w:color w:val="000000"/>
          <w:szCs w:val="22"/>
        </w:rPr>
        <w:t>had much lower levels of reach</w:t>
      </w:r>
      <w:r w:rsidRPr="00E52513">
        <w:rPr>
          <w:rFonts w:cs="Segoe UI"/>
          <w:bCs/>
          <w:iCs/>
          <w:color w:val="000000"/>
          <w:szCs w:val="22"/>
        </w:rPr>
        <w:t>.</w:t>
      </w:r>
      <w:r w:rsidRPr="00E52513">
        <w:rPr>
          <w:rFonts w:cs="Segoe UI"/>
          <w:b/>
          <w:bCs/>
          <w:i/>
          <w:iCs/>
          <w:color w:val="000000"/>
          <w:szCs w:val="22"/>
        </w:rPr>
        <w:t xml:space="preserve"> </w:t>
      </w:r>
    </w:p>
    <w:p w14:paraId="7CECF59E" w14:textId="77777777" w:rsidR="006072F3" w:rsidRPr="00E52513" w:rsidRDefault="006072F3" w:rsidP="006072F3">
      <w:pPr>
        <w:spacing w:after="120"/>
      </w:pPr>
      <w:r w:rsidRPr="00E52513">
        <w:t>Although some geographic spread</w:t>
      </w:r>
      <w:r w:rsidRPr="00E52513">
        <w:rPr>
          <w:b/>
        </w:rPr>
        <w:t xml:space="preserve"> </w:t>
      </w:r>
      <w:r w:rsidRPr="00E52513">
        <w:t>of CRSAs has been achieved, the network of locations did not fully reflect the regions of Australia that appear to have been most significantly affected by suicide (both historically and more recently – see map below).  Guidance to ensure greater consistency between locations and jurisdictions would assist CRSAs in their assessment and service response processes to incidents.</w:t>
      </w:r>
    </w:p>
    <w:p w14:paraId="08B0B26B" w14:textId="7FF119D5" w:rsidR="006072F3" w:rsidRPr="00E52513" w:rsidRDefault="006072F3" w:rsidP="006072F3">
      <w:pPr>
        <w:spacing w:after="120"/>
      </w:pPr>
      <w:r w:rsidRPr="00E52513">
        <w:t xml:space="preserve">A </w:t>
      </w:r>
      <w:r w:rsidRPr="00E52513">
        <w:rPr>
          <w:bCs/>
        </w:rPr>
        <w:t>more strategic and ‘place-based</w:t>
      </w:r>
      <w:r w:rsidR="00F71AC2">
        <w:rPr>
          <w:bCs/>
        </w:rPr>
        <w:t xml:space="preserve">’ </w:t>
      </w:r>
      <w:r w:rsidRPr="00E52513">
        <w:rPr>
          <w:bCs/>
        </w:rPr>
        <w:t>approach to prioritisation of local presence as well as more effective outreach and engagement strategies involving local communities</w:t>
      </w:r>
      <w:r w:rsidRPr="00E52513">
        <w:t xml:space="preserve"> are needed. </w:t>
      </w:r>
    </w:p>
    <w:p w14:paraId="3BFDD117" w14:textId="7DB9637F" w:rsidR="006072F3" w:rsidRPr="00E52513" w:rsidRDefault="006072F3" w:rsidP="00054B25">
      <w:pPr>
        <w:pStyle w:val="Heading20"/>
        <w:outlineLvl w:val="1"/>
      </w:pPr>
      <w:r w:rsidRPr="00E52513">
        <w:t>Sustainability of the service</w:t>
      </w:r>
    </w:p>
    <w:p w14:paraId="134B20B2" w14:textId="72566270" w:rsidR="006072F3" w:rsidRPr="00E52513" w:rsidRDefault="006072F3" w:rsidP="006072F3">
      <w:r w:rsidRPr="00E52513">
        <w:t xml:space="preserve">The </w:t>
      </w:r>
      <w:r w:rsidRPr="00E52513">
        <w:rPr>
          <w:bCs/>
        </w:rPr>
        <w:t>current dispersed approach</w:t>
      </w:r>
      <w:r w:rsidRPr="00E52513">
        <w:t xml:space="preserve"> of responding to individual incidents in many locations is </w:t>
      </w:r>
      <w:r w:rsidRPr="00E52513">
        <w:rPr>
          <w:b/>
        </w:rPr>
        <w:t>not a sustainable strategy</w:t>
      </w:r>
      <w:r w:rsidRPr="00E52513">
        <w:t xml:space="preserve">.  It was found to be expensive, involved significant time commitments and was perceived as a ‘fly in, fly out’ model of care that did not engage effectively with the local community </w:t>
      </w:r>
      <w:r w:rsidR="002A1FC7">
        <w:t>social and emotional wellbeing (SEWB)</w:t>
      </w:r>
      <w:r w:rsidRPr="00E52513">
        <w:t xml:space="preserve"> networks nor contribute to local capacity-building.</w:t>
      </w:r>
    </w:p>
    <w:p w14:paraId="28025553" w14:textId="4C2AFAEB" w:rsidR="006072F3" w:rsidRPr="00E52513" w:rsidRDefault="006072F3" w:rsidP="006072F3">
      <w:pPr>
        <w:spacing w:after="240"/>
        <w:rPr>
          <w:noProof/>
          <w:lang w:eastAsia="en-AU"/>
        </w:rPr>
      </w:pPr>
      <w:r w:rsidRPr="00E52513">
        <w:t xml:space="preserve">Providing </w:t>
      </w:r>
      <w:r w:rsidRPr="00E52513">
        <w:rPr>
          <w:b/>
        </w:rPr>
        <w:t>effective support and supervision</w:t>
      </w:r>
      <w:r w:rsidRPr="00E52513">
        <w:t xml:space="preserve"> to CRSAs operating in isolation has proven </w:t>
      </w:r>
      <w:r w:rsidRPr="00E52513">
        <w:rPr>
          <w:bCs/>
        </w:rPr>
        <w:t>difficult to achieve.  Solo workers reported that it is often difficult to achieve work/life balance</w:t>
      </w:r>
      <w:r w:rsidRPr="00E52513">
        <w:t xml:space="preserve"> in meeting the support needs of the communities they serve.  Long hours and extensive travel are regularly required, in sometimes potentially unsafe circumstances. The evaluation recommends management practice and service location changes to address these issues and to consolidate a more team-based approach to NICRS service provision.</w:t>
      </w:r>
      <w:r w:rsidRPr="00E52513">
        <w:rPr>
          <w:noProof/>
          <w:lang w:eastAsia="en-AU"/>
        </w:rPr>
        <w:t xml:space="preserve"> </w:t>
      </w:r>
    </w:p>
    <w:p w14:paraId="4F7B1CE2" w14:textId="77777777" w:rsidR="006072F3" w:rsidRPr="00E52513" w:rsidRDefault="006072F3" w:rsidP="00054B25">
      <w:pPr>
        <w:pStyle w:val="Heading20"/>
        <w:outlineLvl w:val="1"/>
      </w:pPr>
      <w:r w:rsidRPr="00E52513">
        <w:t>Efficiency of the service</w:t>
      </w:r>
      <w:r w:rsidRPr="00E52513">
        <w:tab/>
      </w:r>
    </w:p>
    <w:p w14:paraId="0F5D29E4" w14:textId="312ECDE5" w:rsidR="006072F3" w:rsidRDefault="006072F3" w:rsidP="006072F3">
      <w:r w:rsidRPr="00E52513">
        <w:t xml:space="preserve">Consideration of overall expenditure in the program indicates an acceptable ratio of costs across direct, indirect and support-related costs, though support costs may be slightly high. </w:t>
      </w:r>
    </w:p>
    <w:p w14:paraId="6B9D921F" w14:textId="16C3AF2B" w:rsidR="0035113D" w:rsidRPr="00E52513" w:rsidRDefault="0035113D" w:rsidP="001A2D74">
      <w:pPr>
        <w:jc w:val="center"/>
      </w:pPr>
      <w:r>
        <w:rPr>
          <w:noProof/>
          <w:lang w:eastAsia="en-AU"/>
        </w:rPr>
        <w:drawing>
          <wp:inline distT="0" distB="0" distL="0" distR="0" wp14:anchorId="6C23C9ED" wp14:editId="336273F2">
            <wp:extent cx="4038600" cy="3352800"/>
            <wp:effectExtent l="0" t="0" r="0" b="0"/>
            <wp:docPr id="159" name="Picture 159" descr="Chart, pie chart&#10;&#10;NICRS expenditure&#10;&#10;Pie graph - Distribution of total NICRS expenditure in FY2018-19 by type of cost (Source: HMA, 2020&#10;69% Direct costs&#10;21% Indirect costs&#10;10% Support costs" title="Figure 2: Distribution of total NICRS expenditure in FY2018-19 by type of cost (Source: HM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hart, pie chart&#10;&#10;NICRS expenditure&#10;&#10;Pie graph - Distribution of total NICRS expenditure in FY2018-19 by type of cost (Source: HMA, 2020&#10;69% Direct costs&#10;21% Indirect costs&#10;10% Support costs"/>
                    <pic:cNvPicPr/>
                  </pic:nvPicPr>
                  <pic:blipFill>
                    <a:blip r:embed="rId14">
                      <a:extLst>
                        <a:ext uri="{28A0092B-C50C-407E-A947-70E740481C1C}">
                          <a14:useLocalDpi xmlns:a14="http://schemas.microsoft.com/office/drawing/2010/main" val="0"/>
                        </a:ext>
                      </a:extLst>
                    </a:blip>
                    <a:stretch>
                      <a:fillRect/>
                    </a:stretch>
                  </pic:blipFill>
                  <pic:spPr>
                    <a:xfrm>
                      <a:off x="0" y="0"/>
                      <a:ext cx="4038600" cy="3352800"/>
                    </a:xfrm>
                    <a:prstGeom prst="rect">
                      <a:avLst/>
                    </a:prstGeom>
                  </pic:spPr>
                </pic:pic>
              </a:graphicData>
            </a:graphic>
          </wp:inline>
        </w:drawing>
      </w:r>
    </w:p>
    <w:p w14:paraId="4F29D6A3" w14:textId="77777777" w:rsidR="0035113D" w:rsidRPr="00BB554C" w:rsidRDefault="0035113D" w:rsidP="0035113D">
      <w:pPr>
        <w:pBdr>
          <w:left w:val="single" w:sz="4" w:space="4" w:color="E36C0A" w:themeColor="accent6" w:themeShade="BF"/>
        </w:pBdr>
        <w:tabs>
          <w:tab w:val="left" w:pos="0"/>
        </w:tabs>
        <w:spacing w:before="240" w:after="240"/>
        <w:ind w:left="113" w:right="113"/>
        <w:jc w:val="right"/>
        <w:rPr>
          <w:sz w:val="24"/>
          <w:szCs w:val="24"/>
        </w:rPr>
      </w:pPr>
      <w:r w:rsidRPr="00BB554C">
        <w:rPr>
          <w:i/>
          <w:sz w:val="24"/>
          <w:szCs w:val="24"/>
        </w:rPr>
        <w:lastRenderedPageBreak/>
        <w:t>“They probably need to coordinate more through other services, refer people to other services.” (Stakeholder)</w:t>
      </w:r>
    </w:p>
    <w:p w14:paraId="1513FD0B" w14:textId="7EB5B39F" w:rsidR="00DB2BEB" w:rsidRDefault="00DB2BEB" w:rsidP="006072F3"/>
    <w:p w14:paraId="041CCBA0" w14:textId="4657102A" w:rsidR="006072F3" w:rsidRPr="00E52513" w:rsidRDefault="006072F3" w:rsidP="006072F3">
      <w:r w:rsidRPr="00E52513">
        <w:t>Significant variation was identified in total costs associated with incidents:</w:t>
      </w:r>
    </w:p>
    <w:p w14:paraId="5FBC6AA7" w14:textId="67CC6E0C" w:rsidR="006072F3" w:rsidRPr="00E52513" w:rsidRDefault="00DB2BEB" w:rsidP="009437A5">
      <w:pPr>
        <w:pStyle w:val="ListParagraph"/>
        <w:numPr>
          <w:ilvl w:val="0"/>
          <w:numId w:val="47"/>
        </w:numPr>
        <w:spacing w:after="0"/>
        <w:rPr>
          <w:szCs w:val="22"/>
        </w:rPr>
      </w:pPr>
      <w:r w:rsidRPr="00E52513">
        <w:rPr>
          <w:szCs w:val="22"/>
        </w:rPr>
        <w:t xml:space="preserve"> </w:t>
      </w:r>
      <w:r w:rsidR="006072F3" w:rsidRPr="00E52513">
        <w:rPr>
          <w:szCs w:val="22"/>
        </w:rPr>
        <w:t xml:space="preserve">‘in scope’ incidents ranged from $2,873 to $44,124 </w:t>
      </w:r>
    </w:p>
    <w:p w14:paraId="5A5464FA" w14:textId="1800598C" w:rsidR="006072F3" w:rsidRPr="00E52513" w:rsidRDefault="006072F3" w:rsidP="009437A5">
      <w:pPr>
        <w:pStyle w:val="ListParagraph"/>
        <w:numPr>
          <w:ilvl w:val="0"/>
          <w:numId w:val="47"/>
        </w:numPr>
      </w:pPr>
      <w:r w:rsidRPr="00E52513">
        <w:t>‘out of scope’ incidents ranged from $982 to $29,755</w:t>
      </w:r>
    </w:p>
    <w:p w14:paraId="72B2C2A1" w14:textId="77777777" w:rsidR="006072F3" w:rsidRPr="00E52513" w:rsidRDefault="006072F3" w:rsidP="009437A5">
      <w:pPr>
        <w:pStyle w:val="ListParagraph"/>
        <w:numPr>
          <w:ilvl w:val="0"/>
          <w:numId w:val="47"/>
        </w:numPr>
      </w:pPr>
      <w:proofErr w:type="gramStart"/>
      <w:r w:rsidRPr="00E52513">
        <w:t>total</w:t>
      </w:r>
      <w:proofErr w:type="gramEnd"/>
      <w:r w:rsidRPr="00E52513">
        <w:t xml:space="preserve"> recorded ERF expenditure for all clients was $131, 264. ERF per case ranged from $50 to $5,040 (31% of cases received &lt;$500 and 51% cases received &gt; $1,000)</w:t>
      </w:r>
    </w:p>
    <w:p w14:paraId="4EE18556" w14:textId="7537538F" w:rsidR="006072F3" w:rsidRPr="00E52513" w:rsidRDefault="006072F3" w:rsidP="009437A5">
      <w:pPr>
        <w:pStyle w:val="ListParagraph"/>
        <w:numPr>
          <w:ilvl w:val="0"/>
          <w:numId w:val="47"/>
        </w:numPr>
      </w:pPr>
      <w:r w:rsidRPr="00E52513">
        <w:t>across cases where ERF was distributed, an average of $863.58 was expended</w:t>
      </w:r>
      <w:r w:rsidRPr="00E52513">
        <w:rPr>
          <w:noProof/>
          <w:lang w:eastAsia="en-AU"/>
        </w:rPr>
        <w:t xml:space="preserve"> </w:t>
      </w:r>
    </w:p>
    <w:p w14:paraId="3CC50ED5" w14:textId="77777777" w:rsidR="006072F3" w:rsidRPr="00E52513" w:rsidRDefault="006072F3" w:rsidP="009437A5">
      <w:pPr>
        <w:pStyle w:val="ListParagraph"/>
        <w:numPr>
          <w:ilvl w:val="0"/>
          <w:numId w:val="47"/>
        </w:numPr>
      </w:pPr>
      <w:r w:rsidRPr="00E52513">
        <w:t>38% of cases that involved more than 20 hours of CRSA support received over $1,500 in ERF.</w:t>
      </w:r>
    </w:p>
    <w:p w14:paraId="6ED6CC01" w14:textId="1F6FB952" w:rsidR="006072F3" w:rsidRPr="00E52513" w:rsidRDefault="006072F3" w:rsidP="006072F3">
      <w:pPr>
        <w:spacing w:after="360"/>
        <w:rPr>
          <w:szCs w:val="22"/>
        </w:rPr>
      </w:pPr>
      <w:r w:rsidRPr="00E52513">
        <w:rPr>
          <w:szCs w:val="22"/>
        </w:rPr>
        <w:t xml:space="preserve">A preliminary </w:t>
      </w:r>
      <w:r w:rsidR="00315C77">
        <w:rPr>
          <w:szCs w:val="22"/>
        </w:rPr>
        <w:t>V</w:t>
      </w:r>
      <w:r w:rsidRPr="00E52513">
        <w:rPr>
          <w:szCs w:val="22"/>
        </w:rPr>
        <w:t xml:space="preserve">alue for </w:t>
      </w:r>
      <w:r w:rsidR="00315C77">
        <w:rPr>
          <w:szCs w:val="22"/>
        </w:rPr>
        <w:t>M</w:t>
      </w:r>
      <w:r w:rsidRPr="00E52513">
        <w:rPr>
          <w:szCs w:val="22"/>
        </w:rPr>
        <w:t>oney (</w:t>
      </w:r>
      <w:proofErr w:type="spellStart"/>
      <w:r w:rsidRPr="00E52513">
        <w:rPr>
          <w:szCs w:val="22"/>
        </w:rPr>
        <w:t>VfM</w:t>
      </w:r>
      <w:proofErr w:type="spellEnd"/>
      <w:r w:rsidRPr="00E52513">
        <w:rPr>
          <w:szCs w:val="22"/>
        </w:rPr>
        <w:t xml:space="preserve">) assessment was undertaken by HMA management consultants in 2019-20, however, in the </w:t>
      </w:r>
      <w:r w:rsidRPr="00E52513">
        <w:rPr>
          <w:bCs/>
          <w:szCs w:val="22"/>
        </w:rPr>
        <w:t>absence of clear agreed outcome measures and associated data there was insufficient inform</w:t>
      </w:r>
      <w:r w:rsidRPr="00E52513">
        <w:rPr>
          <w:szCs w:val="22"/>
        </w:rPr>
        <w:t xml:space="preserve">ation for a full </w:t>
      </w:r>
      <w:proofErr w:type="spellStart"/>
      <w:r w:rsidRPr="00E52513">
        <w:rPr>
          <w:szCs w:val="22"/>
        </w:rPr>
        <w:t>VfM</w:t>
      </w:r>
      <w:proofErr w:type="spellEnd"/>
      <w:r w:rsidRPr="00E52513">
        <w:rPr>
          <w:szCs w:val="22"/>
        </w:rPr>
        <w:t xml:space="preserve"> analysis at this stage of the service’s development.</w:t>
      </w:r>
    </w:p>
    <w:p w14:paraId="415D3F45" w14:textId="393B992B" w:rsidR="006072F3" w:rsidRPr="00E52513" w:rsidRDefault="006072F3" w:rsidP="00054B25">
      <w:pPr>
        <w:pStyle w:val="Heading20"/>
        <w:outlineLvl w:val="1"/>
      </w:pPr>
      <w:r w:rsidRPr="00E52513">
        <w:t>Impact of the service</w:t>
      </w:r>
    </w:p>
    <w:p w14:paraId="31510C1D" w14:textId="5E5E1693" w:rsidR="006072F3" w:rsidRPr="00E52513" w:rsidRDefault="006072F3" w:rsidP="006072F3">
      <w:r w:rsidRPr="00E52513">
        <w:t xml:space="preserve">Clients and stakeholders reported that, immediately after an incident, the service made an impact in their lives by assisting them emotionally and financially, but also in practical ways through advocacy support.  In the short-term, at least, the service appeared to be having an impact on the stability of families, though </w:t>
      </w:r>
      <w:r w:rsidR="00DD59B4" w:rsidRPr="00E52513">
        <w:t>there</w:t>
      </w:r>
      <w:r w:rsidRPr="00E52513">
        <w:rPr>
          <w:b/>
        </w:rPr>
        <w:t xml:space="preserve"> </w:t>
      </w:r>
      <w:r w:rsidRPr="00E52513">
        <w:t>is</w:t>
      </w:r>
      <w:r w:rsidRPr="00E52513">
        <w:rPr>
          <w:b/>
        </w:rPr>
        <w:t xml:space="preserve"> </w:t>
      </w:r>
      <w:r w:rsidRPr="00E52513">
        <w:t xml:space="preserve">significant scope for closer engagement with other local service providers and community organisations. </w:t>
      </w:r>
    </w:p>
    <w:p w14:paraId="0D4A8A68" w14:textId="131C19BD" w:rsidR="006072F3" w:rsidRPr="00E52513" w:rsidRDefault="006072F3" w:rsidP="006072F3">
      <w:r w:rsidRPr="00E52513">
        <w:t xml:space="preserve">The long-term and broader impacts of the service, however, were not possible to objectively determine. This was primarily due to a </w:t>
      </w:r>
      <w:r w:rsidRPr="00E52513">
        <w:rPr>
          <w:b/>
        </w:rPr>
        <w:t>lack of objective measures or tools</w:t>
      </w:r>
      <w:r w:rsidRPr="00E52513">
        <w:t xml:space="preserve"> to capture pre and post improvements in SEWB of clients and their families supported by the service. Improved data collection</w:t>
      </w:r>
      <w:r w:rsidRPr="00E52513">
        <w:rPr>
          <w:b/>
        </w:rPr>
        <w:t xml:space="preserve"> </w:t>
      </w:r>
      <w:r w:rsidRPr="00E52513">
        <w:t>processes and analysis to support continuing quality improvement are areas of recommended focus for</w:t>
      </w:r>
      <w:r w:rsidRPr="00E52513">
        <w:rPr>
          <w:b/>
        </w:rPr>
        <w:t xml:space="preserve"> </w:t>
      </w:r>
      <w:r w:rsidRPr="00E52513">
        <w:t xml:space="preserve">achieving </w:t>
      </w:r>
      <w:r w:rsidR="002A1FC7">
        <w:t xml:space="preserve">a </w:t>
      </w:r>
      <w:r w:rsidRPr="00E52513">
        <w:t xml:space="preserve">better understanding of how the service is being delivered and its impact. Closer </w:t>
      </w:r>
      <w:r w:rsidRPr="00E52513">
        <w:rPr>
          <w:b/>
        </w:rPr>
        <w:t>alignment of NICRS human resources</w:t>
      </w:r>
      <w:r w:rsidRPr="00E52513">
        <w:t xml:space="preserve"> to </w:t>
      </w:r>
      <w:r w:rsidRPr="00E52513">
        <w:rPr>
          <w:b/>
        </w:rPr>
        <w:t xml:space="preserve">known areas of concentration, </w:t>
      </w:r>
      <w:r w:rsidRPr="00E52513">
        <w:t>or ‘hotspots’, of suicides is likely to result in better targeting of unmet demand for service.</w:t>
      </w:r>
    </w:p>
    <w:p w14:paraId="7FAC7166" w14:textId="72F4F45A" w:rsidR="006072F3" w:rsidRPr="00E52513" w:rsidRDefault="006072F3" w:rsidP="00054B25">
      <w:pPr>
        <w:pStyle w:val="Heading20"/>
        <w:outlineLvl w:val="1"/>
      </w:pPr>
      <w:r w:rsidRPr="00E52513">
        <w:t xml:space="preserve">Next steps for NICRS improvements </w:t>
      </w:r>
    </w:p>
    <w:p w14:paraId="15874A0C" w14:textId="7AC0E9F7" w:rsidR="006072F3" w:rsidRDefault="006072F3" w:rsidP="006072F3">
      <w:r w:rsidRPr="00E52513">
        <w:t xml:space="preserve">A recommendation by the evaluation team has been provided to reconstruct the model of care and outcomes measures. The intention of the example model provided is to highlight the way the broad outline of the service and the boundaries around the type and duration of support could be made clearer, as well as promoting long-term capacity building and community engagement in service locations. </w:t>
      </w:r>
    </w:p>
    <w:p w14:paraId="0A081014" w14:textId="77777777" w:rsidR="0035113D" w:rsidRPr="00C26F3F" w:rsidRDefault="0035113D" w:rsidP="0035113D">
      <w:pPr>
        <w:pBdr>
          <w:right w:val="single" w:sz="4" w:space="4" w:color="E36C0A" w:themeColor="accent6" w:themeShade="BF"/>
        </w:pBdr>
        <w:tabs>
          <w:tab w:val="left" w:pos="0"/>
        </w:tabs>
        <w:spacing w:before="240" w:after="240"/>
        <w:ind w:left="113" w:right="113"/>
        <w:rPr>
          <w:i/>
          <w:sz w:val="24"/>
          <w:szCs w:val="24"/>
        </w:rPr>
      </w:pPr>
      <w:r w:rsidRPr="00C26F3F">
        <w:rPr>
          <w:i/>
          <w:sz w:val="24"/>
          <w:szCs w:val="24"/>
        </w:rPr>
        <w:t>“The emotional support provided to me by the service has been life changing, it’s helped me to stay strong for my other children.” (Client)</w:t>
      </w:r>
    </w:p>
    <w:p w14:paraId="023068BC" w14:textId="0A47CF5C" w:rsidR="006072F3" w:rsidRDefault="006072F3" w:rsidP="006072F3">
      <w:r w:rsidRPr="00E52513">
        <w:t xml:space="preserve">The service model has been reconfigured into a draft three-phased approach, as follows: </w:t>
      </w:r>
    </w:p>
    <w:p w14:paraId="162E9485" w14:textId="6823B18A" w:rsidR="006072F3" w:rsidRPr="0035113D" w:rsidRDefault="0035113D" w:rsidP="0035113D">
      <w:r>
        <w:rPr>
          <w:noProof/>
          <w:lang w:eastAsia="en-AU"/>
        </w:rPr>
        <w:lastRenderedPageBreak/>
        <w:drawing>
          <wp:inline distT="0" distB="0" distL="0" distR="0" wp14:anchorId="3250B67C" wp14:editId="0CBD1269">
            <wp:extent cx="5816600" cy="1206500"/>
            <wp:effectExtent l="0" t="0" r="0" b="0"/>
            <wp:docPr id="133" name="Picture 133" descr="Diagram illustrating how the program could be redesigned into a three-phase approach - preparation phase, critical response phase and ongoing support phase" title="Draft three phased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raft three phased approach&#10;&#10;Diagram illustrating how the program could be redesigned into a three-phase approach - preparation phase, critical response phase and ongoing support phase"/>
                    <pic:cNvPicPr/>
                  </pic:nvPicPr>
                  <pic:blipFill>
                    <a:blip r:embed="rId15">
                      <a:extLst>
                        <a:ext uri="{28A0092B-C50C-407E-A947-70E740481C1C}">
                          <a14:useLocalDpi xmlns:a14="http://schemas.microsoft.com/office/drawing/2010/main" val="0"/>
                        </a:ext>
                      </a:extLst>
                    </a:blip>
                    <a:stretch>
                      <a:fillRect/>
                    </a:stretch>
                  </pic:blipFill>
                  <pic:spPr>
                    <a:xfrm>
                      <a:off x="0" y="0"/>
                      <a:ext cx="5816600" cy="1206500"/>
                    </a:xfrm>
                    <a:prstGeom prst="rect">
                      <a:avLst/>
                    </a:prstGeom>
                  </pic:spPr>
                </pic:pic>
              </a:graphicData>
            </a:graphic>
          </wp:inline>
        </w:drawing>
      </w:r>
    </w:p>
    <w:p w14:paraId="085D3E71" w14:textId="77777777" w:rsidR="006072F3" w:rsidRPr="00E52513" w:rsidRDefault="006072F3" w:rsidP="006072F3">
      <w:pPr>
        <w:rPr>
          <w:rFonts w:cs="Segoe UI"/>
        </w:rPr>
      </w:pPr>
      <w:r w:rsidRPr="00E52513">
        <w:t>The evaluation identified that improvements are required to:</w:t>
      </w:r>
    </w:p>
    <w:p w14:paraId="7C3126A6" w14:textId="1C2543E0" w:rsidR="006072F3" w:rsidRPr="00E52513" w:rsidRDefault="006072F3" w:rsidP="009437A5">
      <w:pPr>
        <w:pStyle w:val="ListParagraph"/>
        <w:numPr>
          <w:ilvl w:val="0"/>
          <w:numId w:val="50"/>
        </w:numPr>
        <w:spacing w:after="120" w:line="276" w:lineRule="auto"/>
      </w:pPr>
      <w:r w:rsidRPr="00E52513">
        <w:t>strengthen the workforce’s capabilities and capacity</w:t>
      </w:r>
    </w:p>
    <w:p w14:paraId="04A4B7F4" w14:textId="5CA9ADFB" w:rsidR="006072F3" w:rsidRPr="00E52513" w:rsidRDefault="006072F3" w:rsidP="009437A5">
      <w:pPr>
        <w:pStyle w:val="ListParagraph"/>
        <w:numPr>
          <w:ilvl w:val="0"/>
          <w:numId w:val="50"/>
        </w:numPr>
        <w:spacing w:after="120" w:line="276" w:lineRule="auto"/>
      </w:pPr>
      <w:r w:rsidRPr="00E52513">
        <w:t>develop a governance framework that covers all levels of the NICRS including regular practice supervision and support of the CRSA workforce</w:t>
      </w:r>
    </w:p>
    <w:p w14:paraId="3E31B2AE" w14:textId="1745F695" w:rsidR="006072F3" w:rsidRPr="00E52513" w:rsidRDefault="006072F3" w:rsidP="009437A5">
      <w:pPr>
        <w:pStyle w:val="ListParagraph"/>
        <w:numPr>
          <w:ilvl w:val="0"/>
          <w:numId w:val="50"/>
        </w:numPr>
        <w:spacing w:after="120" w:line="276" w:lineRule="auto"/>
      </w:pPr>
      <w:r w:rsidRPr="00E52513">
        <w:t>develop a strategic plan with agreed outcomes and indicators</w:t>
      </w:r>
    </w:p>
    <w:p w14:paraId="13A0890B" w14:textId="77777777" w:rsidR="006072F3" w:rsidRPr="00E52513" w:rsidRDefault="006072F3" w:rsidP="009437A5">
      <w:pPr>
        <w:pStyle w:val="ListParagraph"/>
        <w:numPr>
          <w:ilvl w:val="0"/>
          <w:numId w:val="50"/>
        </w:numPr>
        <w:spacing w:after="120" w:line="276" w:lineRule="auto"/>
      </w:pPr>
      <w:proofErr w:type="gramStart"/>
      <w:r w:rsidRPr="00E52513">
        <w:t>improve</w:t>
      </w:r>
      <w:proofErr w:type="gramEnd"/>
      <w:r w:rsidRPr="00E52513">
        <w:t xml:space="preserve"> data collection processes to support quality improvement and future evaluation efforts.</w:t>
      </w:r>
    </w:p>
    <w:bookmarkEnd w:id="1"/>
    <w:p w14:paraId="3E1F4A05" w14:textId="671E5CB4" w:rsidR="00561FB8" w:rsidRPr="00E52513" w:rsidRDefault="00561FB8">
      <w:pPr>
        <w:spacing w:line="276" w:lineRule="auto"/>
        <w:rPr>
          <w:rFonts w:eastAsiaTheme="majorEastAsia"/>
          <w:b/>
          <w:bCs/>
          <w:color w:val="984806" w:themeColor="accent6" w:themeShade="80"/>
          <w:sz w:val="40"/>
          <w:szCs w:val="28"/>
        </w:rPr>
      </w:pPr>
      <w:r w:rsidRPr="00E52513">
        <w:br w:type="page"/>
      </w:r>
    </w:p>
    <w:p w14:paraId="0FBD5775" w14:textId="391E0BD8" w:rsidR="005E44BB" w:rsidRPr="00E52513" w:rsidRDefault="00356D2B" w:rsidP="00356D2B">
      <w:pPr>
        <w:pStyle w:val="Heading1"/>
        <w:numPr>
          <w:ilvl w:val="0"/>
          <w:numId w:val="0"/>
        </w:numPr>
      </w:pPr>
      <w:bookmarkStart w:id="6" w:name="_Toc35966313"/>
      <w:bookmarkStart w:id="7" w:name="_Toc54966612"/>
      <w:r w:rsidRPr="00E52513">
        <w:lastRenderedPageBreak/>
        <w:t>Acronyms &amp; abbreviations</w:t>
      </w:r>
      <w:bookmarkEnd w:id="6"/>
      <w:bookmarkEnd w:id="7"/>
    </w:p>
    <w:p w14:paraId="7C04B1DE" w14:textId="3BFD8623" w:rsidR="006B4E5D" w:rsidRPr="00E52513" w:rsidRDefault="006B4E5D" w:rsidP="00FA2033">
      <w:r w:rsidRPr="00E52513">
        <w:t>ACCHO</w:t>
      </w:r>
      <w:r w:rsidRPr="00E52513">
        <w:tab/>
        <w:t>Aboriginal and Torres Strait Islander Community Controlled Health Organisations</w:t>
      </w:r>
    </w:p>
    <w:p w14:paraId="5CA960F2" w14:textId="303D00ED" w:rsidR="00FA2033" w:rsidRPr="00E52513" w:rsidRDefault="006B4E5D" w:rsidP="00FA2033">
      <w:r w:rsidRPr="00E52513">
        <w:t>ACCHS</w:t>
      </w:r>
      <w:r w:rsidRPr="00E52513">
        <w:tab/>
      </w:r>
      <w:r w:rsidRPr="00E52513">
        <w:tab/>
      </w:r>
      <w:r w:rsidR="00FA2033" w:rsidRPr="00E52513">
        <w:t>Aboriginal Community Controlled Health Service</w:t>
      </w:r>
    </w:p>
    <w:p w14:paraId="248B0BAF" w14:textId="77777777" w:rsidR="00FA2033" w:rsidRPr="00E52513" w:rsidRDefault="00FA2033" w:rsidP="00FA2033">
      <w:r w:rsidRPr="00E52513">
        <w:t>ACT</w:t>
      </w:r>
      <w:r w:rsidRPr="00E52513">
        <w:tab/>
      </w:r>
      <w:r w:rsidRPr="00E52513">
        <w:tab/>
        <w:t>Australian Capital Territory</w:t>
      </w:r>
    </w:p>
    <w:p w14:paraId="37907EAD" w14:textId="77777777" w:rsidR="00FA2033" w:rsidRPr="00E52513" w:rsidRDefault="00FA2033" w:rsidP="00FA2033">
      <w:r w:rsidRPr="00E52513">
        <w:t>AMS</w:t>
      </w:r>
      <w:r w:rsidRPr="00E52513">
        <w:tab/>
      </w:r>
      <w:r w:rsidRPr="00E52513">
        <w:tab/>
        <w:t>Aboriginal Medical Service</w:t>
      </w:r>
    </w:p>
    <w:p w14:paraId="054BEC6E" w14:textId="3D2AA337" w:rsidR="00FA2033" w:rsidRPr="00E52513" w:rsidRDefault="00FA2033" w:rsidP="00FA2033">
      <w:r w:rsidRPr="00E52513">
        <w:t>ATSISPEP</w:t>
      </w:r>
      <w:r w:rsidRPr="00E52513">
        <w:tab/>
        <w:t>Aboriginal and Torres Strait Islander Suicide Prevention Evaluation Project</w:t>
      </w:r>
    </w:p>
    <w:p w14:paraId="5FC45603" w14:textId="77777777" w:rsidR="008C6286" w:rsidRPr="00E52513" w:rsidRDefault="008C6286" w:rsidP="008C6286">
      <w:r w:rsidRPr="00E52513">
        <w:t>COAG</w:t>
      </w:r>
      <w:r w:rsidRPr="00E52513">
        <w:tab/>
      </w:r>
      <w:r w:rsidRPr="00E52513">
        <w:tab/>
        <w:t>Council of Australian Governments</w:t>
      </w:r>
    </w:p>
    <w:p w14:paraId="1697F4EE" w14:textId="77777777" w:rsidR="006B4E5D" w:rsidRPr="00E52513" w:rsidRDefault="006B4E5D" w:rsidP="006B4E5D">
      <w:r w:rsidRPr="00E52513">
        <w:t>CQI</w:t>
      </w:r>
      <w:r w:rsidRPr="00E52513">
        <w:tab/>
      </w:r>
      <w:r w:rsidRPr="00E52513">
        <w:tab/>
        <w:t>Continuous Quality Improvement</w:t>
      </w:r>
    </w:p>
    <w:p w14:paraId="5E9C0754" w14:textId="77777777" w:rsidR="006B4E5D" w:rsidRPr="00E52513" w:rsidRDefault="006B4E5D" w:rsidP="006B4E5D">
      <w:r w:rsidRPr="00E52513">
        <w:t>CRM</w:t>
      </w:r>
      <w:r w:rsidRPr="00E52513">
        <w:tab/>
      </w:r>
      <w:r w:rsidRPr="00E52513">
        <w:tab/>
        <w:t>Customer relationship management</w:t>
      </w:r>
    </w:p>
    <w:p w14:paraId="22D21C8D" w14:textId="77777777" w:rsidR="006B4E5D" w:rsidRPr="00E52513" w:rsidRDefault="006B4E5D" w:rsidP="006B4E5D">
      <w:r w:rsidRPr="00E52513">
        <w:t>CRSA</w:t>
      </w:r>
      <w:r w:rsidRPr="00E52513">
        <w:tab/>
      </w:r>
      <w:r w:rsidRPr="00E52513">
        <w:tab/>
        <w:t>Critical Response Support Advocates</w:t>
      </w:r>
    </w:p>
    <w:p w14:paraId="4CB9DFBF" w14:textId="0C364DA1" w:rsidR="00FA2033" w:rsidRPr="00E52513" w:rsidRDefault="00FA2033" w:rsidP="00FA2033">
      <w:r w:rsidRPr="00E52513">
        <w:t>ERF</w:t>
      </w:r>
      <w:r w:rsidRPr="00E52513">
        <w:tab/>
      </w:r>
      <w:r w:rsidRPr="00E52513">
        <w:tab/>
        <w:t>Emergency relief funding</w:t>
      </w:r>
    </w:p>
    <w:p w14:paraId="009CB707" w14:textId="56AA2D27" w:rsidR="00FA2033" w:rsidRPr="00E52513" w:rsidRDefault="00FA2033" w:rsidP="00FA2033">
      <w:r w:rsidRPr="00E52513">
        <w:t>HCA</w:t>
      </w:r>
      <w:r w:rsidRPr="00E52513">
        <w:tab/>
      </w:r>
      <w:r w:rsidRPr="00E52513">
        <w:tab/>
        <w:t>Human Capital Alliance</w:t>
      </w:r>
    </w:p>
    <w:p w14:paraId="11C98D8A" w14:textId="77777777" w:rsidR="00FA2033" w:rsidRPr="00E52513" w:rsidRDefault="00FA2033" w:rsidP="00FA2033">
      <w:r w:rsidRPr="00E52513">
        <w:t>IAS</w:t>
      </w:r>
      <w:r w:rsidRPr="00E52513">
        <w:tab/>
      </w:r>
      <w:r w:rsidRPr="00E52513">
        <w:tab/>
        <w:t>Indigenous Advancement Strategy</w:t>
      </w:r>
    </w:p>
    <w:p w14:paraId="7C4790DD" w14:textId="77777777" w:rsidR="00FA2033" w:rsidRPr="00E52513" w:rsidRDefault="00FA2033" w:rsidP="00FA2033">
      <w:r w:rsidRPr="00E52513">
        <w:t>MSC</w:t>
      </w:r>
      <w:r w:rsidRPr="00E52513">
        <w:tab/>
      </w:r>
      <w:r w:rsidRPr="00E52513">
        <w:tab/>
        <w:t>Most Significant Change</w:t>
      </w:r>
    </w:p>
    <w:p w14:paraId="608D7528" w14:textId="77777777" w:rsidR="00FA2033" w:rsidRPr="00E52513" w:rsidRDefault="00FA2033" w:rsidP="00FA2033">
      <w:r w:rsidRPr="00E52513">
        <w:t>NGO</w:t>
      </w:r>
      <w:r w:rsidRPr="00E52513">
        <w:tab/>
      </w:r>
      <w:r w:rsidRPr="00E52513">
        <w:tab/>
        <w:t>Non-government organisations</w:t>
      </w:r>
    </w:p>
    <w:p w14:paraId="22429605" w14:textId="77777777" w:rsidR="00FA2033" w:rsidRPr="00E52513" w:rsidRDefault="00FA2033" w:rsidP="00FA2033">
      <w:r w:rsidRPr="00E52513">
        <w:t>NIAA</w:t>
      </w:r>
      <w:r w:rsidRPr="00E52513">
        <w:tab/>
      </w:r>
      <w:r w:rsidRPr="00E52513">
        <w:tab/>
        <w:t>National Indigenous Australians Agency</w:t>
      </w:r>
    </w:p>
    <w:p w14:paraId="4D0BB7C5" w14:textId="09909649" w:rsidR="00FA2033" w:rsidRPr="00E52513" w:rsidRDefault="00FA2033" w:rsidP="00FA2033">
      <w:r w:rsidRPr="00E52513">
        <w:t>NICRS</w:t>
      </w:r>
      <w:r w:rsidRPr="00E52513">
        <w:tab/>
      </w:r>
      <w:r w:rsidRPr="00E52513">
        <w:tab/>
        <w:t xml:space="preserve">National Indigenous </w:t>
      </w:r>
      <w:r w:rsidR="003A7D74" w:rsidRPr="00E52513">
        <w:t>Critical</w:t>
      </w:r>
      <w:r w:rsidRPr="00E52513">
        <w:t xml:space="preserve"> Response Service</w:t>
      </w:r>
    </w:p>
    <w:p w14:paraId="2DD45793" w14:textId="77777777" w:rsidR="00FA2033" w:rsidRPr="00E52513" w:rsidRDefault="00FA2033" w:rsidP="00FA2033">
      <w:r w:rsidRPr="00E52513">
        <w:t>NSW</w:t>
      </w:r>
      <w:r w:rsidRPr="00E52513">
        <w:tab/>
      </w:r>
      <w:r w:rsidRPr="00E52513">
        <w:tab/>
        <w:t>New South Wales</w:t>
      </w:r>
    </w:p>
    <w:p w14:paraId="2269C111" w14:textId="77777777" w:rsidR="00FA2033" w:rsidRPr="00E52513" w:rsidRDefault="00FA2033" w:rsidP="00FA2033">
      <w:r w:rsidRPr="00E52513">
        <w:t>NT</w:t>
      </w:r>
      <w:r w:rsidRPr="00E52513">
        <w:tab/>
      </w:r>
      <w:r w:rsidRPr="00E52513">
        <w:tab/>
        <w:t>Northern Territory</w:t>
      </w:r>
    </w:p>
    <w:p w14:paraId="4630664A" w14:textId="77777777" w:rsidR="00FA2033" w:rsidRPr="00E52513" w:rsidRDefault="00FA2033" w:rsidP="00FA2033">
      <w:r w:rsidRPr="00E52513">
        <w:t>ORS</w:t>
      </w:r>
      <w:r w:rsidRPr="00E52513">
        <w:tab/>
      </w:r>
      <w:r w:rsidRPr="00E52513">
        <w:tab/>
        <w:t>Online Reporting System</w:t>
      </w:r>
    </w:p>
    <w:p w14:paraId="719E0A70" w14:textId="570353E3" w:rsidR="006B4E5D" w:rsidRPr="00E52513" w:rsidRDefault="006B4E5D" w:rsidP="00FA2033">
      <w:r w:rsidRPr="00E52513">
        <w:t>PHN</w:t>
      </w:r>
      <w:r w:rsidRPr="00E52513">
        <w:tab/>
      </w:r>
      <w:r w:rsidRPr="00E52513">
        <w:tab/>
        <w:t>Primary Healthcare Network</w:t>
      </w:r>
    </w:p>
    <w:p w14:paraId="6FDA6722" w14:textId="713029E6" w:rsidR="00FA2033" w:rsidRPr="00E52513" w:rsidRDefault="00FA2033" w:rsidP="00FA2033">
      <w:r w:rsidRPr="00E52513">
        <w:t>QLD</w:t>
      </w:r>
      <w:r w:rsidRPr="00E52513">
        <w:tab/>
      </w:r>
      <w:r w:rsidRPr="00E52513">
        <w:tab/>
      </w:r>
      <w:r w:rsidR="008C6286" w:rsidRPr="00E52513">
        <w:t>Queensland</w:t>
      </w:r>
    </w:p>
    <w:p w14:paraId="4E85DD46" w14:textId="77777777" w:rsidR="00FA2033" w:rsidRPr="00E52513" w:rsidRDefault="00FA2033" w:rsidP="00FA2033">
      <w:r w:rsidRPr="00E52513">
        <w:t>SA</w:t>
      </w:r>
      <w:r w:rsidRPr="00E52513">
        <w:tab/>
      </w:r>
      <w:r w:rsidRPr="00E52513">
        <w:tab/>
        <w:t>South Australia</w:t>
      </w:r>
    </w:p>
    <w:p w14:paraId="1D0C2444" w14:textId="77777777" w:rsidR="00FA2033" w:rsidRPr="00E52513" w:rsidRDefault="00FA2033" w:rsidP="00FA2033">
      <w:r w:rsidRPr="00E52513">
        <w:t>SEWB</w:t>
      </w:r>
      <w:r w:rsidRPr="00E52513">
        <w:tab/>
      </w:r>
      <w:r w:rsidRPr="00E52513">
        <w:tab/>
        <w:t>Social and emotional wellbeing</w:t>
      </w:r>
    </w:p>
    <w:p w14:paraId="00C91E72" w14:textId="77777777" w:rsidR="00FA2033" w:rsidRPr="00E52513" w:rsidRDefault="00FA2033" w:rsidP="00FA2033">
      <w:r w:rsidRPr="00E52513">
        <w:t>UWA</w:t>
      </w:r>
      <w:r w:rsidRPr="00E52513">
        <w:tab/>
      </w:r>
      <w:r w:rsidRPr="00E52513">
        <w:tab/>
        <w:t>University of Western Australia</w:t>
      </w:r>
    </w:p>
    <w:p w14:paraId="0D8F529E" w14:textId="20CFB8D8" w:rsidR="004C6A0B" w:rsidRPr="00E52513" w:rsidRDefault="004C6A0B" w:rsidP="004C6A0B">
      <w:proofErr w:type="spellStart"/>
      <w:r w:rsidRPr="00E52513">
        <w:t>VfM</w:t>
      </w:r>
      <w:proofErr w:type="spellEnd"/>
      <w:r w:rsidRPr="00E52513">
        <w:tab/>
      </w:r>
      <w:r w:rsidRPr="00E52513">
        <w:tab/>
        <w:t xml:space="preserve">Value for </w:t>
      </w:r>
      <w:r w:rsidR="00315C77">
        <w:t>M</w:t>
      </w:r>
      <w:r w:rsidRPr="00E52513">
        <w:t>oney</w:t>
      </w:r>
    </w:p>
    <w:p w14:paraId="48530826" w14:textId="77777777" w:rsidR="00FA2033" w:rsidRPr="00E52513" w:rsidRDefault="00FA2033" w:rsidP="00FA2033">
      <w:r w:rsidRPr="00E52513">
        <w:t>WA</w:t>
      </w:r>
      <w:r w:rsidRPr="00E52513">
        <w:tab/>
      </w:r>
      <w:r w:rsidRPr="00E52513">
        <w:tab/>
        <w:t>Western Australia</w:t>
      </w:r>
    </w:p>
    <w:p w14:paraId="0BC9BC52" w14:textId="059A8C06" w:rsidR="00356D2B" w:rsidRPr="00E52513" w:rsidRDefault="008C6286" w:rsidP="00356D2B">
      <w:proofErr w:type="gramStart"/>
      <w:r w:rsidRPr="00E52513">
        <w:t>WHO</w:t>
      </w:r>
      <w:proofErr w:type="gramEnd"/>
      <w:r w:rsidRPr="00E52513">
        <w:tab/>
      </w:r>
      <w:r w:rsidRPr="00E52513">
        <w:tab/>
        <w:t>World Health Organization</w:t>
      </w:r>
      <w:r w:rsidR="00356D2B" w:rsidRPr="00E52513">
        <w:br w:type="page"/>
      </w:r>
    </w:p>
    <w:sdt>
      <w:sdtPr>
        <w:rPr>
          <w:b w:val="0"/>
          <w:sz w:val="22"/>
        </w:rPr>
        <w:id w:val="1011181587"/>
        <w:docPartObj>
          <w:docPartGallery w:val="Table of Contents"/>
          <w:docPartUnique/>
        </w:docPartObj>
      </w:sdtPr>
      <w:sdtEndPr>
        <w:rPr>
          <w:bCs/>
          <w:noProof/>
        </w:rPr>
      </w:sdtEndPr>
      <w:sdtContent>
        <w:p w14:paraId="266E1459" w14:textId="77777777" w:rsidR="0030210A" w:rsidRPr="00EF2455" w:rsidRDefault="00AA13F4" w:rsidP="00EF2455">
          <w:pPr>
            <w:pStyle w:val="TOC1"/>
            <w:spacing w:after="240"/>
            <w:rPr>
              <w:color w:val="984806" w:themeColor="accent6" w:themeShade="80"/>
              <w:sz w:val="40"/>
              <w:szCs w:val="40"/>
            </w:rPr>
          </w:pPr>
          <w:r w:rsidRPr="00EF2455">
            <w:rPr>
              <w:color w:val="984806" w:themeColor="accent6" w:themeShade="80"/>
              <w:sz w:val="40"/>
              <w:szCs w:val="40"/>
            </w:rPr>
            <w:t>Co</w:t>
          </w:r>
          <w:r w:rsidR="00F925B9" w:rsidRPr="00EF2455">
            <w:rPr>
              <w:color w:val="984806" w:themeColor="accent6" w:themeShade="80"/>
              <w:sz w:val="40"/>
              <w:szCs w:val="40"/>
            </w:rPr>
            <w:t>ntents</w:t>
          </w:r>
        </w:p>
        <w:p w14:paraId="491BE490" w14:textId="496DA57E" w:rsidR="00407E20" w:rsidRDefault="00F925B9">
          <w:pPr>
            <w:pStyle w:val="TOC1"/>
            <w:rPr>
              <w:rFonts w:asciiTheme="minorHAnsi" w:eastAsiaTheme="minorEastAsia" w:hAnsiTheme="minorHAnsi" w:cstheme="minorBidi"/>
              <w:b w:val="0"/>
              <w:noProof/>
              <w:szCs w:val="24"/>
              <w:lang w:eastAsia="en-GB"/>
            </w:rPr>
          </w:pPr>
          <w:r w:rsidRPr="00E52513">
            <w:rPr>
              <w:color w:val="0050B5"/>
              <w:sz w:val="40"/>
              <w:szCs w:val="52"/>
            </w:rPr>
            <w:fldChar w:fldCharType="begin"/>
          </w:r>
          <w:r w:rsidRPr="00E52513">
            <w:rPr>
              <w:color w:val="0050B5"/>
              <w:sz w:val="40"/>
              <w:szCs w:val="52"/>
            </w:rPr>
            <w:instrText xml:space="preserve"> TOC \o "1-2" \h \z \u </w:instrText>
          </w:r>
          <w:r w:rsidRPr="00E52513">
            <w:rPr>
              <w:color w:val="0050B5"/>
              <w:sz w:val="40"/>
              <w:szCs w:val="52"/>
            </w:rPr>
            <w:fldChar w:fldCharType="separate"/>
          </w:r>
          <w:hyperlink w:anchor="_Toc54966609" w:history="1">
            <w:r w:rsidR="00407E20" w:rsidRPr="002D1654">
              <w:rPr>
                <w:rStyle w:val="Hyperlink"/>
                <w:noProof/>
              </w:rPr>
              <w:t>Acknowledgements to Country</w:t>
            </w:r>
            <w:r w:rsidR="00407E20">
              <w:rPr>
                <w:noProof/>
                <w:webHidden/>
              </w:rPr>
              <w:tab/>
            </w:r>
            <w:r w:rsidR="00407E20">
              <w:rPr>
                <w:noProof/>
                <w:webHidden/>
              </w:rPr>
              <w:fldChar w:fldCharType="begin"/>
            </w:r>
            <w:r w:rsidR="00407E20">
              <w:rPr>
                <w:noProof/>
                <w:webHidden/>
              </w:rPr>
              <w:instrText xml:space="preserve"> PAGEREF _Toc54966609 \h </w:instrText>
            </w:r>
            <w:r w:rsidR="00407E20">
              <w:rPr>
                <w:noProof/>
                <w:webHidden/>
              </w:rPr>
            </w:r>
            <w:r w:rsidR="00407E20">
              <w:rPr>
                <w:noProof/>
                <w:webHidden/>
              </w:rPr>
              <w:fldChar w:fldCharType="separate"/>
            </w:r>
            <w:r w:rsidR="00407E20">
              <w:rPr>
                <w:noProof/>
                <w:webHidden/>
              </w:rPr>
              <w:t>3</w:t>
            </w:r>
            <w:r w:rsidR="00407E20">
              <w:rPr>
                <w:noProof/>
                <w:webHidden/>
              </w:rPr>
              <w:fldChar w:fldCharType="end"/>
            </w:r>
          </w:hyperlink>
        </w:p>
        <w:p w14:paraId="4E1C4E37" w14:textId="67FB9DF7" w:rsidR="00407E20" w:rsidRDefault="0013555F">
          <w:pPr>
            <w:pStyle w:val="TOC1"/>
            <w:rPr>
              <w:rFonts w:asciiTheme="minorHAnsi" w:eastAsiaTheme="minorEastAsia" w:hAnsiTheme="minorHAnsi" w:cstheme="minorBidi"/>
              <w:b w:val="0"/>
              <w:noProof/>
              <w:szCs w:val="24"/>
              <w:lang w:eastAsia="en-GB"/>
            </w:rPr>
          </w:pPr>
          <w:hyperlink w:anchor="_Toc54966610" w:history="1">
            <w:r w:rsidR="00407E20" w:rsidRPr="002D1654">
              <w:rPr>
                <w:rStyle w:val="Hyperlink"/>
                <w:noProof/>
              </w:rPr>
              <w:t>Key findings</w:t>
            </w:r>
            <w:r w:rsidR="00407E20">
              <w:rPr>
                <w:noProof/>
                <w:webHidden/>
              </w:rPr>
              <w:tab/>
            </w:r>
            <w:r w:rsidR="00407E20">
              <w:rPr>
                <w:noProof/>
                <w:webHidden/>
              </w:rPr>
              <w:fldChar w:fldCharType="begin"/>
            </w:r>
            <w:r w:rsidR="00407E20">
              <w:rPr>
                <w:noProof/>
                <w:webHidden/>
              </w:rPr>
              <w:instrText xml:space="preserve"> PAGEREF _Toc54966610 \h </w:instrText>
            </w:r>
            <w:r w:rsidR="00407E20">
              <w:rPr>
                <w:noProof/>
                <w:webHidden/>
              </w:rPr>
            </w:r>
            <w:r w:rsidR="00407E20">
              <w:rPr>
                <w:noProof/>
                <w:webHidden/>
              </w:rPr>
              <w:fldChar w:fldCharType="separate"/>
            </w:r>
            <w:r w:rsidR="00407E20">
              <w:rPr>
                <w:noProof/>
                <w:webHidden/>
              </w:rPr>
              <w:t>4</w:t>
            </w:r>
            <w:r w:rsidR="00407E20">
              <w:rPr>
                <w:noProof/>
                <w:webHidden/>
              </w:rPr>
              <w:fldChar w:fldCharType="end"/>
            </w:r>
          </w:hyperlink>
        </w:p>
        <w:p w14:paraId="2EF16F05" w14:textId="38D090B3" w:rsidR="00407E20" w:rsidRDefault="0013555F">
          <w:pPr>
            <w:pStyle w:val="TOC1"/>
            <w:rPr>
              <w:rFonts w:asciiTheme="minorHAnsi" w:eastAsiaTheme="minorEastAsia" w:hAnsiTheme="minorHAnsi" w:cstheme="minorBidi"/>
              <w:b w:val="0"/>
              <w:noProof/>
              <w:szCs w:val="24"/>
              <w:lang w:eastAsia="en-GB"/>
            </w:rPr>
          </w:pPr>
          <w:hyperlink w:anchor="_Toc54966611" w:history="1">
            <w:r w:rsidR="00407E20" w:rsidRPr="002D1654">
              <w:rPr>
                <w:rStyle w:val="Hyperlink"/>
                <w:noProof/>
              </w:rPr>
              <w:t>Executive Summary</w:t>
            </w:r>
            <w:r w:rsidR="00407E20">
              <w:rPr>
                <w:noProof/>
                <w:webHidden/>
              </w:rPr>
              <w:tab/>
            </w:r>
            <w:r w:rsidR="00407E20">
              <w:rPr>
                <w:noProof/>
                <w:webHidden/>
              </w:rPr>
              <w:fldChar w:fldCharType="begin"/>
            </w:r>
            <w:r w:rsidR="00407E20">
              <w:rPr>
                <w:noProof/>
                <w:webHidden/>
              </w:rPr>
              <w:instrText xml:space="preserve"> PAGEREF _Toc54966611 \h </w:instrText>
            </w:r>
            <w:r w:rsidR="00407E20">
              <w:rPr>
                <w:noProof/>
                <w:webHidden/>
              </w:rPr>
            </w:r>
            <w:r w:rsidR="00407E20">
              <w:rPr>
                <w:noProof/>
                <w:webHidden/>
              </w:rPr>
              <w:fldChar w:fldCharType="separate"/>
            </w:r>
            <w:r w:rsidR="00407E20">
              <w:rPr>
                <w:noProof/>
                <w:webHidden/>
              </w:rPr>
              <w:t>5</w:t>
            </w:r>
            <w:r w:rsidR="00407E20">
              <w:rPr>
                <w:noProof/>
                <w:webHidden/>
              </w:rPr>
              <w:fldChar w:fldCharType="end"/>
            </w:r>
          </w:hyperlink>
        </w:p>
        <w:p w14:paraId="7F3CE0E3" w14:textId="24761DAA" w:rsidR="00407E20" w:rsidRDefault="0013555F">
          <w:pPr>
            <w:pStyle w:val="TOC1"/>
            <w:rPr>
              <w:rFonts w:asciiTheme="minorHAnsi" w:eastAsiaTheme="minorEastAsia" w:hAnsiTheme="minorHAnsi" w:cstheme="minorBidi"/>
              <w:b w:val="0"/>
              <w:noProof/>
              <w:szCs w:val="24"/>
              <w:lang w:eastAsia="en-GB"/>
            </w:rPr>
          </w:pPr>
          <w:hyperlink w:anchor="_Toc54966612" w:history="1">
            <w:r w:rsidR="00407E20" w:rsidRPr="002D1654">
              <w:rPr>
                <w:rStyle w:val="Hyperlink"/>
                <w:noProof/>
              </w:rPr>
              <w:t>Acronyms &amp; abbreviations</w:t>
            </w:r>
            <w:r w:rsidR="00407E20">
              <w:rPr>
                <w:noProof/>
                <w:webHidden/>
              </w:rPr>
              <w:tab/>
            </w:r>
            <w:r w:rsidR="00407E20">
              <w:rPr>
                <w:noProof/>
                <w:webHidden/>
              </w:rPr>
              <w:fldChar w:fldCharType="begin"/>
            </w:r>
            <w:r w:rsidR="00407E20">
              <w:rPr>
                <w:noProof/>
                <w:webHidden/>
              </w:rPr>
              <w:instrText xml:space="preserve"> PAGEREF _Toc54966612 \h </w:instrText>
            </w:r>
            <w:r w:rsidR="00407E20">
              <w:rPr>
                <w:noProof/>
                <w:webHidden/>
              </w:rPr>
            </w:r>
            <w:r w:rsidR="00407E20">
              <w:rPr>
                <w:noProof/>
                <w:webHidden/>
              </w:rPr>
              <w:fldChar w:fldCharType="separate"/>
            </w:r>
            <w:r w:rsidR="00407E20">
              <w:rPr>
                <w:noProof/>
                <w:webHidden/>
              </w:rPr>
              <w:t>11</w:t>
            </w:r>
            <w:r w:rsidR="00407E20">
              <w:rPr>
                <w:noProof/>
                <w:webHidden/>
              </w:rPr>
              <w:fldChar w:fldCharType="end"/>
            </w:r>
          </w:hyperlink>
        </w:p>
        <w:p w14:paraId="5D8C6F01" w14:textId="69C41018" w:rsidR="00407E20" w:rsidRDefault="0013555F">
          <w:pPr>
            <w:pStyle w:val="TOC1"/>
            <w:rPr>
              <w:rFonts w:asciiTheme="minorHAnsi" w:eastAsiaTheme="minorEastAsia" w:hAnsiTheme="minorHAnsi" w:cstheme="minorBidi"/>
              <w:b w:val="0"/>
              <w:noProof/>
              <w:szCs w:val="24"/>
              <w:lang w:eastAsia="en-GB"/>
            </w:rPr>
          </w:pPr>
          <w:hyperlink w:anchor="_Toc54966613" w:history="1">
            <w:r w:rsidR="00407E20" w:rsidRPr="002D1654">
              <w:rPr>
                <w:rStyle w:val="Hyperlink"/>
                <w:noProof/>
              </w:rPr>
              <w:t>1</w:t>
            </w:r>
            <w:r w:rsidR="00407E20">
              <w:rPr>
                <w:rFonts w:asciiTheme="minorHAnsi" w:eastAsiaTheme="minorEastAsia" w:hAnsiTheme="minorHAnsi" w:cstheme="minorBidi"/>
                <w:b w:val="0"/>
                <w:noProof/>
                <w:szCs w:val="24"/>
                <w:lang w:eastAsia="en-GB"/>
              </w:rPr>
              <w:tab/>
            </w:r>
            <w:r w:rsidR="00407E20" w:rsidRPr="002D1654">
              <w:rPr>
                <w:rStyle w:val="Hyperlink"/>
                <w:noProof/>
              </w:rPr>
              <w:t>The National Indigenous Critical Response Service</w:t>
            </w:r>
            <w:r w:rsidR="00407E20">
              <w:rPr>
                <w:noProof/>
                <w:webHidden/>
              </w:rPr>
              <w:tab/>
            </w:r>
            <w:r w:rsidR="00407E20">
              <w:rPr>
                <w:noProof/>
                <w:webHidden/>
              </w:rPr>
              <w:fldChar w:fldCharType="begin"/>
            </w:r>
            <w:r w:rsidR="00407E20">
              <w:rPr>
                <w:noProof/>
                <w:webHidden/>
              </w:rPr>
              <w:instrText xml:space="preserve"> PAGEREF _Toc54966613 \h </w:instrText>
            </w:r>
            <w:r w:rsidR="00407E20">
              <w:rPr>
                <w:noProof/>
                <w:webHidden/>
              </w:rPr>
            </w:r>
            <w:r w:rsidR="00407E20">
              <w:rPr>
                <w:noProof/>
                <w:webHidden/>
              </w:rPr>
              <w:fldChar w:fldCharType="separate"/>
            </w:r>
            <w:r w:rsidR="00407E20">
              <w:rPr>
                <w:noProof/>
                <w:webHidden/>
              </w:rPr>
              <w:t>14</w:t>
            </w:r>
            <w:r w:rsidR="00407E20">
              <w:rPr>
                <w:noProof/>
                <w:webHidden/>
              </w:rPr>
              <w:fldChar w:fldCharType="end"/>
            </w:r>
          </w:hyperlink>
        </w:p>
        <w:p w14:paraId="6F8B7405" w14:textId="4302C97C" w:rsidR="00407E20" w:rsidRDefault="0013555F">
          <w:pPr>
            <w:pStyle w:val="TOC2"/>
            <w:rPr>
              <w:rFonts w:asciiTheme="minorHAnsi" w:eastAsiaTheme="minorEastAsia" w:hAnsiTheme="minorHAnsi" w:cstheme="minorBidi"/>
              <w:noProof/>
              <w:sz w:val="24"/>
              <w:szCs w:val="24"/>
              <w:lang w:eastAsia="en-GB"/>
            </w:rPr>
          </w:pPr>
          <w:hyperlink w:anchor="_Toc54966614" w:history="1">
            <w:r w:rsidR="00407E20" w:rsidRPr="002D1654">
              <w:rPr>
                <w:rStyle w:val="Hyperlink"/>
                <w:noProof/>
              </w:rPr>
              <w:t>1.1</w:t>
            </w:r>
            <w:r w:rsidR="00407E20">
              <w:rPr>
                <w:rFonts w:asciiTheme="minorHAnsi" w:eastAsiaTheme="minorEastAsia" w:hAnsiTheme="minorHAnsi" w:cstheme="minorBidi"/>
                <w:noProof/>
                <w:sz w:val="24"/>
                <w:szCs w:val="24"/>
                <w:lang w:eastAsia="en-GB"/>
              </w:rPr>
              <w:tab/>
            </w:r>
            <w:r w:rsidR="00407E20" w:rsidRPr="002D1654">
              <w:rPr>
                <w:rStyle w:val="Hyperlink"/>
                <w:noProof/>
              </w:rPr>
              <w:t>Background evidence</w:t>
            </w:r>
            <w:r w:rsidR="00407E20">
              <w:rPr>
                <w:noProof/>
                <w:webHidden/>
              </w:rPr>
              <w:tab/>
            </w:r>
            <w:r w:rsidR="00407E20">
              <w:rPr>
                <w:noProof/>
                <w:webHidden/>
              </w:rPr>
              <w:fldChar w:fldCharType="begin"/>
            </w:r>
            <w:r w:rsidR="00407E20">
              <w:rPr>
                <w:noProof/>
                <w:webHidden/>
              </w:rPr>
              <w:instrText xml:space="preserve"> PAGEREF _Toc54966614 \h </w:instrText>
            </w:r>
            <w:r w:rsidR="00407E20">
              <w:rPr>
                <w:noProof/>
                <w:webHidden/>
              </w:rPr>
            </w:r>
            <w:r w:rsidR="00407E20">
              <w:rPr>
                <w:noProof/>
                <w:webHidden/>
              </w:rPr>
              <w:fldChar w:fldCharType="separate"/>
            </w:r>
            <w:r w:rsidR="00407E20">
              <w:rPr>
                <w:noProof/>
                <w:webHidden/>
              </w:rPr>
              <w:t>14</w:t>
            </w:r>
            <w:r w:rsidR="00407E20">
              <w:rPr>
                <w:noProof/>
                <w:webHidden/>
              </w:rPr>
              <w:fldChar w:fldCharType="end"/>
            </w:r>
          </w:hyperlink>
        </w:p>
        <w:p w14:paraId="53EECAEB" w14:textId="3D8A8891" w:rsidR="00407E20" w:rsidRDefault="0013555F">
          <w:pPr>
            <w:pStyle w:val="TOC2"/>
            <w:rPr>
              <w:rFonts w:asciiTheme="minorHAnsi" w:eastAsiaTheme="minorEastAsia" w:hAnsiTheme="minorHAnsi" w:cstheme="minorBidi"/>
              <w:noProof/>
              <w:sz w:val="24"/>
              <w:szCs w:val="24"/>
              <w:lang w:eastAsia="en-GB"/>
            </w:rPr>
          </w:pPr>
          <w:hyperlink w:anchor="_Toc54966615" w:history="1">
            <w:r w:rsidR="00407E20" w:rsidRPr="002D1654">
              <w:rPr>
                <w:rStyle w:val="Hyperlink"/>
                <w:noProof/>
              </w:rPr>
              <w:t>1.2</w:t>
            </w:r>
            <w:r w:rsidR="00407E20">
              <w:rPr>
                <w:rFonts w:asciiTheme="minorHAnsi" w:eastAsiaTheme="minorEastAsia" w:hAnsiTheme="minorHAnsi" w:cstheme="minorBidi"/>
                <w:noProof/>
                <w:sz w:val="24"/>
                <w:szCs w:val="24"/>
                <w:lang w:eastAsia="en-GB"/>
              </w:rPr>
              <w:tab/>
            </w:r>
            <w:r w:rsidR="00407E20" w:rsidRPr="002D1654">
              <w:rPr>
                <w:rStyle w:val="Hyperlink"/>
                <w:noProof/>
              </w:rPr>
              <w:t>Inception of the NICRS program</w:t>
            </w:r>
            <w:r w:rsidR="00407E20">
              <w:rPr>
                <w:noProof/>
                <w:webHidden/>
              </w:rPr>
              <w:tab/>
            </w:r>
            <w:r w:rsidR="00407E20">
              <w:rPr>
                <w:noProof/>
                <w:webHidden/>
              </w:rPr>
              <w:fldChar w:fldCharType="begin"/>
            </w:r>
            <w:r w:rsidR="00407E20">
              <w:rPr>
                <w:noProof/>
                <w:webHidden/>
              </w:rPr>
              <w:instrText xml:space="preserve"> PAGEREF _Toc54966615 \h </w:instrText>
            </w:r>
            <w:r w:rsidR="00407E20">
              <w:rPr>
                <w:noProof/>
                <w:webHidden/>
              </w:rPr>
            </w:r>
            <w:r w:rsidR="00407E20">
              <w:rPr>
                <w:noProof/>
                <w:webHidden/>
              </w:rPr>
              <w:fldChar w:fldCharType="separate"/>
            </w:r>
            <w:r w:rsidR="00407E20">
              <w:rPr>
                <w:noProof/>
                <w:webHidden/>
              </w:rPr>
              <w:t>16</w:t>
            </w:r>
            <w:r w:rsidR="00407E20">
              <w:rPr>
                <w:noProof/>
                <w:webHidden/>
              </w:rPr>
              <w:fldChar w:fldCharType="end"/>
            </w:r>
          </w:hyperlink>
        </w:p>
        <w:p w14:paraId="0AEB70D1" w14:textId="27232C85" w:rsidR="00407E20" w:rsidRDefault="0013555F">
          <w:pPr>
            <w:pStyle w:val="TOC2"/>
            <w:rPr>
              <w:rFonts w:asciiTheme="minorHAnsi" w:eastAsiaTheme="minorEastAsia" w:hAnsiTheme="minorHAnsi" w:cstheme="minorBidi"/>
              <w:noProof/>
              <w:sz w:val="24"/>
              <w:szCs w:val="24"/>
              <w:lang w:eastAsia="en-GB"/>
            </w:rPr>
          </w:pPr>
          <w:hyperlink w:anchor="_Toc54966616" w:history="1">
            <w:r w:rsidR="00407E20" w:rsidRPr="002D1654">
              <w:rPr>
                <w:rStyle w:val="Hyperlink"/>
                <w:noProof/>
              </w:rPr>
              <w:t>1.3</w:t>
            </w:r>
            <w:r w:rsidR="00407E20">
              <w:rPr>
                <w:rFonts w:asciiTheme="minorHAnsi" w:eastAsiaTheme="minorEastAsia" w:hAnsiTheme="minorHAnsi" w:cstheme="minorBidi"/>
                <w:noProof/>
                <w:sz w:val="24"/>
                <w:szCs w:val="24"/>
                <w:lang w:eastAsia="en-GB"/>
              </w:rPr>
              <w:tab/>
            </w:r>
            <w:r w:rsidR="00407E20" w:rsidRPr="002D1654">
              <w:rPr>
                <w:rStyle w:val="Hyperlink"/>
                <w:noProof/>
              </w:rPr>
              <w:t>Description of the program</w:t>
            </w:r>
            <w:r w:rsidR="00407E20">
              <w:rPr>
                <w:noProof/>
                <w:webHidden/>
              </w:rPr>
              <w:tab/>
            </w:r>
            <w:r w:rsidR="00407E20">
              <w:rPr>
                <w:noProof/>
                <w:webHidden/>
              </w:rPr>
              <w:fldChar w:fldCharType="begin"/>
            </w:r>
            <w:r w:rsidR="00407E20">
              <w:rPr>
                <w:noProof/>
                <w:webHidden/>
              </w:rPr>
              <w:instrText xml:space="preserve"> PAGEREF _Toc54966616 \h </w:instrText>
            </w:r>
            <w:r w:rsidR="00407E20">
              <w:rPr>
                <w:noProof/>
                <w:webHidden/>
              </w:rPr>
            </w:r>
            <w:r w:rsidR="00407E20">
              <w:rPr>
                <w:noProof/>
                <w:webHidden/>
              </w:rPr>
              <w:fldChar w:fldCharType="separate"/>
            </w:r>
            <w:r w:rsidR="00407E20">
              <w:rPr>
                <w:noProof/>
                <w:webHidden/>
              </w:rPr>
              <w:t>16</w:t>
            </w:r>
            <w:r w:rsidR="00407E20">
              <w:rPr>
                <w:noProof/>
                <w:webHidden/>
              </w:rPr>
              <w:fldChar w:fldCharType="end"/>
            </w:r>
          </w:hyperlink>
        </w:p>
        <w:p w14:paraId="0553B46E" w14:textId="38C78564" w:rsidR="00407E20" w:rsidRDefault="0013555F">
          <w:pPr>
            <w:pStyle w:val="TOC2"/>
            <w:rPr>
              <w:rFonts w:asciiTheme="minorHAnsi" w:eastAsiaTheme="minorEastAsia" w:hAnsiTheme="minorHAnsi" w:cstheme="minorBidi"/>
              <w:noProof/>
              <w:sz w:val="24"/>
              <w:szCs w:val="24"/>
              <w:lang w:eastAsia="en-GB"/>
            </w:rPr>
          </w:pPr>
          <w:hyperlink w:anchor="_Toc54966617" w:history="1">
            <w:r w:rsidR="00407E20" w:rsidRPr="002D1654">
              <w:rPr>
                <w:rStyle w:val="Hyperlink"/>
                <w:noProof/>
              </w:rPr>
              <w:t>1.4</w:t>
            </w:r>
            <w:r w:rsidR="00407E20">
              <w:rPr>
                <w:rFonts w:asciiTheme="minorHAnsi" w:eastAsiaTheme="minorEastAsia" w:hAnsiTheme="minorHAnsi" w:cstheme="minorBidi"/>
                <w:noProof/>
                <w:sz w:val="24"/>
                <w:szCs w:val="24"/>
                <w:lang w:eastAsia="en-GB"/>
              </w:rPr>
              <w:tab/>
            </w:r>
            <w:r w:rsidR="00407E20" w:rsidRPr="002D1654">
              <w:rPr>
                <w:rStyle w:val="Hyperlink"/>
                <w:noProof/>
              </w:rPr>
              <w:t>Governance and staffing</w:t>
            </w:r>
            <w:r w:rsidR="00407E20">
              <w:rPr>
                <w:noProof/>
                <w:webHidden/>
              </w:rPr>
              <w:tab/>
            </w:r>
            <w:r w:rsidR="00407E20">
              <w:rPr>
                <w:noProof/>
                <w:webHidden/>
              </w:rPr>
              <w:fldChar w:fldCharType="begin"/>
            </w:r>
            <w:r w:rsidR="00407E20">
              <w:rPr>
                <w:noProof/>
                <w:webHidden/>
              </w:rPr>
              <w:instrText xml:space="preserve"> PAGEREF _Toc54966617 \h </w:instrText>
            </w:r>
            <w:r w:rsidR="00407E20">
              <w:rPr>
                <w:noProof/>
                <w:webHidden/>
              </w:rPr>
            </w:r>
            <w:r w:rsidR="00407E20">
              <w:rPr>
                <w:noProof/>
                <w:webHidden/>
              </w:rPr>
              <w:fldChar w:fldCharType="separate"/>
            </w:r>
            <w:r w:rsidR="00407E20">
              <w:rPr>
                <w:noProof/>
                <w:webHidden/>
              </w:rPr>
              <w:t>19</w:t>
            </w:r>
            <w:r w:rsidR="00407E20">
              <w:rPr>
                <w:noProof/>
                <w:webHidden/>
              </w:rPr>
              <w:fldChar w:fldCharType="end"/>
            </w:r>
          </w:hyperlink>
        </w:p>
        <w:p w14:paraId="773DA3C5" w14:textId="247679A3" w:rsidR="00407E20" w:rsidRDefault="0013555F">
          <w:pPr>
            <w:pStyle w:val="TOC2"/>
            <w:rPr>
              <w:rFonts w:asciiTheme="minorHAnsi" w:eastAsiaTheme="minorEastAsia" w:hAnsiTheme="minorHAnsi" w:cstheme="minorBidi"/>
              <w:noProof/>
              <w:sz w:val="24"/>
              <w:szCs w:val="24"/>
              <w:lang w:eastAsia="en-GB"/>
            </w:rPr>
          </w:pPr>
          <w:hyperlink w:anchor="_Toc54966618" w:history="1">
            <w:r w:rsidR="00407E20" w:rsidRPr="002D1654">
              <w:rPr>
                <w:rStyle w:val="Hyperlink"/>
                <w:noProof/>
              </w:rPr>
              <w:t>1.5</w:t>
            </w:r>
            <w:r w:rsidR="00407E20">
              <w:rPr>
                <w:rFonts w:asciiTheme="minorHAnsi" w:eastAsiaTheme="minorEastAsia" w:hAnsiTheme="minorHAnsi" w:cstheme="minorBidi"/>
                <w:noProof/>
                <w:sz w:val="24"/>
                <w:szCs w:val="24"/>
                <w:lang w:eastAsia="en-GB"/>
              </w:rPr>
              <w:tab/>
            </w:r>
            <w:r w:rsidR="00407E20" w:rsidRPr="002D1654">
              <w:rPr>
                <w:rStyle w:val="Hyperlink"/>
                <w:noProof/>
              </w:rPr>
              <w:t>Planned service rollout</w:t>
            </w:r>
            <w:r w:rsidR="00407E20">
              <w:rPr>
                <w:noProof/>
                <w:webHidden/>
              </w:rPr>
              <w:tab/>
            </w:r>
            <w:r w:rsidR="00407E20">
              <w:rPr>
                <w:noProof/>
                <w:webHidden/>
              </w:rPr>
              <w:fldChar w:fldCharType="begin"/>
            </w:r>
            <w:r w:rsidR="00407E20">
              <w:rPr>
                <w:noProof/>
                <w:webHidden/>
              </w:rPr>
              <w:instrText xml:space="preserve"> PAGEREF _Toc54966618 \h </w:instrText>
            </w:r>
            <w:r w:rsidR="00407E20">
              <w:rPr>
                <w:noProof/>
                <w:webHidden/>
              </w:rPr>
            </w:r>
            <w:r w:rsidR="00407E20">
              <w:rPr>
                <w:noProof/>
                <w:webHidden/>
              </w:rPr>
              <w:fldChar w:fldCharType="separate"/>
            </w:r>
            <w:r w:rsidR="00407E20">
              <w:rPr>
                <w:noProof/>
                <w:webHidden/>
              </w:rPr>
              <w:t>23</w:t>
            </w:r>
            <w:r w:rsidR="00407E20">
              <w:rPr>
                <w:noProof/>
                <w:webHidden/>
              </w:rPr>
              <w:fldChar w:fldCharType="end"/>
            </w:r>
          </w:hyperlink>
        </w:p>
        <w:p w14:paraId="12C0A52B" w14:textId="3A6D4FFE" w:rsidR="00407E20" w:rsidRDefault="0013555F">
          <w:pPr>
            <w:pStyle w:val="TOC1"/>
            <w:rPr>
              <w:rFonts w:asciiTheme="minorHAnsi" w:eastAsiaTheme="minorEastAsia" w:hAnsiTheme="minorHAnsi" w:cstheme="minorBidi"/>
              <w:b w:val="0"/>
              <w:noProof/>
              <w:szCs w:val="24"/>
              <w:lang w:eastAsia="en-GB"/>
            </w:rPr>
          </w:pPr>
          <w:hyperlink w:anchor="_Toc54966619" w:history="1">
            <w:r w:rsidR="00407E20" w:rsidRPr="002D1654">
              <w:rPr>
                <w:rStyle w:val="Hyperlink"/>
                <w:noProof/>
              </w:rPr>
              <w:t>2</w:t>
            </w:r>
            <w:r w:rsidR="00407E20">
              <w:rPr>
                <w:rFonts w:asciiTheme="minorHAnsi" w:eastAsiaTheme="minorEastAsia" w:hAnsiTheme="minorHAnsi" w:cstheme="minorBidi"/>
                <w:b w:val="0"/>
                <w:noProof/>
                <w:szCs w:val="24"/>
                <w:lang w:eastAsia="en-GB"/>
              </w:rPr>
              <w:tab/>
            </w:r>
            <w:r w:rsidR="00407E20" w:rsidRPr="002D1654">
              <w:rPr>
                <w:rStyle w:val="Hyperlink"/>
                <w:noProof/>
              </w:rPr>
              <w:t>Evaluation of the NICRS</w:t>
            </w:r>
            <w:r w:rsidR="00407E20">
              <w:rPr>
                <w:noProof/>
                <w:webHidden/>
              </w:rPr>
              <w:tab/>
            </w:r>
            <w:r w:rsidR="00407E20">
              <w:rPr>
                <w:noProof/>
                <w:webHidden/>
              </w:rPr>
              <w:fldChar w:fldCharType="begin"/>
            </w:r>
            <w:r w:rsidR="00407E20">
              <w:rPr>
                <w:noProof/>
                <w:webHidden/>
              </w:rPr>
              <w:instrText xml:space="preserve"> PAGEREF _Toc54966619 \h </w:instrText>
            </w:r>
            <w:r w:rsidR="00407E20">
              <w:rPr>
                <w:noProof/>
                <w:webHidden/>
              </w:rPr>
            </w:r>
            <w:r w:rsidR="00407E20">
              <w:rPr>
                <w:noProof/>
                <w:webHidden/>
              </w:rPr>
              <w:fldChar w:fldCharType="separate"/>
            </w:r>
            <w:r w:rsidR="00407E20">
              <w:rPr>
                <w:noProof/>
                <w:webHidden/>
              </w:rPr>
              <w:t>24</w:t>
            </w:r>
            <w:r w:rsidR="00407E20">
              <w:rPr>
                <w:noProof/>
                <w:webHidden/>
              </w:rPr>
              <w:fldChar w:fldCharType="end"/>
            </w:r>
          </w:hyperlink>
        </w:p>
        <w:p w14:paraId="038D2BFB" w14:textId="64FAD430" w:rsidR="00407E20" w:rsidRDefault="0013555F">
          <w:pPr>
            <w:pStyle w:val="TOC2"/>
            <w:rPr>
              <w:rFonts w:asciiTheme="minorHAnsi" w:eastAsiaTheme="minorEastAsia" w:hAnsiTheme="minorHAnsi" w:cstheme="minorBidi"/>
              <w:noProof/>
              <w:sz w:val="24"/>
              <w:szCs w:val="24"/>
              <w:lang w:eastAsia="en-GB"/>
            </w:rPr>
          </w:pPr>
          <w:hyperlink w:anchor="_Toc54966620" w:history="1">
            <w:r w:rsidR="00407E20" w:rsidRPr="002D1654">
              <w:rPr>
                <w:rStyle w:val="Hyperlink"/>
                <w:noProof/>
              </w:rPr>
              <w:t>2.1</w:t>
            </w:r>
            <w:r w:rsidR="00407E20">
              <w:rPr>
                <w:rFonts w:asciiTheme="minorHAnsi" w:eastAsiaTheme="minorEastAsia" w:hAnsiTheme="minorHAnsi" w:cstheme="minorBidi"/>
                <w:noProof/>
                <w:sz w:val="24"/>
                <w:szCs w:val="24"/>
                <w:lang w:eastAsia="en-GB"/>
              </w:rPr>
              <w:tab/>
            </w:r>
            <w:r w:rsidR="00407E20" w:rsidRPr="002D1654">
              <w:rPr>
                <w:rStyle w:val="Hyperlink"/>
                <w:noProof/>
              </w:rPr>
              <w:t>Objectives</w:t>
            </w:r>
            <w:r w:rsidR="00407E20">
              <w:rPr>
                <w:noProof/>
                <w:webHidden/>
              </w:rPr>
              <w:tab/>
            </w:r>
            <w:r w:rsidR="00407E20">
              <w:rPr>
                <w:noProof/>
                <w:webHidden/>
              </w:rPr>
              <w:fldChar w:fldCharType="begin"/>
            </w:r>
            <w:r w:rsidR="00407E20">
              <w:rPr>
                <w:noProof/>
                <w:webHidden/>
              </w:rPr>
              <w:instrText xml:space="preserve"> PAGEREF _Toc54966620 \h </w:instrText>
            </w:r>
            <w:r w:rsidR="00407E20">
              <w:rPr>
                <w:noProof/>
                <w:webHidden/>
              </w:rPr>
            </w:r>
            <w:r w:rsidR="00407E20">
              <w:rPr>
                <w:noProof/>
                <w:webHidden/>
              </w:rPr>
              <w:fldChar w:fldCharType="separate"/>
            </w:r>
            <w:r w:rsidR="00407E20">
              <w:rPr>
                <w:noProof/>
                <w:webHidden/>
              </w:rPr>
              <w:t>24</w:t>
            </w:r>
            <w:r w:rsidR="00407E20">
              <w:rPr>
                <w:noProof/>
                <w:webHidden/>
              </w:rPr>
              <w:fldChar w:fldCharType="end"/>
            </w:r>
          </w:hyperlink>
        </w:p>
        <w:p w14:paraId="59DCE8FD" w14:textId="5F08A32E" w:rsidR="00407E20" w:rsidRDefault="0013555F">
          <w:pPr>
            <w:pStyle w:val="TOC2"/>
            <w:rPr>
              <w:rFonts w:asciiTheme="minorHAnsi" w:eastAsiaTheme="minorEastAsia" w:hAnsiTheme="minorHAnsi" w:cstheme="minorBidi"/>
              <w:noProof/>
              <w:sz w:val="24"/>
              <w:szCs w:val="24"/>
              <w:lang w:eastAsia="en-GB"/>
            </w:rPr>
          </w:pPr>
          <w:hyperlink w:anchor="_Toc54966621" w:history="1">
            <w:r w:rsidR="00407E20" w:rsidRPr="002D1654">
              <w:rPr>
                <w:rStyle w:val="Hyperlink"/>
                <w:noProof/>
              </w:rPr>
              <w:t>2.2</w:t>
            </w:r>
            <w:r w:rsidR="00407E20">
              <w:rPr>
                <w:rFonts w:asciiTheme="minorHAnsi" w:eastAsiaTheme="minorEastAsia" w:hAnsiTheme="minorHAnsi" w:cstheme="minorBidi"/>
                <w:noProof/>
                <w:sz w:val="24"/>
                <w:szCs w:val="24"/>
                <w:lang w:eastAsia="en-GB"/>
              </w:rPr>
              <w:tab/>
            </w:r>
            <w:r w:rsidR="00407E20" w:rsidRPr="002D1654">
              <w:rPr>
                <w:rStyle w:val="Hyperlink"/>
                <w:noProof/>
              </w:rPr>
              <w:t>Evaluation questions</w:t>
            </w:r>
            <w:r w:rsidR="00407E20">
              <w:rPr>
                <w:noProof/>
                <w:webHidden/>
              </w:rPr>
              <w:tab/>
            </w:r>
            <w:r w:rsidR="00407E20">
              <w:rPr>
                <w:noProof/>
                <w:webHidden/>
              </w:rPr>
              <w:fldChar w:fldCharType="begin"/>
            </w:r>
            <w:r w:rsidR="00407E20">
              <w:rPr>
                <w:noProof/>
                <w:webHidden/>
              </w:rPr>
              <w:instrText xml:space="preserve"> PAGEREF _Toc54966621 \h </w:instrText>
            </w:r>
            <w:r w:rsidR="00407E20">
              <w:rPr>
                <w:noProof/>
                <w:webHidden/>
              </w:rPr>
            </w:r>
            <w:r w:rsidR="00407E20">
              <w:rPr>
                <w:noProof/>
                <w:webHidden/>
              </w:rPr>
              <w:fldChar w:fldCharType="separate"/>
            </w:r>
            <w:r w:rsidR="00407E20">
              <w:rPr>
                <w:noProof/>
                <w:webHidden/>
              </w:rPr>
              <w:t>24</w:t>
            </w:r>
            <w:r w:rsidR="00407E20">
              <w:rPr>
                <w:noProof/>
                <w:webHidden/>
              </w:rPr>
              <w:fldChar w:fldCharType="end"/>
            </w:r>
          </w:hyperlink>
        </w:p>
        <w:p w14:paraId="0AE32394" w14:textId="1A642D16" w:rsidR="00407E20" w:rsidRDefault="0013555F">
          <w:pPr>
            <w:pStyle w:val="TOC2"/>
            <w:rPr>
              <w:rFonts w:asciiTheme="minorHAnsi" w:eastAsiaTheme="minorEastAsia" w:hAnsiTheme="minorHAnsi" w:cstheme="minorBidi"/>
              <w:noProof/>
              <w:sz w:val="24"/>
              <w:szCs w:val="24"/>
              <w:lang w:eastAsia="en-GB"/>
            </w:rPr>
          </w:pPr>
          <w:hyperlink w:anchor="_Toc54966622" w:history="1">
            <w:r w:rsidR="00407E20" w:rsidRPr="002D1654">
              <w:rPr>
                <w:rStyle w:val="Hyperlink"/>
                <w:noProof/>
              </w:rPr>
              <w:t>2.3</w:t>
            </w:r>
            <w:r w:rsidR="00407E20">
              <w:rPr>
                <w:rFonts w:asciiTheme="minorHAnsi" w:eastAsiaTheme="minorEastAsia" w:hAnsiTheme="minorHAnsi" w:cstheme="minorBidi"/>
                <w:noProof/>
                <w:sz w:val="24"/>
                <w:szCs w:val="24"/>
                <w:lang w:eastAsia="en-GB"/>
              </w:rPr>
              <w:tab/>
            </w:r>
            <w:r w:rsidR="00407E20" w:rsidRPr="002D1654">
              <w:rPr>
                <w:rStyle w:val="Hyperlink"/>
                <w:noProof/>
              </w:rPr>
              <w:t>Data collection and analysis activities</w:t>
            </w:r>
            <w:r w:rsidR="00407E20">
              <w:rPr>
                <w:noProof/>
                <w:webHidden/>
              </w:rPr>
              <w:tab/>
            </w:r>
            <w:r w:rsidR="00407E20">
              <w:rPr>
                <w:noProof/>
                <w:webHidden/>
              </w:rPr>
              <w:fldChar w:fldCharType="begin"/>
            </w:r>
            <w:r w:rsidR="00407E20">
              <w:rPr>
                <w:noProof/>
                <w:webHidden/>
              </w:rPr>
              <w:instrText xml:space="preserve"> PAGEREF _Toc54966622 \h </w:instrText>
            </w:r>
            <w:r w:rsidR="00407E20">
              <w:rPr>
                <w:noProof/>
                <w:webHidden/>
              </w:rPr>
            </w:r>
            <w:r w:rsidR="00407E20">
              <w:rPr>
                <w:noProof/>
                <w:webHidden/>
              </w:rPr>
              <w:fldChar w:fldCharType="separate"/>
            </w:r>
            <w:r w:rsidR="00407E20">
              <w:rPr>
                <w:noProof/>
                <w:webHidden/>
              </w:rPr>
              <w:t>24</w:t>
            </w:r>
            <w:r w:rsidR="00407E20">
              <w:rPr>
                <w:noProof/>
                <w:webHidden/>
              </w:rPr>
              <w:fldChar w:fldCharType="end"/>
            </w:r>
          </w:hyperlink>
        </w:p>
        <w:p w14:paraId="46D8AD4C" w14:textId="2EDA0641" w:rsidR="00407E20" w:rsidRDefault="0013555F">
          <w:pPr>
            <w:pStyle w:val="TOC1"/>
            <w:rPr>
              <w:rFonts w:asciiTheme="minorHAnsi" w:eastAsiaTheme="minorEastAsia" w:hAnsiTheme="minorHAnsi" w:cstheme="minorBidi"/>
              <w:b w:val="0"/>
              <w:noProof/>
              <w:szCs w:val="24"/>
              <w:lang w:eastAsia="en-GB"/>
            </w:rPr>
          </w:pPr>
          <w:hyperlink w:anchor="_Toc54966623" w:history="1">
            <w:r w:rsidR="00407E20" w:rsidRPr="002D1654">
              <w:rPr>
                <w:rStyle w:val="Hyperlink"/>
                <w:noProof/>
              </w:rPr>
              <w:t>3</w:t>
            </w:r>
            <w:r w:rsidR="00407E20">
              <w:rPr>
                <w:rFonts w:asciiTheme="minorHAnsi" w:eastAsiaTheme="minorEastAsia" w:hAnsiTheme="minorHAnsi" w:cstheme="minorBidi"/>
                <w:b w:val="0"/>
                <w:noProof/>
                <w:szCs w:val="24"/>
                <w:lang w:eastAsia="en-GB"/>
              </w:rPr>
              <w:tab/>
            </w:r>
            <w:r w:rsidR="00407E20" w:rsidRPr="002D1654">
              <w:rPr>
                <w:rStyle w:val="Hyperlink"/>
                <w:noProof/>
              </w:rPr>
              <w:t>Profile of NICRS activity</w:t>
            </w:r>
            <w:r w:rsidR="00407E20">
              <w:rPr>
                <w:noProof/>
                <w:webHidden/>
              </w:rPr>
              <w:tab/>
            </w:r>
            <w:r w:rsidR="00407E20">
              <w:rPr>
                <w:noProof/>
                <w:webHidden/>
              </w:rPr>
              <w:fldChar w:fldCharType="begin"/>
            </w:r>
            <w:r w:rsidR="00407E20">
              <w:rPr>
                <w:noProof/>
                <w:webHidden/>
              </w:rPr>
              <w:instrText xml:space="preserve"> PAGEREF _Toc54966623 \h </w:instrText>
            </w:r>
            <w:r w:rsidR="00407E20">
              <w:rPr>
                <w:noProof/>
                <w:webHidden/>
              </w:rPr>
            </w:r>
            <w:r w:rsidR="00407E20">
              <w:rPr>
                <w:noProof/>
                <w:webHidden/>
              </w:rPr>
              <w:fldChar w:fldCharType="separate"/>
            </w:r>
            <w:r w:rsidR="00407E20">
              <w:rPr>
                <w:noProof/>
                <w:webHidden/>
              </w:rPr>
              <w:t>26</w:t>
            </w:r>
            <w:r w:rsidR="00407E20">
              <w:rPr>
                <w:noProof/>
                <w:webHidden/>
              </w:rPr>
              <w:fldChar w:fldCharType="end"/>
            </w:r>
          </w:hyperlink>
        </w:p>
        <w:p w14:paraId="017D0FDC" w14:textId="6D6A3C64" w:rsidR="00407E20" w:rsidRDefault="0013555F">
          <w:pPr>
            <w:pStyle w:val="TOC2"/>
            <w:rPr>
              <w:rFonts w:asciiTheme="minorHAnsi" w:eastAsiaTheme="minorEastAsia" w:hAnsiTheme="minorHAnsi" w:cstheme="minorBidi"/>
              <w:noProof/>
              <w:sz w:val="24"/>
              <w:szCs w:val="24"/>
              <w:lang w:eastAsia="en-GB"/>
            </w:rPr>
          </w:pPr>
          <w:hyperlink w:anchor="_Toc54966624" w:history="1">
            <w:r w:rsidR="00407E20" w:rsidRPr="002D1654">
              <w:rPr>
                <w:rStyle w:val="Hyperlink"/>
                <w:noProof/>
              </w:rPr>
              <w:t>3.1</w:t>
            </w:r>
            <w:r w:rsidR="00407E20">
              <w:rPr>
                <w:rFonts w:asciiTheme="minorHAnsi" w:eastAsiaTheme="minorEastAsia" w:hAnsiTheme="minorHAnsi" w:cstheme="minorBidi"/>
                <w:noProof/>
                <w:sz w:val="24"/>
                <w:szCs w:val="24"/>
                <w:lang w:eastAsia="en-GB"/>
              </w:rPr>
              <w:tab/>
            </w:r>
            <w:r w:rsidR="00407E20" w:rsidRPr="002D1654">
              <w:rPr>
                <w:rStyle w:val="Hyperlink"/>
                <w:noProof/>
              </w:rPr>
              <w:t>Notified incidents</w:t>
            </w:r>
            <w:r w:rsidR="00407E20">
              <w:rPr>
                <w:noProof/>
                <w:webHidden/>
              </w:rPr>
              <w:tab/>
            </w:r>
            <w:r w:rsidR="00407E20">
              <w:rPr>
                <w:noProof/>
                <w:webHidden/>
              </w:rPr>
              <w:fldChar w:fldCharType="begin"/>
            </w:r>
            <w:r w:rsidR="00407E20">
              <w:rPr>
                <w:noProof/>
                <w:webHidden/>
              </w:rPr>
              <w:instrText xml:space="preserve"> PAGEREF _Toc54966624 \h </w:instrText>
            </w:r>
            <w:r w:rsidR="00407E20">
              <w:rPr>
                <w:noProof/>
                <w:webHidden/>
              </w:rPr>
            </w:r>
            <w:r w:rsidR="00407E20">
              <w:rPr>
                <w:noProof/>
                <w:webHidden/>
              </w:rPr>
              <w:fldChar w:fldCharType="separate"/>
            </w:r>
            <w:r w:rsidR="00407E20">
              <w:rPr>
                <w:noProof/>
                <w:webHidden/>
              </w:rPr>
              <w:t>26</w:t>
            </w:r>
            <w:r w:rsidR="00407E20">
              <w:rPr>
                <w:noProof/>
                <w:webHidden/>
              </w:rPr>
              <w:fldChar w:fldCharType="end"/>
            </w:r>
          </w:hyperlink>
        </w:p>
        <w:p w14:paraId="35D616D5" w14:textId="67C19B5A" w:rsidR="00407E20" w:rsidRDefault="0013555F">
          <w:pPr>
            <w:pStyle w:val="TOC2"/>
            <w:rPr>
              <w:rFonts w:asciiTheme="minorHAnsi" w:eastAsiaTheme="minorEastAsia" w:hAnsiTheme="minorHAnsi" w:cstheme="minorBidi"/>
              <w:noProof/>
              <w:sz w:val="24"/>
              <w:szCs w:val="24"/>
              <w:lang w:eastAsia="en-GB"/>
            </w:rPr>
          </w:pPr>
          <w:hyperlink w:anchor="_Toc54966625" w:history="1">
            <w:r w:rsidR="00407E20" w:rsidRPr="002D1654">
              <w:rPr>
                <w:rStyle w:val="Hyperlink"/>
                <w:noProof/>
              </w:rPr>
              <w:t>3.2</w:t>
            </w:r>
            <w:r w:rsidR="00407E20">
              <w:rPr>
                <w:rFonts w:asciiTheme="minorHAnsi" w:eastAsiaTheme="minorEastAsia" w:hAnsiTheme="minorHAnsi" w:cstheme="minorBidi"/>
                <w:noProof/>
                <w:sz w:val="24"/>
                <w:szCs w:val="24"/>
                <w:lang w:eastAsia="en-GB"/>
              </w:rPr>
              <w:tab/>
            </w:r>
            <w:r w:rsidR="00407E20" w:rsidRPr="002D1654">
              <w:rPr>
                <w:rStyle w:val="Hyperlink"/>
                <w:noProof/>
              </w:rPr>
              <w:t>The nature &amp; location of notified incidents</w:t>
            </w:r>
            <w:r w:rsidR="00407E20">
              <w:rPr>
                <w:noProof/>
                <w:webHidden/>
              </w:rPr>
              <w:tab/>
            </w:r>
            <w:r w:rsidR="00407E20">
              <w:rPr>
                <w:noProof/>
                <w:webHidden/>
              </w:rPr>
              <w:fldChar w:fldCharType="begin"/>
            </w:r>
            <w:r w:rsidR="00407E20">
              <w:rPr>
                <w:noProof/>
                <w:webHidden/>
              </w:rPr>
              <w:instrText xml:space="preserve"> PAGEREF _Toc54966625 \h </w:instrText>
            </w:r>
            <w:r w:rsidR="00407E20">
              <w:rPr>
                <w:noProof/>
                <w:webHidden/>
              </w:rPr>
            </w:r>
            <w:r w:rsidR="00407E20">
              <w:rPr>
                <w:noProof/>
                <w:webHidden/>
              </w:rPr>
              <w:fldChar w:fldCharType="separate"/>
            </w:r>
            <w:r w:rsidR="00407E20">
              <w:rPr>
                <w:noProof/>
                <w:webHidden/>
              </w:rPr>
              <w:t>28</w:t>
            </w:r>
            <w:r w:rsidR="00407E20">
              <w:rPr>
                <w:noProof/>
                <w:webHidden/>
              </w:rPr>
              <w:fldChar w:fldCharType="end"/>
            </w:r>
          </w:hyperlink>
        </w:p>
        <w:p w14:paraId="7136ADC9" w14:textId="68883D4B" w:rsidR="00407E20" w:rsidRDefault="0013555F">
          <w:pPr>
            <w:pStyle w:val="TOC2"/>
            <w:rPr>
              <w:rFonts w:asciiTheme="minorHAnsi" w:eastAsiaTheme="minorEastAsia" w:hAnsiTheme="minorHAnsi" w:cstheme="minorBidi"/>
              <w:noProof/>
              <w:sz w:val="24"/>
              <w:szCs w:val="24"/>
              <w:lang w:eastAsia="en-GB"/>
            </w:rPr>
          </w:pPr>
          <w:hyperlink w:anchor="_Toc54966626" w:history="1">
            <w:r w:rsidR="00407E20" w:rsidRPr="002D1654">
              <w:rPr>
                <w:rStyle w:val="Hyperlink"/>
                <w:noProof/>
              </w:rPr>
              <w:t>3.3</w:t>
            </w:r>
            <w:r w:rsidR="00407E20">
              <w:rPr>
                <w:rFonts w:asciiTheme="minorHAnsi" w:eastAsiaTheme="minorEastAsia" w:hAnsiTheme="minorHAnsi" w:cstheme="minorBidi"/>
                <w:noProof/>
                <w:sz w:val="24"/>
                <w:szCs w:val="24"/>
                <w:lang w:eastAsia="en-GB"/>
              </w:rPr>
              <w:tab/>
            </w:r>
            <w:r w:rsidR="00407E20" w:rsidRPr="002D1654">
              <w:rPr>
                <w:rStyle w:val="Hyperlink"/>
                <w:noProof/>
              </w:rPr>
              <w:t>Source of notifications</w:t>
            </w:r>
            <w:r w:rsidR="00407E20">
              <w:rPr>
                <w:noProof/>
                <w:webHidden/>
              </w:rPr>
              <w:tab/>
            </w:r>
            <w:r w:rsidR="00407E20">
              <w:rPr>
                <w:noProof/>
                <w:webHidden/>
              </w:rPr>
              <w:fldChar w:fldCharType="begin"/>
            </w:r>
            <w:r w:rsidR="00407E20">
              <w:rPr>
                <w:noProof/>
                <w:webHidden/>
              </w:rPr>
              <w:instrText xml:space="preserve"> PAGEREF _Toc54966626 \h </w:instrText>
            </w:r>
            <w:r w:rsidR="00407E20">
              <w:rPr>
                <w:noProof/>
                <w:webHidden/>
              </w:rPr>
            </w:r>
            <w:r w:rsidR="00407E20">
              <w:rPr>
                <w:noProof/>
                <w:webHidden/>
              </w:rPr>
              <w:fldChar w:fldCharType="separate"/>
            </w:r>
            <w:r w:rsidR="00407E20">
              <w:rPr>
                <w:noProof/>
                <w:webHidden/>
              </w:rPr>
              <w:t>32</w:t>
            </w:r>
            <w:r w:rsidR="00407E20">
              <w:rPr>
                <w:noProof/>
                <w:webHidden/>
              </w:rPr>
              <w:fldChar w:fldCharType="end"/>
            </w:r>
          </w:hyperlink>
        </w:p>
        <w:p w14:paraId="59B5FD77" w14:textId="7A90468D" w:rsidR="00407E20" w:rsidRDefault="0013555F">
          <w:pPr>
            <w:pStyle w:val="TOC2"/>
            <w:rPr>
              <w:rFonts w:asciiTheme="minorHAnsi" w:eastAsiaTheme="minorEastAsia" w:hAnsiTheme="minorHAnsi" w:cstheme="minorBidi"/>
              <w:noProof/>
              <w:sz w:val="24"/>
              <w:szCs w:val="24"/>
              <w:lang w:eastAsia="en-GB"/>
            </w:rPr>
          </w:pPr>
          <w:hyperlink w:anchor="_Toc54966627" w:history="1">
            <w:r w:rsidR="00407E20" w:rsidRPr="002D1654">
              <w:rPr>
                <w:rStyle w:val="Hyperlink"/>
                <w:noProof/>
              </w:rPr>
              <w:t>3.4</w:t>
            </w:r>
            <w:r w:rsidR="00407E20">
              <w:rPr>
                <w:rFonts w:asciiTheme="minorHAnsi" w:eastAsiaTheme="minorEastAsia" w:hAnsiTheme="minorHAnsi" w:cstheme="minorBidi"/>
                <w:noProof/>
                <w:sz w:val="24"/>
                <w:szCs w:val="24"/>
                <w:lang w:eastAsia="en-GB"/>
              </w:rPr>
              <w:tab/>
            </w:r>
            <w:r w:rsidR="00407E20" w:rsidRPr="002D1654">
              <w:rPr>
                <w:rStyle w:val="Hyperlink"/>
                <w:noProof/>
              </w:rPr>
              <w:t>Response to notifications</w:t>
            </w:r>
            <w:r w:rsidR="00407E20">
              <w:rPr>
                <w:noProof/>
                <w:webHidden/>
              </w:rPr>
              <w:tab/>
            </w:r>
            <w:r w:rsidR="00407E20">
              <w:rPr>
                <w:noProof/>
                <w:webHidden/>
              </w:rPr>
              <w:fldChar w:fldCharType="begin"/>
            </w:r>
            <w:r w:rsidR="00407E20">
              <w:rPr>
                <w:noProof/>
                <w:webHidden/>
              </w:rPr>
              <w:instrText xml:space="preserve"> PAGEREF _Toc54966627 \h </w:instrText>
            </w:r>
            <w:r w:rsidR="00407E20">
              <w:rPr>
                <w:noProof/>
                <w:webHidden/>
              </w:rPr>
            </w:r>
            <w:r w:rsidR="00407E20">
              <w:rPr>
                <w:noProof/>
                <w:webHidden/>
              </w:rPr>
              <w:fldChar w:fldCharType="separate"/>
            </w:r>
            <w:r w:rsidR="00407E20">
              <w:rPr>
                <w:noProof/>
                <w:webHidden/>
              </w:rPr>
              <w:t>33</w:t>
            </w:r>
            <w:r w:rsidR="00407E20">
              <w:rPr>
                <w:noProof/>
                <w:webHidden/>
              </w:rPr>
              <w:fldChar w:fldCharType="end"/>
            </w:r>
          </w:hyperlink>
        </w:p>
        <w:p w14:paraId="35C9AB67" w14:textId="216A071E" w:rsidR="00407E20" w:rsidRDefault="0013555F">
          <w:pPr>
            <w:pStyle w:val="TOC2"/>
            <w:rPr>
              <w:rFonts w:asciiTheme="minorHAnsi" w:eastAsiaTheme="minorEastAsia" w:hAnsiTheme="minorHAnsi" w:cstheme="minorBidi"/>
              <w:noProof/>
              <w:sz w:val="24"/>
              <w:szCs w:val="24"/>
              <w:lang w:eastAsia="en-GB"/>
            </w:rPr>
          </w:pPr>
          <w:hyperlink w:anchor="_Toc54966628" w:history="1">
            <w:r w:rsidR="00407E20" w:rsidRPr="002D1654">
              <w:rPr>
                <w:rStyle w:val="Hyperlink"/>
                <w:noProof/>
              </w:rPr>
              <w:t>3.5</w:t>
            </w:r>
            <w:r w:rsidR="00407E20">
              <w:rPr>
                <w:rFonts w:asciiTheme="minorHAnsi" w:eastAsiaTheme="minorEastAsia" w:hAnsiTheme="minorHAnsi" w:cstheme="minorBidi"/>
                <w:noProof/>
                <w:sz w:val="24"/>
                <w:szCs w:val="24"/>
                <w:lang w:eastAsia="en-GB"/>
              </w:rPr>
              <w:tab/>
            </w:r>
            <w:r w:rsidR="00407E20" w:rsidRPr="002D1654">
              <w:rPr>
                <w:rStyle w:val="Hyperlink"/>
                <w:noProof/>
              </w:rPr>
              <w:t>Incidents translated into cases and clients</w:t>
            </w:r>
            <w:r w:rsidR="00407E20">
              <w:rPr>
                <w:noProof/>
                <w:webHidden/>
              </w:rPr>
              <w:tab/>
            </w:r>
            <w:r w:rsidR="00407E20">
              <w:rPr>
                <w:noProof/>
                <w:webHidden/>
              </w:rPr>
              <w:fldChar w:fldCharType="begin"/>
            </w:r>
            <w:r w:rsidR="00407E20">
              <w:rPr>
                <w:noProof/>
                <w:webHidden/>
              </w:rPr>
              <w:instrText xml:space="preserve"> PAGEREF _Toc54966628 \h </w:instrText>
            </w:r>
            <w:r w:rsidR="00407E20">
              <w:rPr>
                <w:noProof/>
                <w:webHidden/>
              </w:rPr>
            </w:r>
            <w:r w:rsidR="00407E20">
              <w:rPr>
                <w:noProof/>
                <w:webHidden/>
              </w:rPr>
              <w:fldChar w:fldCharType="separate"/>
            </w:r>
            <w:r w:rsidR="00407E20">
              <w:rPr>
                <w:noProof/>
                <w:webHidden/>
              </w:rPr>
              <w:t>35</w:t>
            </w:r>
            <w:r w:rsidR="00407E20">
              <w:rPr>
                <w:noProof/>
                <w:webHidden/>
              </w:rPr>
              <w:fldChar w:fldCharType="end"/>
            </w:r>
          </w:hyperlink>
        </w:p>
        <w:p w14:paraId="14C15AD9" w14:textId="06F6937E" w:rsidR="00407E20" w:rsidRDefault="0013555F">
          <w:pPr>
            <w:pStyle w:val="TOC1"/>
            <w:rPr>
              <w:rFonts w:asciiTheme="minorHAnsi" w:eastAsiaTheme="minorEastAsia" w:hAnsiTheme="minorHAnsi" w:cstheme="minorBidi"/>
              <w:b w:val="0"/>
              <w:noProof/>
              <w:szCs w:val="24"/>
              <w:lang w:eastAsia="en-GB"/>
            </w:rPr>
          </w:pPr>
          <w:hyperlink w:anchor="_Toc54966629" w:history="1">
            <w:r w:rsidR="00407E20" w:rsidRPr="002D1654">
              <w:rPr>
                <w:rStyle w:val="Hyperlink"/>
                <w:noProof/>
              </w:rPr>
              <w:t>4</w:t>
            </w:r>
            <w:r w:rsidR="00407E20">
              <w:rPr>
                <w:rFonts w:asciiTheme="minorHAnsi" w:eastAsiaTheme="minorEastAsia" w:hAnsiTheme="minorHAnsi" w:cstheme="minorBidi"/>
                <w:b w:val="0"/>
                <w:noProof/>
                <w:szCs w:val="24"/>
                <w:lang w:eastAsia="en-GB"/>
              </w:rPr>
              <w:tab/>
            </w:r>
            <w:r w:rsidR="00407E20" w:rsidRPr="002D1654">
              <w:rPr>
                <w:rStyle w:val="Hyperlink"/>
                <w:noProof/>
              </w:rPr>
              <w:t>Relevance of the service</w:t>
            </w:r>
            <w:r w:rsidR="00407E20">
              <w:rPr>
                <w:noProof/>
                <w:webHidden/>
              </w:rPr>
              <w:tab/>
            </w:r>
            <w:r w:rsidR="00407E20">
              <w:rPr>
                <w:noProof/>
                <w:webHidden/>
              </w:rPr>
              <w:fldChar w:fldCharType="begin"/>
            </w:r>
            <w:r w:rsidR="00407E20">
              <w:rPr>
                <w:noProof/>
                <w:webHidden/>
              </w:rPr>
              <w:instrText xml:space="preserve"> PAGEREF _Toc54966629 \h </w:instrText>
            </w:r>
            <w:r w:rsidR="00407E20">
              <w:rPr>
                <w:noProof/>
                <w:webHidden/>
              </w:rPr>
            </w:r>
            <w:r w:rsidR="00407E20">
              <w:rPr>
                <w:noProof/>
                <w:webHidden/>
              </w:rPr>
              <w:fldChar w:fldCharType="separate"/>
            </w:r>
            <w:r w:rsidR="00407E20">
              <w:rPr>
                <w:noProof/>
                <w:webHidden/>
              </w:rPr>
              <w:t>37</w:t>
            </w:r>
            <w:r w:rsidR="00407E20">
              <w:rPr>
                <w:noProof/>
                <w:webHidden/>
              </w:rPr>
              <w:fldChar w:fldCharType="end"/>
            </w:r>
          </w:hyperlink>
        </w:p>
        <w:p w14:paraId="58C6F4CC" w14:textId="12DF02B1" w:rsidR="00407E20" w:rsidRDefault="0013555F">
          <w:pPr>
            <w:pStyle w:val="TOC2"/>
            <w:rPr>
              <w:rFonts w:asciiTheme="minorHAnsi" w:eastAsiaTheme="minorEastAsia" w:hAnsiTheme="minorHAnsi" w:cstheme="minorBidi"/>
              <w:noProof/>
              <w:sz w:val="24"/>
              <w:szCs w:val="24"/>
              <w:lang w:eastAsia="en-GB"/>
            </w:rPr>
          </w:pPr>
          <w:hyperlink w:anchor="_Toc54966630" w:history="1">
            <w:r w:rsidR="00407E20" w:rsidRPr="002D1654">
              <w:rPr>
                <w:rStyle w:val="Hyperlink"/>
                <w:noProof/>
              </w:rPr>
              <w:t>4.1</w:t>
            </w:r>
            <w:r w:rsidR="00407E20">
              <w:rPr>
                <w:rFonts w:asciiTheme="minorHAnsi" w:eastAsiaTheme="minorEastAsia" w:hAnsiTheme="minorHAnsi" w:cstheme="minorBidi"/>
                <w:noProof/>
                <w:sz w:val="24"/>
                <w:szCs w:val="24"/>
                <w:lang w:eastAsia="en-GB"/>
              </w:rPr>
              <w:tab/>
            </w:r>
            <w:r w:rsidR="00407E20" w:rsidRPr="002D1654">
              <w:rPr>
                <w:rStyle w:val="Hyperlink"/>
                <w:noProof/>
              </w:rPr>
              <w:t>The service is relevant</w:t>
            </w:r>
            <w:r w:rsidR="00407E20">
              <w:rPr>
                <w:noProof/>
                <w:webHidden/>
              </w:rPr>
              <w:tab/>
            </w:r>
            <w:r w:rsidR="00407E20">
              <w:rPr>
                <w:noProof/>
                <w:webHidden/>
              </w:rPr>
              <w:fldChar w:fldCharType="begin"/>
            </w:r>
            <w:r w:rsidR="00407E20">
              <w:rPr>
                <w:noProof/>
                <w:webHidden/>
              </w:rPr>
              <w:instrText xml:space="preserve"> PAGEREF _Toc54966630 \h </w:instrText>
            </w:r>
            <w:r w:rsidR="00407E20">
              <w:rPr>
                <w:noProof/>
                <w:webHidden/>
              </w:rPr>
            </w:r>
            <w:r w:rsidR="00407E20">
              <w:rPr>
                <w:noProof/>
                <w:webHidden/>
              </w:rPr>
              <w:fldChar w:fldCharType="separate"/>
            </w:r>
            <w:r w:rsidR="00407E20">
              <w:rPr>
                <w:noProof/>
                <w:webHidden/>
              </w:rPr>
              <w:t>37</w:t>
            </w:r>
            <w:r w:rsidR="00407E20">
              <w:rPr>
                <w:noProof/>
                <w:webHidden/>
              </w:rPr>
              <w:fldChar w:fldCharType="end"/>
            </w:r>
          </w:hyperlink>
        </w:p>
        <w:p w14:paraId="63AA1843" w14:textId="7B2C00F0" w:rsidR="00407E20" w:rsidRDefault="0013555F">
          <w:pPr>
            <w:pStyle w:val="TOC2"/>
            <w:rPr>
              <w:rFonts w:asciiTheme="minorHAnsi" w:eastAsiaTheme="minorEastAsia" w:hAnsiTheme="minorHAnsi" w:cstheme="minorBidi"/>
              <w:noProof/>
              <w:sz w:val="24"/>
              <w:szCs w:val="24"/>
              <w:lang w:eastAsia="en-GB"/>
            </w:rPr>
          </w:pPr>
          <w:hyperlink w:anchor="_Toc54966631" w:history="1">
            <w:r w:rsidR="00407E20" w:rsidRPr="002D1654">
              <w:rPr>
                <w:rStyle w:val="Hyperlink"/>
                <w:noProof/>
              </w:rPr>
              <w:t>4.2</w:t>
            </w:r>
            <w:r w:rsidR="00407E20">
              <w:rPr>
                <w:rFonts w:asciiTheme="minorHAnsi" w:eastAsiaTheme="minorEastAsia" w:hAnsiTheme="minorHAnsi" w:cstheme="minorBidi"/>
                <w:noProof/>
                <w:sz w:val="24"/>
                <w:szCs w:val="24"/>
                <w:lang w:eastAsia="en-GB"/>
              </w:rPr>
              <w:tab/>
            </w:r>
            <w:r w:rsidR="00407E20" w:rsidRPr="002D1654">
              <w:rPr>
                <w:rStyle w:val="Hyperlink"/>
                <w:noProof/>
              </w:rPr>
              <w:t>Approach of the service</w:t>
            </w:r>
            <w:r w:rsidR="00407E20">
              <w:rPr>
                <w:noProof/>
                <w:webHidden/>
              </w:rPr>
              <w:tab/>
            </w:r>
            <w:r w:rsidR="00407E20">
              <w:rPr>
                <w:noProof/>
                <w:webHidden/>
              </w:rPr>
              <w:fldChar w:fldCharType="begin"/>
            </w:r>
            <w:r w:rsidR="00407E20">
              <w:rPr>
                <w:noProof/>
                <w:webHidden/>
              </w:rPr>
              <w:instrText xml:space="preserve"> PAGEREF _Toc54966631 \h </w:instrText>
            </w:r>
            <w:r w:rsidR="00407E20">
              <w:rPr>
                <w:noProof/>
                <w:webHidden/>
              </w:rPr>
            </w:r>
            <w:r w:rsidR="00407E20">
              <w:rPr>
                <w:noProof/>
                <w:webHidden/>
              </w:rPr>
              <w:fldChar w:fldCharType="separate"/>
            </w:r>
            <w:r w:rsidR="00407E20">
              <w:rPr>
                <w:noProof/>
                <w:webHidden/>
              </w:rPr>
              <w:t>39</w:t>
            </w:r>
            <w:r w:rsidR="00407E20">
              <w:rPr>
                <w:noProof/>
                <w:webHidden/>
              </w:rPr>
              <w:fldChar w:fldCharType="end"/>
            </w:r>
          </w:hyperlink>
        </w:p>
        <w:p w14:paraId="0F71C099" w14:textId="5CB656C8" w:rsidR="00407E20" w:rsidRDefault="0013555F">
          <w:pPr>
            <w:pStyle w:val="TOC2"/>
            <w:rPr>
              <w:rFonts w:asciiTheme="minorHAnsi" w:eastAsiaTheme="minorEastAsia" w:hAnsiTheme="minorHAnsi" w:cstheme="minorBidi"/>
              <w:noProof/>
              <w:sz w:val="24"/>
              <w:szCs w:val="24"/>
              <w:lang w:eastAsia="en-GB"/>
            </w:rPr>
          </w:pPr>
          <w:hyperlink w:anchor="_Toc54966632" w:history="1">
            <w:r w:rsidR="00407E20" w:rsidRPr="002D1654">
              <w:rPr>
                <w:rStyle w:val="Hyperlink"/>
                <w:noProof/>
              </w:rPr>
              <w:t>4.3</w:t>
            </w:r>
            <w:r w:rsidR="00407E20">
              <w:rPr>
                <w:rFonts w:asciiTheme="minorHAnsi" w:eastAsiaTheme="minorEastAsia" w:hAnsiTheme="minorHAnsi" w:cstheme="minorBidi"/>
                <w:noProof/>
                <w:sz w:val="24"/>
                <w:szCs w:val="24"/>
                <w:lang w:eastAsia="en-GB"/>
              </w:rPr>
              <w:tab/>
            </w:r>
            <w:r w:rsidR="00407E20" w:rsidRPr="002D1654">
              <w:rPr>
                <w:rStyle w:val="Hyperlink"/>
                <w:noProof/>
              </w:rPr>
              <w:t>Reach of the service</w:t>
            </w:r>
            <w:r w:rsidR="00407E20">
              <w:rPr>
                <w:noProof/>
                <w:webHidden/>
              </w:rPr>
              <w:tab/>
            </w:r>
            <w:r w:rsidR="00407E20">
              <w:rPr>
                <w:noProof/>
                <w:webHidden/>
              </w:rPr>
              <w:fldChar w:fldCharType="begin"/>
            </w:r>
            <w:r w:rsidR="00407E20">
              <w:rPr>
                <w:noProof/>
                <w:webHidden/>
              </w:rPr>
              <w:instrText xml:space="preserve"> PAGEREF _Toc54966632 \h </w:instrText>
            </w:r>
            <w:r w:rsidR="00407E20">
              <w:rPr>
                <w:noProof/>
                <w:webHidden/>
              </w:rPr>
            </w:r>
            <w:r w:rsidR="00407E20">
              <w:rPr>
                <w:noProof/>
                <w:webHidden/>
              </w:rPr>
              <w:fldChar w:fldCharType="separate"/>
            </w:r>
            <w:r w:rsidR="00407E20">
              <w:rPr>
                <w:noProof/>
                <w:webHidden/>
              </w:rPr>
              <w:t>40</w:t>
            </w:r>
            <w:r w:rsidR="00407E20">
              <w:rPr>
                <w:noProof/>
                <w:webHidden/>
              </w:rPr>
              <w:fldChar w:fldCharType="end"/>
            </w:r>
          </w:hyperlink>
        </w:p>
        <w:p w14:paraId="19F66388" w14:textId="0A9BD729" w:rsidR="00407E20" w:rsidRDefault="0013555F">
          <w:pPr>
            <w:pStyle w:val="TOC2"/>
            <w:rPr>
              <w:rFonts w:asciiTheme="minorHAnsi" w:eastAsiaTheme="minorEastAsia" w:hAnsiTheme="minorHAnsi" w:cstheme="minorBidi"/>
              <w:noProof/>
              <w:sz w:val="24"/>
              <w:szCs w:val="24"/>
              <w:lang w:eastAsia="en-GB"/>
            </w:rPr>
          </w:pPr>
          <w:hyperlink w:anchor="_Toc54966633" w:history="1">
            <w:r w:rsidR="00407E20" w:rsidRPr="002D1654">
              <w:rPr>
                <w:rStyle w:val="Hyperlink"/>
                <w:noProof/>
              </w:rPr>
              <w:t>4.4</w:t>
            </w:r>
            <w:r w:rsidR="00407E20">
              <w:rPr>
                <w:rFonts w:asciiTheme="minorHAnsi" w:eastAsiaTheme="minorEastAsia" w:hAnsiTheme="minorHAnsi" w:cstheme="minorBidi"/>
                <w:noProof/>
                <w:sz w:val="24"/>
                <w:szCs w:val="24"/>
                <w:lang w:eastAsia="en-GB"/>
              </w:rPr>
              <w:tab/>
            </w:r>
            <w:r w:rsidR="00407E20" w:rsidRPr="002D1654">
              <w:rPr>
                <w:rStyle w:val="Hyperlink"/>
                <w:noProof/>
              </w:rPr>
              <w:t>Engagement and relationships with stakeholders</w:t>
            </w:r>
            <w:r w:rsidR="00407E20">
              <w:rPr>
                <w:noProof/>
                <w:webHidden/>
              </w:rPr>
              <w:tab/>
            </w:r>
            <w:r w:rsidR="00407E20">
              <w:rPr>
                <w:noProof/>
                <w:webHidden/>
              </w:rPr>
              <w:fldChar w:fldCharType="begin"/>
            </w:r>
            <w:r w:rsidR="00407E20">
              <w:rPr>
                <w:noProof/>
                <w:webHidden/>
              </w:rPr>
              <w:instrText xml:space="preserve"> PAGEREF _Toc54966633 \h </w:instrText>
            </w:r>
            <w:r w:rsidR="00407E20">
              <w:rPr>
                <w:noProof/>
                <w:webHidden/>
              </w:rPr>
            </w:r>
            <w:r w:rsidR="00407E20">
              <w:rPr>
                <w:noProof/>
                <w:webHidden/>
              </w:rPr>
              <w:fldChar w:fldCharType="separate"/>
            </w:r>
            <w:r w:rsidR="00407E20">
              <w:rPr>
                <w:noProof/>
                <w:webHidden/>
              </w:rPr>
              <w:t>41</w:t>
            </w:r>
            <w:r w:rsidR="00407E20">
              <w:rPr>
                <w:noProof/>
                <w:webHidden/>
              </w:rPr>
              <w:fldChar w:fldCharType="end"/>
            </w:r>
          </w:hyperlink>
        </w:p>
        <w:p w14:paraId="1C5529DB" w14:textId="3AABD2CE" w:rsidR="00407E20" w:rsidRDefault="0013555F">
          <w:pPr>
            <w:pStyle w:val="TOC1"/>
            <w:rPr>
              <w:rFonts w:asciiTheme="minorHAnsi" w:eastAsiaTheme="minorEastAsia" w:hAnsiTheme="minorHAnsi" w:cstheme="minorBidi"/>
              <w:b w:val="0"/>
              <w:noProof/>
              <w:szCs w:val="24"/>
              <w:lang w:eastAsia="en-GB"/>
            </w:rPr>
          </w:pPr>
          <w:hyperlink w:anchor="_Toc54966634" w:history="1">
            <w:r w:rsidR="00407E20" w:rsidRPr="002D1654">
              <w:rPr>
                <w:rStyle w:val="Hyperlink"/>
                <w:noProof/>
              </w:rPr>
              <w:t>5</w:t>
            </w:r>
            <w:r w:rsidR="00407E20">
              <w:rPr>
                <w:rFonts w:asciiTheme="minorHAnsi" w:eastAsiaTheme="minorEastAsia" w:hAnsiTheme="minorHAnsi" w:cstheme="minorBidi"/>
                <w:b w:val="0"/>
                <w:noProof/>
                <w:szCs w:val="24"/>
                <w:lang w:eastAsia="en-GB"/>
              </w:rPr>
              <w:tab/>
            </w:r>
            <w:r w:rsidR="00407E20" w:rsidRPr="002D1654">
              <w:rPr>
                <w:rStyle w:val="Hyperlink"/>
                <w:noProof/>
              </w:rPr>
              <w:t>Effectiveness of the service</w:t>
            </w:r>
            <w:r w:rsidR="00407E20">
              <w:rPr>
                <w:noProof/>
                <w:webHidden/>
              </w:rPr>
              <w:tab/>
            </w:r>
            <w:r w:rsidR="00407E20">
              <w:rPr>
                <w:noProof/>
                <w:webHidden/>
              </w:rPr>
              <w:fldChar w:fldCharType="begin"/>
            </w:r>
            <w:r w:rsidR="00407E20">
              <w:rPr>
                <w:noProof/>
                <w:webHidden/>
              </w:rPr>
              <w:instrText xml:space="preserve"> PAGEREF _Toc54966634 \h </w:instrText>
            </w:r>
            <w:r w:rsidR="00407E20">
              <w:rPr>
                <w:noProof/>
                <w:webHidden/>
              </w:rPr>
            </w:r>
            <w:r w:rsidR="00407E20">
              <w:rPr>
                <w:noProof/>
                <w:webHidden/>
              </w:rPr>
              <w:fldChar w:fldCharType="separate"/>
            </w:r>
            <w:r w:rsidR="00407E20">
              <w:rPr>
                <w:noProof/>
                <w:webHidden/>
              </w:rPr>
              <w:t>44</w:t>
            </w:r>
            <w:r w:rsidR="00407E20">
              <w:rPr>
                <w:noProof/>
                <w:webHidden/>
              </w:rPr>
              <w:fldChar w:fldCharType="end"/>
            </w:r>
          </w:hyperlink>
        </w:p>
        <w:p w14:paraId="0A337B0C" w14:textId="7197241D" w:rsidR="00407E20" w:rsidRDefault="0013555F">
          <w:pPr>
            <w:pStyle w:val="TOC2"/>
            <w:rPr>
              <w:rFonts w:asciiTheme="minorHAnsi" w:eastAsiaTheme="minorEastAsia" w:hAnsiTheme="minorHAnsi" w:cstheme="minorBidi"/>
              <w:noProof/>
              <w:sz w:val="24"/>
              <w:szCs w:val="24"/>
              <w:lang w:eastAsia="en-GB"/>
            </w:rPr>
          </w:pPr>
          <w:hyperlink w:anchor="_Toc54966635" w:history="1">
            <w:r w:rsidR="00407E20" w:rsidRPr="002D1654">
              <w:rPr>
                <w:rStyle w:val="Hyperlink"/>
                <w:noProof/>
              </w:rPr>
              <w:t>5.1</w:t>
            </w:r>
            <w:r w:rsidR="00407E20">
              <w:rPr>
                <w:rFonts w:asciiTheme="minorHAnsi" w:eastAsiaTheme="minorEastAsia" w:hAnsiTheme="minorHAnsi" w:cstheme="minorBidi"/>
                <w:noProof/>
                <w:sz w:val="24"/>
                <w:szCs w:val="24"/>
                <w:lang w:eastAsia="en-GB"/>
              </w:rPr>
              <w:tab/>
            </w:r>
            <w:r w:rsidR="00407E20" w:rsidRPr="002D1654">
              <w:rPr>
                <w:rStyle w:val="Hyperlink"/>
                <w:noProof/>
              </w:rPr>
              <w:t>The service is valued</w:t>
            </w:r>
            <w:r w:rsidR="00407E20">
              <w:rPr>
                <w:noProof/>
                <w:webHidden/>
              </w:rPr>
              <w:tab/>
            </w:r>
            <w:r w:rsidR="00407E20">
              <w:rPr>
                <w:noProof/>
                <w:webHidden/>
              </w:rPr>
              <w:fldChar w:fldCharType="begin"/>
            </w:r>
            <w:r w:rsidR="00407E20">
              <w:rPr>
                <w:noProof/>
                <w:webHidden/>
              </w:rPr>
              <w:instrText xml:space="preserve"> PAGEREF _Toc54966635 \h </w:instrText>
            </w:r>
            <w:r w:rsidR="00407E20">
              <w:rPr>
                <w:noProof/>
                <w:webHidden/>
              </w:rPr>
            </w:r>
            <w:r w:rsidR="00407E20">
              <w:rPr>
                <w:noProof/>
                <w:webHidden/>
              </w:rPr>
              <w:fldChar w:fldCharType="separate"/>
            </w:r>
            <w:r w:rsidR="00407E20">
              <w:rPr>
                <w:noProof/>
                <w:webHidden/>
              </w:rPr>
              <w:t>44</w:t>
            </w:r>
            <w:r w:rsidR="00407E20">
              <w:rPr>
                <w:noProof/>
                <w:webHidden/>
              </w:rPr>
              <w:fldChar w:fldCharType="end"/>
            </w:r>
          </w:hyperlink>
        </w:p>
        <w:p w14:paraId="74042F95" w14:textId="53483C6A" w:rsidR="00407E20" w:rsidRDefault="0013555F">
          <w:pPr>
            <w:pStyle w:val="TOC2"/>
            <w:rPr>
              <w:rFonts w:asciiTheme="minorHAnsi" w:eastAsiaTheme="minorEastAsia" w:hAnsiTheme="minorHAnsi" w:cstheme="minorBidi"/>
              <w:noProof/>
              <w:sz w:val="24"/>
              <w:szCs w:val="24"/>
              <w:lang w:eastAsia="en-GB"/>
            </w:rPr>
          </w:pPr>
          <w:hyperlink w:anchor="_Toc54966636" w:history="1">
            <w:r w:rsidR="00407E20" w:rsidRPr="002D1654">
              <w:rPr>
                <w:rStyle w:val="Hyperlink"/>
                <w:noProof/>
              </w:rPr>
              <w:t>5.2</w:t>
            </w:r>
            <w:r w:rsidR="00407E20">
              <w:rPr>
                <w:rFonts w:asciiTheme="minorHAnsi" w:eastAsiaTheme="minorEastAsia" w:hAnsiTheme="minorHAnsi" w:cstheme="minorBidi"/>
                <w:noProof/>
                <w:sz w:val="24"/>
                <w:szCs w:val="24"/>
                <w:lang w:eastAsia="en-GB"/>
              </w:rPr>
              <w:tab/>
            </w:r>
            <w:r w:rsidR="00407E20" w:rsidRPr="002D1654">
              <w:rPr>
                <w:rStyle w:val="Hyperlink"/>
                <w:noProof/>
              </w:rPr>
              <w:t>Consistency of the service</w:t>
            </w:r>
            <w:r w:rsidR="00407E20">
              <w:rPr>
                <w:noProof/>
                <w:webHidden/>
              </w:rPr>
              <w:tab/>
            </w:r>
            <w:r w:rsidR="00407E20">
              <w:rPr>
                <w:noProof/>
                <w:webHidden/>
              </w:rPr>
              <w:fldChar w:fldCharType="begin"/>
            </w:r>
            <w:r w:rsidR="00407E20">
              <w:rPr>
                <w:noProof/>
                <w:webHidden/>
              </w:rPr>
              <w:instrText xml:space="preserve"> PAGEREF _Toc54966636 \h </w:instrText>
            </w:r>
            <w:r w:rsidR="00407E20">
              <w:rPr>
                <w:noProof/>
                <w:webHidden/>
              </w:rPr>
            </w:r>
            <w:r w:rsidR="00407E20">
              <w:rPr>
                <w:noProof/>
                <w:webHidden/>
              </w:rPr>
              <w:fldChar w:fldCharType="separate"/>
            </w:r>
            <w:r w:rsidR="00407E20">
              <w:rPr>
                <w:noProof/>
                <w:webHidden/>
              </w:rPr>
              <w:t>46</w:t>
            </w:r>
            <w:r w:rsidR="00407E20">
              <w:rPr>
                <w:noProof/>
                <w:webHidden/>
              </w:rPr>
              <w:fldChar w:fldCharType="end"/>
            </w:r>
          </w:hyperlink>
        </w:p>
        <w:p w14:paraId="5FA2581F" w14:textId="184D0DA3" w:rsidR="00407E20" w:rsidRDefault="0013555F">
          <w:pPr>
            <w:pStyle w:val="TOC2"/>
            <w:rPr>
              <w:rFonts w:asciiTheme="minorHAnsi" w:eastAsiaTheme="minorEastAsia" w:hAnsiTheme="minorHAnsi" w:cstheme="minorBidi"/>
              <w:noProof/>
              <w:sz w:val="24"/>
              <w:szCs w:val="24"/>
              <w:lang w:eastAsia="en-GB"/>
            </w:rPr>
          </w:pPr>
          <w:hyperlink w:anchor="_Toc54966637" w:history="1">
            <w:r w:rsidR="00407E20" w:rsidRPr="002D1654">
              <w:rPr>
                <w:rStyle w:val="Hyperlink"/>
                <w:noProof/>
              </w:rPr>
              <w:t>5.3</w:t>
            </w:r>
            <w:r w:rsidR="00407E20">
              <w:rPr>
                <w:rFonts w:asciiTheme="minorHAnsi" w:eastAsiaTheme="minorEastAsia" w:hAnsiTheme="minorHAnsi" w:cstheme="minorBidi"/>
                <w:noProof/>
                <w:sz w:val="24"/>
                <w:szCs w:val="24"/>
                <w:lang w:eastAsia="en-GB"/>
              </w:rPr>
              <w:tab/>
            </w:r>
            <w:r w:rsidR="00407E20" w:rsidRPr="002D1654">
              <w:rPr>
                <w:rStyle w:val="Hyperlink"/>
                <w:noProof/>
              </w:rPr>
              <w:t>Governance and accountability</w:t>
            </w:r>
            <w:r w:rsidR="00407E20">
              <w:rPr>
                <w:noProof/>
                <w:webHidden/>
              </w:rPr>
              <w:tab/>
            </w:r>
            <w:r w:rsidR="00407E20">
              <w:rPr>
                <w:noProof/>
                <w:webHidden/>
              </w:rPr>
              <w:fldChar w:fldCharType="begin"/>
            </w:r>
            <w:r w:rsidR="00407E20">
              <w:rPr>
                <w:noProof/>
                <w:webHidden/>
              </w:rPr>
              <w:instrText xml:space="preserve"> PAGEREF _Toc54966637 \h </w:instrText>
            </w:r>
            <w:r w:rsidR="00407E20">
              <w:rPr>
                <w:noProof/>
                <w:webHidden/>
              </w:rPr>
            </w:r>
            <w:r w:rsidR="00407E20">
              <w:rPr>
                <w:noProof/>
                <w:webHidden/>
              </w:rPr>
              <w:fldChar w:fldCharType="separate"/>
            </w:r>
            <w:r w:rsidR="00407E20">
              <w:rPr>
                <w:noProof/>
                <w:webHidden/>
              </w:rPr>
              <w:t>48</w:t>
            </w:r>
            <w:r w:rsidR="00407E20">
              <w:rPr>
                <w:noProof/>
                <w:webHidden/>
              </w:rPr>
              <w:fldChar w:fldCharType="end"/>
            </w:r>
          </w:hyperlink>
        </w:p>
        <w:p w14:paraId="721B73CD" w14:textId="1349B11F" w:rsidR="00407E20" w:rsidRDefault="0013555F">
          <w:pPr>
            <w:pStyle w:val="TOC2"/>
            <w:rPr>
              <w:rFonts w:asciiTheme="minorHAnsi" w:eastAsiaTheme="minorEastAsia" w:hAnsiTheme="minorHAnsi" w:cstheme="minorBidi"/>
              <w:noProof/>
              <w:sz w:val="24"/>
              <w:szCs w:val="24"/>
              <w:lang w:eastAsia="en-GB"/>
            </w:rPr>
          </w:pPr>
          <w:hyperlink w:anchor="_Toc54966638" w:history="1">
            <w:r w:rsidR="00407E20" w:rsidRPr="002D1654">
              <w:rPr>
                <w:rStyle w:val="Hyperlink"/>
                <w:noProof/>
              </w:rPr>
              <w:t>5.4</w:t>
            </w:r>
            <w:r w:rsidR="00407E20">
              <w:rPr>
                <w:rFonts w:asciiTheme="minorHAnsi" w:eastAsiaTheme="minorEastAsia" w:hAnsiTheme="minorHAnsi" w:cstheme="minorBidi"/>
                <w:noProof/>
                <w:sz w:val="24"/>
                <w:szCs w:val="24"/>
                <w:lang w:eastAsia="en-GB"/>
              </w:rPr>
              <w:tab/>
            </w:r>
            <w:r w:rsidR="00407E20" w:rsidRPr="002D1654">
              <w:rPr>
                <w:rStyle w:val="Hyperlink"/>
                <w:noProof/>
              </w:rPr>
              <w:t>Support services provided</w:t>
            </w:r>
            <w:r w:rsidR="00407E20">
              <w:rPr>
                <w:noProof/>
                <w:webHidden/>
              </w:rPr>
              <w:tab/>
            </w:r>
            <w:r w:rsidR="00407E20">
              <w:rPr>
                <w:noProof/>
                <w:webHidden/>
              </w:rPr>
              <w:fldChar w:fldCharType="begin"/>
            </w:r>
            <w:r w:rsidR="00407E20">
              <w:rPr>
                <w:noProof/>
                <w:webHidden/>
              </w:rPr>
              <w:instrText xml:space="preserve"> PAGEREF _Toc54966638 \h </w:instrText>
            </w:r>
            <w:r w:rsidR="00407E20">
              <w:rPr>
                <w:noProof/>
                <w:webHidden/>
              </w:rPr>
            </w:r>
            <w:r w:rsidR="00407E20">
              <w:rPr>
                <w:noProof/>
                <w:webHidden/>
              </w:rPr>
              <w:fldChar w:fldCharType="separate"/>
            </w:r>
            <w:r w:rsidR="00407E20">
              <w:rPr>
                <w:noProof/>
                <w:webHidden/>
              </w:rPr>
              <w:t>52</w:t>
            </w:r>
            <w:r w:rsidR="00407E20">
              <w:rPr>
                <w:noProof/>
                <w:webHidden/>
              </w:rPr>
              <w:fldChar w:fldCharType="end"/>
            </w:r>
          </w:hyperlink>
        </w:p>
        <w:p w14:paraId="223677CF" w14:textId="0A01ACBF" w:rsidR="00407E20" w:rsidRDefault="0013555F">
          <w:pPr>
            <w:pStyle w:val="TOC1"/>
            <w:rPr>
              <w:rFonts w:asciiTheme="minorHAnsi" w:eastAsiaTheme="minorEastAsia" w:hAnsiTheme="minorHAnsi" w:cstheme="minorBidi"/>
              <w:b w:val="0"/>
              <w:noProof/>
              <w:szCs w:val="24"/>
              <w:lang w:eastAsia="en-GB"/>
            </w:rPr>
          </w:pPr>
          <w:hyperlink w:anchor="_Toc54966639" w:history="1">
            <w:r w:rsidR="00407E20" w:rsidRPr="002D1654">
              <w:rPr>
                <w:rStyle w:val="Hyperlink"/>
                <w:noProof/>
              </w:rPr>
              <w:t>6</w:t>
            </w:r>
            <w:r w:rsidR="00407E20">
              <w:rPr>
                <w:rFonts w:asciiTheme="minorHAnsi" w:eastAsiaTheme="minorEastAsia" w:hAnsiTheme="minorHAnsi" w:cstheme="minorBidi"/>
                <w:b w:val="0"/>
                <w:noProof/>
                <w:szCs w:val="24"/>
                <w:lang w:eastAsia="en-GB"/>
              </w:rPr>
              <w:tab/>
            </w:r>
            <w:r w:rsidR="00407E20" w:rsidRPr="002D1654">
              <w:rPr>
                <w:rStyle w:val="Hyperlink"/>
                <w:noProof/>
              </w:rPr>
              <w:t>Efficiency of the service</w:t>
            </w:r>
            <w:r w:rsidR="00407E20">
              <w:rPr>
                <w:noProof/>
                <w:webHidden/>
              </w:rPr>
              <w:tab/>
            </w:r>
            <w:r w:rsidR="00407E20">
              <w:rPr>
                <w:noProof/>
                <w:webHidden/>
              </w:rPr>
              <w:fldChar w:fldCharType="begin"/>
            </w:r>
            <w:r w:rsidR="00407E20">
              <w:rPr>
                <w:noProof/>
                <w:webHidden/>
              </w:rPr>
              <w:instrText xml:space="preserve"> PAGEREF _Toc54966639 \h </w:instrText>
            </w:r>
            <w:r w:rsidR="00407E20">
              <w:rPr>
                <w:noProof/>
                <w:webHidden/>
              </w:rPr>
            </w:r>
            <w:r w:rsidR="00407E20">
              <w:rPr>
                <w:noProof/>
                <w:webHidden/>
              </w:rPr>
              <w:fldChar w:fldCharType="separate"/>
            </w:r>
            <w:r w:rsidR="00407E20">
              <w:rPr>
                <w:noProof/>
                <w:webHidden/>
              </w:rPr>
              <w:t>59</w:t>
            </w:r>
            <w:r w:rsidR="00407E20">
              <w:rPr>
                <w:noProof/>
                <w:webHidden/>
              </w:rPr>
              <w:fldChar w:fldCharType="end"/>
            </w:r>
          </w:hyperlink>
        </w:p>
        <w:p w14:paraId="1E9F0F40" w14:textId="0B4164DF" w:rsidR="00407E20" w:rsidRDefault="0013555F">
          <w:pPr>
            <w:pStyle w:val="TOC2"/>
            <w:rPr>
              <w:rFonts w:asciiTheme="minorHAnsi" w:eastAsiaTheme="minorEastAsia" w:hAnsiTheme="minorHAnsi" w:cstheme="minorBidi"/>
              <w:noProof/>
              <w:sz w:val="24"/>
              <w:szCs w:val="24"/>
              <w:lang w:eastAsia="en-GB"/>
            </w:rPr>
          </w:pPr>
          <w:hyperlink w:anchor="_Toc54966640" w:history="1">
            <w:r w:rsidR="00407E20" w:rsidRPr="002D1654">
              <w:rPr>
                <w:rStyle w:val="Hyperlink"/>
                <w:noProof/>
              </w:rPr>
              <w:t>6.1</w:t>
            </w:r>
            <w:r w:rsidR="00407E20">
              <w:rPr>
                <w:rFonts w:asciiTheme="minorHAnsi" w:eastAsiaTheme="minorEastAsia" w:hAnsiTheme="minorHAnsi" w:cstheme="minorBidi"/>
                <w:noProof/>
                <w:sz w:val="24"/>
                <w:szCs w:val="24"/>
                <w:lang w:eastAsia="en-GB"/>
              </w:rPr>
              <w:tab/>
            </w:r>
            <w:r w:rsidR="00407E20" w:rsidRPr="002D1654">
              <w:rPr>
                <w:rStyle w:val="Hyperlink"/>
                <w:noProof/>
              </w:rPr>
              <w:t>Is the NICRS duplicating services or filling gaps?</w:t>
            </w:r>
            <w:r w:rsidR="00407E20">
              <w:rPr>
                <w:noProof/>
                <w:webHidden/>
              </w:rPr>
              <w:tab/>
            </w:r>
            <w:r w:rsidR="00407E20">
              <w:rPr>
                <w:noProof/>
                <w:webHidden/>
              </w:rPr>
              <w:fldChar w:fldCharType="begin"/>
            </w:r>
            <w:r w:rsidR="00407E20">
              <w:rPr>
                <w:noProof/>
                <w:webHidden/>
              </w:rPr>
              <w:instrText xml:space="preserve"> PAGEREF _Toc54966640 \h </w:instrText>
            </w:r>
            <w:r w:rsidR="00407E20">
              <w:rPr>
                <w:noProof/>
                <w:webHidden/>
              </w:rPr>
            </w:r>
            <w:r w:rsidR="00407E20">
              <w:rPr>
                <w:noProof/>
                <w:webHidden/>
              </w:rPr>
              <w:fldChar w:fldCharType="separate"/>
            </w:r>
            <w:r w:rsidR="00407E20">
              <w:rPr>
                <w:noProof/>
                <w:webHidden/>
              </w:rPr>
              <w:t>59</w:t>
            </w:r>
            <w:r w:rsidR="00407E20">
              <w:rPr>
                <w:noProof/>
                <w:webHidden/>
              </w:rPr>
              <w:fldChar w:fldCharType="end"/>
            </w:r>
          </w:hyperlink>
        </w:p>
        <w:p w14:paraId="5718D5ED" w14:textId="2BCE0A05" w:rsidR="00407E20" w:rsidRDefault="0013555F">
          <w:pPr>
            <w:pStyle w:val="TOC2"/>
            <w:rPr>
              <w:rFonts w:asciiTheme="minorHAnsi" w:eastAsiaTheme="minorEastAsia" w:hAnsiTheme="minorHAnsi" w:cstheme="minorBidi"/>
              <w:noProof/>
              <w:sz w:val="24"/>
              <w:szCs w:val="24"/>
              <w:lang w:eastAsia="en-GB"/>
            </w:rPr>
          </w:pPr>
          <w:hyperlink w:anchor="_Toc54966641" w:history="1">
            <w:r w:rsidR="00407E20" w:rsidRPr="002D1654">
              <w:rPr>
                <w:rStyle w:val="Hyperlink"/>
                <w:noProof/>
              </w:rPr>
              <w:t>6.2</w:t>
            </w:r>
            <w:r w:rsidR="00407E20">
              <w:rPr>
                <w:rFonts w:asciiTheme="minorHAnsi" w:eastAsiaTheme="minorEastAsia" w:hAnsiTheme="minorHAnsi" w:cstheme="minorBidi"/>
                <w:noProof/>
                <w:sz w:val="24"/>
                <w:szCs w:val="24"/>
                <w:lang w:eastAsia="en-GB"/>
              </w:rPr>
              <w:tab/>
            </w:r>
            <w:r w:rsidR="00407E20" w:rsidRPr="002D1654">
              <w:rPr>
                <w:rStyle w:val="Hyperlink"/>
                <w:noProof/>
              </w:rPr>
              <w:t>Duration of critical response contact</w:t>
            </w:r>
            <w:r w:rsidR="00407E20">
              <w:rPr>
                <w:noProof/>
                <w:webHidden/>
              </w:rPr>
              <w:tab/>
            </w:r>
            <w:r w:rsidR="00407E20">
              <w:rPr>
                <w:noProof/>
                <w:webHidden/>
              </w:rPr>
              <w:fldChar w:fldCharType="begin"/>
            </w:r>
            <w:r w:rsidR="00407E20">
              <w:rPr>
                <w:noProof/>
                <w:webHidden/>
              </w:rPr>
              <w:instrText xml:space="preserve"> PAGEREF _Toc54966641 \h </w:instrText>
            </w:r>
            <w:r w:rsidR="00407E20">
              <w:rPr>
                <w:noProof/>
                <w:webHidden/>
              </w:rPr>
            </w:r>
            <w:r w:rsidR="00407E20">
              <w:rPr>
                <w:noProof/>
                <w:webHidden/>
              </w:rPr>
              <w:fldChar w:fldCharType="separate"/>
            </w:r>
            <w:r w:rsidR="00407E20">
              <w:rPr>
                <w:noProof/>
                <w:webHidden/>
              </w:rPr>
              <w:t>60</w:t>
            </w:r>
            <w:r w:rsidR="00407E20">
              <w:rPr>
                <w:noProof/>
                <w:webHidden/>
              </w:rPr>
              <w:fldChar w:fldCharType="end"/>
            </w:r>
          </w:hyperlink>
        </w:p>
        <w:p w14:paraId="6ED3D078" w14:textId="0D521FBB" w:rsidR="00407E20" w:rsidRDefault="0013555F">
          <w:pPr>
            <w:pStyle w:val="TOC2"/>
            <w:rPr>
              <w:rFonts w:asciiTheme="minorHAnsi" w:eastAsiaTheme="minorEastAsia" w:hAnsiTheme="minorHAnsi" w:cstheme="minorBidi"/>
              <w:noProof/>
              <w:sz w:val="24"/>
              <w:szCs w:val="24"/>
              <w:lang w:eastAsia="en-GB"/>
            </w:rPr>
          </w:pPr>
          <w:hyperlink w:anchor="_Toc54966642" w:history="1">
            <w:r w:rsidR="00407E20" w:rsidRPr="002D1654">
              <w:rPr>
                <w:rStyle w:val="Hyperlink"/>
                <w:noProof/>
              </w:rPr>
              <w:t>6.3</w:t>
            </w:r>
            <w:r w:rsidR="00407E20">
              <w:rPr>
                <w:rFonts w:asciiTheme="minorHAnsi" w:eastAsiaTheme="minorEastAsia" w:hAnsiTheme="minorHAnsi" w:cstheme="minorBidi"/>
                <w:noProof/>
                <w:sz w:val="24"/>
                <w:szCs w:val="24"/>
                <w:lang w:eastAsia="en-GB"/>
              </w:rPr>
              <w:tab/>
            </w:r>
            <w:r w:rsidR="00407E20" w:rsidRPr="002D1654">
              <w:rPr>
                <w:rStyle w:val="Hyperlink"/>
                <w:noProof/>
              </w:rPr>
              <w:t>Use of CRSA time</w:t>
            </w:r>
            <w:r w:rsidR="00407E20">
              <w:rPr>
                <w:noProof/>
                <w:webHidden/>
              </w:rPr>
              <w:tab/>
            </w:r>
            <w:r w:rsidR="00407E20">
              <w:rPr>
                <w:noProof/>
                <w:webHidden/>
              </w:rPr>
              <w:fldChar w:fldCharType="begin"/>
            </w:r>
            <w:r w:rsidR="00407E20">
              <w:rPr>
                <w:noProof/>
                <w:webHidden/>
              </w:rPr>
              <w:instrText xml:space="preserve"> PAGEREF _Toc54966642 \h </w:instrText>
            </w:r>
            <w:r w:rsidR="00407E20">
              <w:rPr>
                <w:noProof/>
                <w:webHidden/>
              </w:rPr>
            </w:r>
            <w:r w:rsidR="00407E20">
              <w:rPr>
                <w:noProof/>
                <w:webHidden/>
              </w:rPr>
              <w:fldChar w:fldCharType="separate"/>
            </w:r>
            <w:r w:rsidR="00407E20">
              <w:rPr>
                <w:noProof/>
                <w:webHidden/>
              </w:rPr>
              <w:t>60</w:t>
            </w:r>
            <w:r w:rsidR="00407E20">
              <w:rPr>
                <w:noProof/>
                <w:webHidden/>
              </w:rPr>
              <w:fldChar w:fldCharType="end"/>
            </w:r>
          </w:hyperlink>
        </w:p>
        <w:p w14:paraId="4EF17099" w14:textId="7E550160" w:rsidR="00407E20" w:rsidRDefault="0013555F">
          <w:pPr>
            <w:pStyle w:val="TOC1"/>
            <w:rPr>
              <w:rFonts w:asciiTheme="minorHAnsi" w:eastAsiaTheme="minorEastAsia" w:hAnsiTheme="minorHAnsi" w:cstheme="minorBidi"/>
              <w:b w:val="0"/>
              <w:noProof/>
              <w:szCs w:val="24"/>
              <w:lang w:eastAsia="en-GB"/>
            </w:rPr>
          </w:pPr>
          <w:hyperlink w:anchor="_Toc54966643" w:history="1">
            <w:r w:rsidR="00407E20" w:rsidRPr="002D1654">
              <w:rPr>
                <w:rStyle w:val="Hyperlink"/>
                <w:noProof/>
              </w:rPr>
              <w:t>7</w:t>
            </w:r>
            <w:r w:rsidR="00407E20">
              <w:rPr>
                <w:rFonts w:asciiTheme="minorHAnsi" w:eastAsiaTheme="minorEastAsia" w:hAnsiTheme="minorHAnsi" w:cstheme="minorBidi"/>
                <w:b w:val="0"/>
                <w:noProof/>
                <w:szCs w:val="24"/>
                <w:lang w:eastAsia="en-GB"/>
              </w:rPr>
              <w:tab/>
            </w:r>
            <w:r w:rsidR="00407E20" w:rsidRPr="002D1654">
              <w:rPr>
                <w:rStyle w:val="Hyperlink"/>
                <w:noProof/>
              </w:rPr>
              <w:t>Impact of the service</w:t>
            </w:r>
            <w:r w:rsidR="00407E20">
              <w:rPr>
                <w:noProof/>
                <w:webHidden/>
              </w:rPr>
              <w:tab/>
            </w:r>
            <w:r w:rsidR="00407E20">
              <w:rPr>
                <w:noProof/>
                <w:webHidden/>
              </w:rPr>
              <w:fldChar w:fldCharType="begin"/>
            </w:r>
            <w:r w:rsidR="00407E20">
              <w:rPr>
                <w:noProof/>
                <w:webHidden/>
              </w:rPr>
              <w:instrText xml:space="preserve"> PAGEREF _Toc54966643 \h </w:instrText>
            </w:r>
            <w:r w:rsidR="00407E20">
              <w:rPr>
                <w:noProof/>
                <w:webHidden/>
              </w:rPr>
            </w:r>
            <w:r w:rsidR="00407E20">
              <w:rPr>
                <w:noProof/>
                <w:webHidden/>
              </w:rPr>
              <w:fldChar w:fldCharType="separate"/>
            </w:r>
            <w:r w:rsidR="00407E20">
              <w:rPr>
                <w:noProof/>
                <w:webHidden/>
              </w:rPr>
              <w:t>62</w:t>
            </w:r>
            <w:r w:rsidR="00407E20">
              <w:rPr>
                <w:noProof/>
                <w:webHidden/>
              </w:rPr>
              <w:fldChar w:fldCharType="end"/>
            </w:r>
          </w:hyperlink>
        </w:p>
        <w:p w14:paraId="1F7971BB" w14:textId="680FE4EB" w:rsidR="00407E20" w:rsidRDefault="0013555F">
          <w:pPr>
            <w:pStyle w:val="TOC2"/>
            <w:rPr>
              <w:rFonts w:asciiTheme="minorHAnsi" w:eastAsiaTheme="minorEastAsia" w:hAnsiTheme="minorHAnsi" w:cstheme="minorBidi"/>
              <w:noProof/>
              <w:sz w:val="24"/>
              <w:szCs w:val="24"/>
              <w:lang w:eastAsia="en-GB"/>
            </w:rPr>
          </w:pPr>
          <w:hyperlink w:anchor="_Toc54966644" w:history="1">
            <w:r w:rsidR="00407E20" w:rsidRPr="002D1654">
              <w:rPr>
                <w:rStyle w:val="Hyperlink"/>
                <w:noProof/>
              </w:rPr>
              <w:t>7.1</w:t>
            </w:r>
            <w:r w:rsidR="00407E20">
              <w:rPr>
                <w:rFonts w:asciiTheme="minorHAnsi" w:eastAsiaTheme="minorEastAsia" w:hAnsiTheme="minorHAnsi" w:cstheme="minorBidi"/>
                <w:noProof/>
                <w:sz w:val="24"/>
                <w:szCs w:val="24"/>
                <w:lang w:eastAsia="en-GB"/>
              </w:rPr>
              <w:tab/>
            </w:r>
            <w:r w:rsidR="00407E20" w:rsidRPr="002D1654">
              <w:rPr>
                <w:rStyle w:val="Hyperlink"/>
                <w:noProof/>
              </w:rPr>
              <w:t>Subjective impressions</w:t>
            </w:r>
            <w:r w:rsidR="00407E20">
              <w:rPr>
                <w:noProof/>
                <w:webHidden/>
              </w:rPr>
              <w:tab/>
            </w:r>
            <w:r w:rsidR="00407E20">
              <w:rPr>
                <w:noProof/>
                <w:webHidden/>
              </w:rPr>
              <w:fldChar w:fldCharType="begin"/>
            </w:r>
            <w:r w:rsidR="00407E20">
              <w:rPr>
                <w:noProof/>
                <w:webHidden/>
              </w:rPr>
              <w:instrText xml:space="preserve"> PAGEREF _Toc54966644 \h </w:instrText>
            </w:r>
            <w:r w:rsidR="00407E20">
              <w:rPr>
                <w:noProof/>
                <w:webHidden/>
              </w:rPr>
            </w:r>
            <w:r w:rsidR="00407E20">
              <w:rPr>
                <w:noProof/>
                <w:webHidden/>
              </w:rPr>
              <w:fldChar w:fldCharType="separate"/>
            </w:r>
            <w:r w:rsidR="00407E20">
              <w:rPr>
                <w:noProof/>
                <w:webHidden/>
              </w:rPr>
              <w:t>62</w:t>
            </w:r>
            <w:r w:rsidR="00407E20">
              <w:rPr>
                <w:noProof/>
                <w:webHidden/>
              </w:rPr>
              <w:fldChar w:fldCharType="end"/>
            </w:r>
          </w:hyperlink>
        </w:p>
        <w:p w14:paraId="110CC5BD" w14:textId="49F0E0FE" w:rsidR="00407E20" w:rsidRDefault="0013555F">
          <w:pPr>
            <w:pStyle w:val="TOC2"/>
            <w:rPr>
              <w:rFonts w:asciiTheme="minorHAnsi" w:eastAsiaTheme="minorEastAsia" w:hAnsiTheme="minorHAnsi" w:cstheme="minorBidi"/>
              <w:noProof/>
              <w:sz w:val="24"/>
              <w:szCs w:val="24"/>
              <w:lang w:eastAsia="en-GB"/>
            </w:rPr>
          </w:pPr>
          <w:hyperlink w:anchor="_Toc54966645" w:history="1">
            <w:r w:rsidR="00407E20" w:rsidRPr="002D1654">
              <w:rPr>
                <w:rStyle w:val="Hyperlink"/>
                <w:noProof/>
              </w:rPr>
              <w:t>7.2</w:t>
            </w:r>
            <w:r w:rsidR="00407E20">
              <w:rPr>
                <w:rFonts w:asciiTheme="minorHAnsi" w:eastAsiaTheme="minorEastAsia" w:hAnsiTheme="minorHAnsi" w:cstheme="minorBidi"/>
                <w:noProof/>
                <w:sz w:val="24"/>
                <w:szCs w:val="24"/>
                <w:lang w:eastAsia="en-GB"/>
              </w:rPr>
              <w:tab/>
            </w:r>
            <w:r w:rsidR="00407E20" w:rsidRPr="002D1654">
              <w:rPr>
                <w:rStyle w:val="Hyperlink"/>
                <w:noProof/>
              </w:rPr>
              <w:t>Objective measurement</w:t>
            </w:r>
            <w:r w:rsidR="00407E20">
              <w:rPr>
                <w:noProof/>
                <w:webHidden/>
              </w:rPr>
              <w:tab/>
            </w:r>
            <w:r w:rsidR="00407E20">
              <w:rPr>
                <w:noProof/>
                <w:webHidden/>
              </w:rPr>
              <w:fldChar w:fldCharType="begin"/>
            </w:r>
            <w:r w:rsidR="00407E20">
              <w:rPr>
                <w:noProof/>
                <w:webHidden/>
              </w:rPr>
              <w:instrText xml:space="preserve"> PAGEREF _Toc54966645 \h </w:instrText>
            </w:r>
            <w:r w:rsidR="00407E20">
              <w:rPr>
                <w:noProof/>
                <w:webHidden/>
              </w:rPr>
            </w:r>
            <w:r w:rsidR="00407E20">
              <w:rPr>
                <w:noProof/>
                <w:webHidden/>
              </w:rPr>
              <w:fldChar w:fldCharType="separate"/>
            </w:r>
            <w:r w:rsidR="00407E20">
              <w:rPr>
                <w:noProof/>
                <w:webHidden/>
              </w:rPr>
              <w:t>63</w:t>
            </w:r>
            <w:r w:rsidR="00407E20">
              <w:rPr>
                <w:noProof/>
                <w:webHidden/>
              </w:rPr>
              <w:fldChar w:fldCharType="end"/>
            </w:r>
          </w:hyperlink>
        </w:p>
        <w:p w14:paraId="320A9CFB" w14:textId="69D732D4" w:rsidR="00407E20" w:rsidRDefault="0013555F">
          <w:pPr>
            <w:pStyle w:val="TOC2"/>
            <w:rPr>
              <w:rFonts w:asciiTheme="minorHAnsi" w:eastAsiaTheme="minorEastAsia" w:hAnsiTheme="minorHAnsi" w:cstheme="minorBidi"/>
              <w:noProof/>
              <w:sz w:val="24"/>
              <w:szCs w:val="24"/>
              <w:lang w:eastAsia="en-GB"/>
            </w:rPr>
          </w:pPr>
          <w:hyperlink w:anchor="_Toc54966646" w:history="1">
            <w:r w:rsidR="00407E20" w:rsidRPr="002D1654">
              <w:rPr>
                <w:rStyle w:val="Hyperlink"/>
                <w:noProof/>
              </w:rPr>
              <w:t>7.3</w:t>
            </w:r>
            <w:r w:rsidR="00407E20">
              <w:rPr>
                <w:rFonts w:asciiTheme="minorHAnsi" w:eastAsiaTheme="minorEastAsia" w:hAnsiTheme="minorHAnsi" w:cstheme="minorBidi"/>
                <w:noProof/>
                <w:sz w:val="24"/>
                <w:szCs w:val="24"/>
                <w:lang w:eastAsia="en-GB"/>
              </w:rPr>
              <w:tab/>
            </w:r>
            <w:r w:rsidR="00407E20" w:rsidRPr="002D1654">
              <w:rPr>
                <w:rStyle w:val="Hyperlink"/>
                <w:noProof/>
              </w:rPr>
              <w:t>Process of data collection</w:t>
            </w:r>
            <w:r w:rsidR="00407E20">
              <w:rPr>
                <w:noProof/>
                <w:webHidden/>
              </w:rPr>
              <w:tab/>
            </w:r>
            <w:r w:rsidR="00407E20">
              <w:rPr>
                <w:noProof/>
                <w:webHidden/>
              </w:rPr>
              <w:fldChar w:fldCharType="begin"/>
            </w:r>
            <w:r w:rsidR="00407E20">
              <w:rPr>
                <w:noProof/>
                <w:webHidden/>
              </w:rPr>
              <w:instrText xml:space="preserve"> PAGEREF _Toc54966646 \h </w:instrText>
            </w:r>
            <w:r w:rsidR="00407E20">
              <w:rPr>
                <w:noProof/>
                <w:webHidden/>
              </w:rPr>
            </w:r>
            <w:r w:rsidR="00407E20">
              <w:rPr>
                <w:noProof/>
                <w:webHidden/>
              </w:rPr>
              <w:fldChar w:fldCharType="separate"/>
            </w:r>
            <w:r w:rsidR="00407E20">
              <w:rPr>
                <w:noProof/>
                <w:webHidden/>
              </w:rPr>
              <w:t>64</w:t>
            </w:r>
            <w:r w:rsidR="00407E20">
              <w:rPr>
                <w:noProof/>
                <w:webHidden/>
              </w:rPr>
              <w:fldChar w:fldCharType="end"/>
            </w:r>
          </w:hyperlink>
        </w:p>
        <w:p w14:paraId="5C35214C" w14:textId="0E50C582" w:rsidR="00407E20" w:rsidRDefault="0013555F">
          <w:pPr>
            <w:pStyle w:val="TOC1"/>
            <w:rPr>
              <w:rFonts w:asciiTheme="minorHAnsi" w:eastAsiaTheme="minorEastAsia" w:hAnsiTheme="minorHAnsi" w:cstheme="minorBidi"/>
              <w:b w:val="0"/>
              <w:noProof/>
              <w:szCs w:val="24"/>
              <w:lang w:eastAsia="en-GB"/>
            </w:rPr>
          </w:pPr>
          <w:hyperlink w:anchor="_Toc54966647" w:history="1">
            <w:r w:rsidR="00407E20" w:rsidRPr="002D1654">
              <w:rPr>
                <w:rStyle w:val="Hyperlink"/>
                <w:noProof/>
              </w:rPr>
              <w:t>8</w:t>
            </w:r>
            <w:r w:rsidR="00407E20">
              <w:rPr>
                <w:rFonts w:asciiTheme="minorHAnsi" w:eastAsiaTheme="minorEastAsia" w:hAnsiTheme="minorHAnsi" w:cstheme="minorBidi"/>
                <w:b w:val="0"/>
                <w:noProof/>
                <w:szCs w:val="24"/>
                <w:lang w:eastAsia="en-GB"/>
              </w:rPr>
              <w:tab/>
            </w:r>
            <w:r w:rsidR="00407E20" w:rsidRPr="002D1654">
              <w:rPr>
                <w:rStyle w:val="Hyperlink"/>
                <w:noProof/>
              </w:rPr>
              <w:t>Sustainability of the service</w:t>
            </w:r>
            <w:r w:rsidR="00407E20">
              <w:rPr>
                <w:noProof/>
                <w:webHidden/>
              </w:rPr>
              <w:tab/>
            </w:r>
            <w:r w:rsidR="00407E20">
              <w:rPr>
                <w:noProof/>
                <w:webHidden/>
              </w:rPr>
              <w:fldChar w:fldCharType="begin"/>
            </w:r>
            <w:r w:rsidR="00407E20">
              <w:rPr>
                <w:noProof/>
                <w:webHidden/>
              </w:rPr>
              <w:instrText xml:space="preserve"> PAGEREF _Toc54966647 \h </w:instrText>
            </w:r>
            <w:r w:rsidR="00407E20">
              <w:rPr>
                <w:noProof/>
                <w:webHidden/>
              </w:rPr>
            </w:r>
            <w:r w:rsidR="00407E20">
              <w:rPr>
                <w:noProof/>
                <w:webHidden/>
              </w:rPr>
              <w:fldChar w:fldCharType="separate"/>
            </w:r>
            <w:r w:rsidR="00407E20">
              <w:rPr>
                <w:noProof/>
                <w:webHidden/>
              </w:rPr>
              <w:t>65</w:t>
            </w:r>
            <w:r w:rsidR="00407E20">
              <w:rPr>
                <w:noProof/>
                <w:webHidden/>
              </w:rPr>
              <w:fldChar w:fldCharType="end"/>
            </w:r>
          </w:hyperlink>
        </w:p>
        <w:p w14:paraId="7D4B51D3" w14:textId="3F28CF77" w:rsidR="00407E20" w:rsidRDefault="0013555F">
          <w:pPr>
            <w:pStyle w:val="TOC2"/>
            <w:rPr>
              <w:rFonts w:asciiTheme="minorHAnsi" w:eastAsiaTheme="minorEastAsia" w:hAnsiTheme="minorHAnsi" w:cstheme="minorBidi"/>
              <w:noProof/>
              <w:sz w:val="24"/>
              <w:szCs w:val="24"/>
              <w:lang w:eastAsia="en-GB"/>
            </w:rPr>
          </w:pPr>
          <w:hyperlink w:anchor="_Toc54966648" w:history="1">
            <w:r w:rsidR="00407E20" w:rsidRPr="002D1654">
              <w:rPr>
                <w:rStyle w:val="Hyperlink"/>
                <w:noProof/>
              </w:rPr>
              <w:t>8.1</w:t>
            </w:r>
            <w:r w:rsidR="00407E20">
              <w:rPr>
                <w:rFonts w:asciiTheme="minorHAnsi" w:eastAsiaTheme="minorEastAsia" w:hAnsiTheme="minorHAnsi" w:cstheme="minorBidi"/>
                <w:noProof/>
                <w:sz w:val="24"/>
                <w:szCs w:val="24"/>
                <w:lang w:eastAsia="en-GB"/>
              </w:rPr>
              <w:tab/>
            </w:r>
            <w:r w:rsidR="00407E20" w:rsidRPr="002D1654">
              <w:rPr>
                <w:rStyle w:val="Hyperlink"/>
                <w:noProof/>
              </w:rPr>
              <w:t>Adequacy of staff resources</w:t>
            </w:r>
            <w:r w:rsidR="00407E20">
              <w:rPr>
                <w:noProof/>
                <w:webHidden/>
              </w:rPr>
              <w:tab/>
            </w:r>
            <w:r w:rsidR="00407E20">
              <w:rPr>
                <w:noProof/>
                <w:webHidden/>
              </w:rPr>
              <w:fldChar w:fldCharType="begin"/>
            </w:r>
            <w:r w:rsidR="00407E20">
              <w:rPr>
                <w:noProof/>
                <w:webHidden/>
              </w:rPr>
              <w:instrText xml:space="preserve"> PAGEREF _Toc54966648 \h </w:instrText>
            </w:r>
            <w:r w:rsidR="00407E20">
              <w:rPr>
                <w:noProof/>
                <w:webHidden/>
              </w:rPr>
            </w:r>
            <w:r w:rsidR="00407E20">
              <w:rPr>
                <w:noProof/>
                <w:webHidden/>
              </w:rPr>
              <w:fldChar w:fldCharType="separate"/>
            </w:r>
            <w:r w:rsidR="00407E20">
              <w:rPr>
                <w:noProof/>
                <w:webHidden/>
              </w:rPr>
              <w:t>65</w:t>
            </w:r>
            <w:r w:rsidR="00407E20">
              <w:rPr>
                <w:noProof/>
                <w:webHidden/>
              </w:rPr>
              <w:fldChar w:fldCharType="end"/>
            </w:r>
          </w:hyperlink>
        </w:p>
        <w:p w14:paraId="4D8EF719" w14:textId="1D96527D" w:rsidR="00407E20" w:rsidRDefault="0013555F">
          <w:pPr>
            <w:pStyle w:val="TOC2"/>
            <w:rPr>
              <w:rFonts w:asciiTheme="minorHAnsi" w:eastAsiaTheme="minorEastAsia" w:hAnsiTheme="minorHAnsi" w:cstheme="minorBidi"/>
              <w:noProof/>
              <w:sz w:val="24"/>
              <w:szCs w:val="24"/>
              <w:lang w:eastAsia="en-GB"/>
            </w:rPr>
          </w:pPr>
          <w:hyperlink w:anchor="_Toc54966649" w:history="1">
            <w:r w:rsidR="00407E20" w:rsidRPr="002D1654">
              <w:rPr>
                <w:rStyle w:val="Hyperlink"/>
                <w:noProof/>
              </w:rPr>
              <w:t>8.2</w:t>
            </w:r>
            <w:r w:rsidR="00407E20">
              <w:rPr>
                <w:rFonts w:asciiTheme="minorHAnsi" w:eastAsiaTheme="minorEastAsia" w:hAnsiTheme="minorHAnsi" w:cstheme="minorBidi"/>
                <w:noProof/>
                <w:sz w:val="24"/>
                <w:szCs w:val="24"/>
                <w:lang w:eastAsia="en-GB"/>
              </w:rPr>
              <w:tab/>
            </w:r>
            <w:r w:rsidR="00407E20" w:rsidRPr="002D1654">
              <w:rPr>
                <w:rStyle w:val="Hyperlink"/>
                <w:noProof/>
              </w:rPr>
              <w:t>Geographic distribution of staff</w:t>
            </w:r>
            <w:r w:rsidR="00407E20">
              <w:rPr>
                <w:noProof/>
                <w:webHidden/>
              </w:rPr>
              <w:tab/>
            </w:r>
            <w:r w:rsidR="00407E20">
              <w:rPr>
                <w:noProof/>
                <w:webHidden/>
              </w:rPr>
              <w:fldChar w:fldCharType="begin"/>
            </w:r>
            <w:r w:rsidR="00407E20">
              <w:rPr>
                <w:noProof/>
                <w:webHidden/>
              </w:rPr>
              <w:instrText xml:space="preserve"> PAGEREF _Toc54966649 \h </w:instrText>
            </w:r>
            <w:r w:rsidR="00407E20">
              <w:rPr>
                <w:noProof/>
                <w:webHidden/>
              </w:rPr>
            </w:r>
            <w:r w:rsidR="00407E20">
              <w:rPr>
                <w:noProof/>
                <w:webHidden/>
              </w:rPr>
              <w:fldChar w:fldCharType="separate"/>
            </w:r>
            <w:r w:rsidR="00407E20">
              <w:rPr>
                <w:noProof/>
                <w:webHidden/>
              </w:rPr>
              <w:t>67</w:t>
            </w:r>
            <w:r w:rsidR="00407E20">
              <w:rPr>
                <w:noProof/>
                <w:webHidden/>
              </w:rPr>
              <w:fldChar w:fldCharType="end"/>
            </w:r>
          </w:hyperlink>
        </w:p>
        <w:p w14:paraId="00AA6635" w14:textId="0BEEB7CC" w:rsidR="00407E20" w:rsidRDefault="0013555F">
          <w:pPr>
            <w:pStyle w:val="TOC2"/>
            <w:rPr>
              <w:rFonts w:asciiTheme="minorHAnsi" w:eastAsiaTheme="minorEastAsia" w:hAnsiTheme="minorHAnsi" w:cstheme="minorBidi"/>
              <w:noProof/>
              <w:sz w:val="24"/>
              <w:szCs w:val="24"/>
              <w:lang w:eastAsia="en-GB"/>
            </w:rPr>
          </w:pPr>
          <w:hyperlink w:anchor="_Toc54966650" w:history="1">
            <w:r w:rsidR="00407E20" w:rsidRPr="002D1654">
              <w:rPr>
                <w:rStyle w:val="Hyperlink"/>
                <w:noProof/>
              </w:rPr>
              <w:t>8.3</w:t>
            </w:r>
            <w:r w:rsidR="00407E20">
              <w:rPr>
                <w:rFonts w:asciiTheme="minorHAnsi" w:eastAsiaTheme="minorEastAsia" w:hAnsiTheme="minorHAnsi" w:cstheme="minorBidi"/>
                <w:noProof/>
                <w:sz w:val="24"/>
                <w:szCs w:val="24"/>
                <w:lang w:eastAsia="en-GB"/>
              </w:rPr>
              <w:tab/>
            </w:r>
            <w:r w:rsidR="00407E20" w:rsidRPr="002D1654">
              <w:rPr>
                <w:rStyle w:val="Hyperlink"/>
                <w:noProof/>
              </w:rPr>
              <w:t>Staff training and support</w:t>
            </w:r>
            <w:r w:rsidR="00407E20">
              <w:rPr>
                <w:noProof/>
                <w:webHidden/>
              </w:rPr>
              <w:tab/>
            </w:r>
            <w:r w:rsidR="00407E20">
              <w:rPr>
                <w:noProof/>
                <w:webHidden/>
              </w:rPr>
              <w:fldChar w:fldCharType="begin"/>
            </w:r>
            <w:r w:rsidR="00407E20">
              <w:rPr>
                <w:noProof/>
                <w:webHidden/>
              </w:rPr>
              <w:instrText xml:space="preserve"> PAGEREF _Toc54966650 \h </w:instrText>
            </w:r>
            <w:r w:rsidR="00407E20">
              <w:rPr>
                <w:noProof/>
                <w:webHidden/>
              </w:rPr>
            </w:r>
            <w:r w:rsidR="00407E20">
              <w:rPr>
                <w:noProof/>
                <w:webHidden/>
              </w:rPr>
              <w:fldChar w:fldCharType="separate"/>
            </w:r>
            <w:r w:rsidR="00407E20">
              <w:rPr>
                <w:noProof/>
                <w:webHidden/>
              </w:rPr>
              <w:t>69</w:t>
            </w:r>
            <w:r w:rsidR="00407E20">
              <w:rPr>
                <w:noProof/>
                <w:webHidden/>
              </w:rPr>
              <w:fldChar w:fldCharType="end"/>
            </w:r>
          </w:hyperlink>
        </w:p>
        <w:p w14:paraId="241FB6DA" w14:textId="55750390" w:rsidR="00407E20" w:rsidRDefault="0013555F">
          <w:pPr>
            <w:pStyle w:val="TOC1"/>
            <w:rPr>
              <w:rFonts w:asciiTheme="minorHAnsi" w:eastAsiaTheme="minorEastAsia" w:hAnsiTheme="minorHAnsi" w:cstheme="minorBidi"/>
              <w:b w:val="0"/>
              <w:noProof/>
              <w:szCs w:val="24"/>
              <w:lang w:eastAsia="en-GB"/>
            </w:rPr>
          </w:pPr>
          <w:hyperlink w:anchor="_Toc54966651" w:history="1">
            <w:r w:rsidR="00407E20" w:rsidRPr="002D1654">
              <w:rPr>
                <w:rStyle w:val="Hyperlink"/>
                <w:noProof/>
              </w:rPr>
              <w:t>9</w:t>
            </w:r>
            <w:r w:rsidR="00407E20">
              <w:rPr>
                <w:rFonts w:asciiTheme="minorHAnsi" w:eastAsiaTheme="minorEastAsia" w:hAnsiTheme="minorHAnsi" w:cstheme="minorBidi"/>
                <w:b w:val="0"/>
                <w:noProof/>
                <w:szCs w:val="24"/>
                <w:lang w:eastAsia="en-GB"/>
              </w:rPr>
              <w:tab/>
            </w:r>
            <w:r w:rsidR="00407E20" w:rsidRPr="002D1654">
              <w:rPr>
                <w:rStyle w:val="Hyperlink"/>
                <w:noProof/>
              </w:rPr>
              <w:t>Costs of the service and value for money</w:t>
            </w:r>
            <w:r w:rsidR="00407E20">
              <w:rPr>
                <w:noProof/>
                <w:webHidden/>
              </w:rPr>
              <w:tab/>
            </w:r>
            <w:r w:rsidR="00407E20">
              <w:rPr>
                <w:noProof/>
                <w:webHidden/>
              </w:rPr>
              <w:fldChar w:fldCharType="begin"/>
            </w:r>
            <w:r w:rsidR="00407E20">
              <w:rPr>
                <w:noProof/>
                <w:webHidden/>
              </w:rPr>
              <w:instrText xml:space="preserve"> PAGEREF _Toc54966651 \h </w:instrText>
            </w:r>
            <w:r w:rsidR="00407E20">
              <w:rPr>
                <w:noProof/>
                <w:webHidden/>
              </w:rPr>
            </w:r>
            <w:r w:rsidR="00407E20">
              <w:rPr>
                <w:noProof/>
                <w:webHidden/>
              </w:rPr>
              <w:fldChar w:fldCharType="separate"/>
            </w:r>
            <w:r w:rsidR="00407E20">
              <w:rPr>
                <w:noProof/>
                <w:webHidden/>
              </w:rPr>
              <w:t>73</w:t>
            </w:r>
            <w:r w:rsidR="00407E20">
              <w:rPr>
                <w:noProof/>
                <w:webHidden/>
              </w:rPr>
              <w:fldChar w:fldCharType="end"/>
            </w:r>
          </w:hyperlink>
        </w:p>
        <w:p w14:paraId="6FB69A7E" w14:textId="37CDA98F" w:rsidR="00407E20" w:rsidRDefault="0013555F">
          <w:pPr>
            <w:pStyle w:val="TOC2"/>
            <w:rPr>
              <w:rFonts w:asciiTheme="minorHAnsi" w:eastAsiaTheme="minorEastAsia" w:hAnsiTheme="minorHAnsi" w:cstheme="minorBidi"/>
              <w:noProof/>
              <w:sz w:val="24"/>
              <w:szCs w:val="24"/>
              <w:lang w:eastAsia="en-GB"/>
            </w:rPr>
          </w:pPr>
          <w:hyperlink w:anchor="_Toc54966652" w:history="1">
            <w:r w:rsidR="00407E20" w:rsidRPr="002D1654">
              <w:rPr>
                <w:rStyle w:val="Hyperlink"/>
                <w:noProof/>
              </w:rPr>
              <w:t>9.1</w:t>
            </w:r>
            <w:r w:rsidR="00407E20">
              <w:rPr>
                <w:rFonts w:asciiTheme="minorHAnsi" w:eastAsiaTheme="minorEastAsia" w:hAnsiTheme="minorHAnsi" w:cstheme="minorBidi"/>
                <w:noProof/>
                <w:sz w:val="24"/>
                <w:szCs w:val="24"/>
                <w:lang w:eastAsia="en-GB"/>
              </w:rPr>
              <w:tab/>
            </w:r>
            <w:r w:rsidR="00407E20" w:rsidRPr="002D1654">
              <w:rPr>
                <w:rStyle w:val="Hyperlink"/>
                <w:noProof/>
              </w:rPr>
              <w:t>Total costs</w:t>
            </w:r>
            <w:r w:rsidR="00407E20">
              <w:rPr>
                <w:noProof/>
                <w:webHidden/>
              </w:rPr>
              <w:tab/>
            </w:r>
            <w:r w:rsidR="00407E20">
              <w:rPr>
                <w:noProof/>
                <w:webHidden/>
              </w:rPr>
              <w:fldChar w:fldCharType="begin"/>
            </w:r>
            <w:r w:rsidR="00407E20">
              <w:rPr>
                <w:noProof/>
                <w:webHidden/>
              </w:rPr>
              <w:instrText xml:space="preserve"> PAGEREF _Toc54966652 \h </w:instrText>
            </w:r>
            <w:r w:rsidR="00407E20">
              <w:rPr>
                <w:noProof/>
                <w:webHidden/>
              </w:rPr>
            </w:r>
            <w:r w:rsidR="00407E20">
              <w:rPr>
                <w:noProof/>
                <w:webHidden/>
              </w:rPr>
              <w:fldChar w:fldCharType="separate"/>
            </w:r>
            <w:r w:rsidR="00407E20">
              <w:rPr>
                <w:noProof/>
                <w:webHidden/>
              </w:rPr>
              <w:t>73</w:t>
            </w:r>
            <w:r w:rsidR="00407E20">
              <w:rPr>
                <w:noProof/>
                <w:webHidden/>
              </w:rPr>
              <w:fldChar w:fldCharType="end"/>
            </w:r>
          </w:hyperlink>
        </w:p>
        <w:p w14:paraId="4B51BC30" w14:textId="16674FA0" w:rsidR="00407E20" w:rsidRDefault="0013555F">
          <w:pPr>
            <w:pStyle w:val="TOC2"/>
            <w:rPr>
              <w:rFonts w:asciiTheme="minorHAnsi" w:eastAsiaTheme="minorEastAsia" w:hAnsiTheme="minorHAnsi" w:cstheme="minorBidi"/>
              <w:noProof/>
              <w:sz w:val="24"/>
              <w:szCs w:val="24"/>
              <w:lang w:eastAsia="en-GB"/>
            </w:rPr>
          </w:pPr>
          <w:hyperlink w:anchor="_Toc54966653" w:history="1">
            <w:r w:rsidR="00407E20" w:rsidRPr="002D1654">
              <w:rPr>
                <w:rStyle w:val="Hyperlink"/>
                <w:noProof/>
              </w:rPr>
              <w:t>9.2</w:t>
            </w:r>
            <w:r w:rsidR="00407E20">
              <w:rPr>
                <w:rFonts w:asciiTheme="minorHAnsi" w:eastAsiaTheme="minorEastAsia" w:hAnsiTheme="minorHAnsi" w:cstheme="minorBidi"/>
                <w:noProof/>
                <w:sz w:val="24"/>
                <w:szCs w:val="24"/>
                <w:lang w:eastAsia="en-GB"/>
              </w:rPr>
              <w:tab/>
            </w:r>
            <w:r w:rsidR="00407E20" w:rsidRPr="002D1654">
              <w:rPr>
                <w:rStyle w:val="Hyperlink"/>
                <w:noProof/>
              </w:rPr>
              <w:t>Unit cost per incident</w:t>
            </w:r>
            <w:r w:rsidR="00407E20">
              <w:rPr>
                <w:noProof/>
                <w:webHidden/>
              </w:rPr>
              <w:tab/>
            </w:r>
            <w:r w:rsidR="00407E20">
              <w:rPr>
                <w:noProof/>
                <w:webHidden/>
              </w:rPr>
              <w:fldChar w:fldCharType="begin"/>
            </w:r>
            <w:r w:rsidR="00407E20">
              <w:rPr>
                <w:noProof/>
                <w:webHidden/>
              </w:rPr>
              <w:instrText xml:space="preserve"> PAGEREF _Toc54966653 \h </w:instrText>
            </w:r>
            <w:r w:rsidR="00407E20">
              <w:rPr>
                <w:noProof/>
                <w:webHidden/>
              </w:rPr>
            </w:r>
            <w:r w:rsidR="00407E20">
              <w:rPr>
                <w:noProof/>
                <w:webHidden/>
              </w:rPr>
              <w:fldChar w:fldCharType="separate"/>
            </w:r>
            <w:r w:rsidR="00407E20">
              <w:rPr>
                <w:noProof/>
                <w:webHidden/>
              </w:rPr>
              <w:t>74</w:t>
            </w:r>
            <w:r w:rsidR="00407E20">
              <w:rPr>
                <w:noProof/>
                <w:webHidden/>
              </w:rPr>
              <w:fldChar w:fldCharType="end"/>
            </w:r>
          </w:hyperlink>
        </w:p>
        <w:p w14:paraId="19AD4898" w14:textId="1A307371" w:rsidR="00407E20" w:rsidRDefault="0013555F">
          <w:pPr>
            <w:pStyle w:val="TOC2"/>
            <w:rPr>
              <w:rFonts w:asciiTheme="minorHAnsi" w:eastAsiaTheme="minorEastAsia" w:hAnsiTheme="minorHAnsi" w:cstheme="minorBidi"/>
              <w:noProof/>
              <w:sz w:val="24"/>
              <w:szCs w:val="24"/>
              <w:lang w:eastAsia="en-GB"/>
            </w:rPr>
          </w:pPr>
          <w:hyperlink w:anchor="_Toc54966654" w:history="1">
            <w:r w:rsidR="00407E20" w:rsidRPr="002D1654">
              <w:rPr>
                <w:rStyle w:val="Hyperlink"/>
                <w:noProof/>
              </w:rPr>
              <w:t>9.3</w:t>
            </w:r>
            <w:r w:rsidR="00407E20">
              <w:rPr>
                <w:rFonts w:asciiTheme="minorHAnsi" w:eastAsiaTheme="minorEastAsia" w:hAnsiTheme="minorHAnsi" w:cstheme="minorBidi"/>
                <w:noProof/>
                <w:sz w:val="24"/>
                <w:szCs w:val="24"/>
                <w:lang w:eastAsia="en-GB"/>
              </w:rPr>
              <w:tab/>
            </w:r>
            <w:r w:rsidR="00407E20" w:rsidRPr="002D1654">
              <w:rPr>
                <w:rStyle w:val="Hyperlink"/>
                <w:noProof/>
              </w:rPr>
              <w:t>Cost per type of support</w:t>
            </w:r>
            <w:r w:rsidR="00407E20">
              <w:rPr>
                <w:noProof/>
                <w:webHidden/>
              </w:rPr>
              <w:tab/>
            </w:r>
            <w:r w:rsidR="00407E20">
              <w:rPr>
                <w:noProof/>
                <w:webHidden/>
              </w:rPr>
              <w:fldChar w:fldCharType="begin"/>
            </w:r>
            <w:r w:rsidR="00407E20">
              <w:rPr>
                <w:noProof/>
                <w:webHidden/>
              </w:rPr>
              <w:instrText xml:space="preserve"> PAGEREF _Toc54966654 \h </w:instrText>
            </w:r>
            <w:r w:rsidR="00407E20">
              <w:rPr>
                <w:noProof/>
                <w:webHidden/>
              </w:rPr>
            </w:r>
            <w:r w:rsidR="00407E20">
              <w:rPr>
                <w:noProof/>
                <w:webHidden/>
              </w:rPr>
              <w:fldChar w:fldCharType="separate"/>
            </w:r>
            <w:r w:rsidR="00407E20">
              <w:rPr>
                <w:noProof/>
                <w:webHidden/>
              </w:rPr>
              <w:t>75</w:t>
            </w:r>
            <w:r w:rsidR="00407E20">
              <w:rPr>
                <w:noProof/>
                <w:webHidden/>
              </w:rPr>
              <w:fldChar w:fldCharType="end"/>
            </w:r>
          </w:hyperlink>
        </w:p>
        <w:p w14:paraId="27C6A9D1" w14:textId="36C612A0" w:rsidR="00407E20" w:rsidRDefault="0013555F">
          <w:pPr>
            <w:pStyle w:val="TOC2"/>
            <w:rPr>
              <w:rFonts w:asciiTheme="minorHAnsi" w:eastAsiaTheme="minorEastAsia" w:hAnsiTheme="minorHAnsi" w:cstheme="minorBidi"/>
              <w:noProof/>
              <w:sz w:val="24"/>
              <w:szCs w:val="24"/>
              <w:lang w:eastAsia="en-GB"/>
            </w:rPr>
          </w:pPr>
          <w:hyperlink w:anchor="_Toc54966655" w:history="1">
            <w:r w:rsidR="00407E20" w:rsidRPr="002D1654">
              <w:rPr>
                <w:rStyle w:val="Hyperlink"/>
                <w:noProof/>
              </w:rPr>
              <w:t>9.4</w:t>
            </w:r>
            <w:r w:rsidR="00407E20">
              <w:rPr>
                <w:rFonts w:asciiTheme="minorHAnsi" w:eastAsiaTheme="minorEastAsia" w:hAnsiTheme="minorHAnsi" w:cstheme="minorBidi"/>
                <w:noProof/>
                <w:sz w:val="24"/>
                <w:szCs w:val="24"/>
                <w:lang w:eastAsia="en-GB"/>
              </w:rPr>
              <w:tab/>
            </w:r>
            <w:r w:rsidR="00407E20" w:rsidRPr="002D1654">
              <w:rPr>
                <w:rStyle w:val="Hyperlink"/>
                <w:noProof/>
              </w:rPr>
              <w:t>Value for money</w:t>
            </w:r>
            <w:r w:rsidR="00407E20">
              <w:rPr>
                <w:noProof/>
                <w:webHidden/>
              </w:rPr>
              <w:tab/>
            </w:r>
            <w:r w:rsidR="00407E20">
              <w:rPr>
                <w:noProof/>
                <w:webHidden/>
              </w:rPr>
              <w:fldChar w:fldCharType="begin"/>
            </w:r>
            <w:r w:rsidR="00407E20">
              <w:rPr>
                <w:noProof/>
                <w:webHidden/>
              </w:rPr>
              <w:instrText xml:space="preserve"> PAGEREF _Toc54966655 \h </w:instrText>
            </w:r>
            <w:r w:rsidR="00407E20">
              <w:rPr>
                <w:noProof/>
                <w:webHidden/>
              </w:rPr>
            </w:r>
            <w:r w:rsidR="00407E20">
              <w:rPr>
                <w:noProof/>
                <w:webHidden/>
              </w:rPr>
              <w:fldChar w:fldCharType="separate"/>
            </w:r>
            <w:r w:rsidR="00407E20">
              <w:rPr>
                <w:noProof/>
                <w:webHidden/>
              </w:rPr>
              <w:t>75</w:t>
            </w:r>
            <w:r w:rsidR="00407E20">
              <w:rPr>
                <w:noProof/>
                <w:webHidden/>
              </w:rPr>
              <w:fldChar w:fldCharType="end"/>
            </w:r>
          </w:hyperlink>
        </w:p>
        <w:p w14:paraId="0B6D6C0E" w14:textId="00702DAC" w:rsidR="00407E20" w:rsidRDefault="0013555F">
          <w:pPr>
            <w:pStyle w:val="TOC1"/>
            <w:rPr>
              <w:rFonts w:asciiTheme="minorHAnsi" w:eastAsiaTheme="minorEastAsia" w:hAnsiTheme="minorHAnsi" w:cstheme="minorBidi"/>
              <w:b w:val="0"/>
              <w:noProof/>
              <w:szCs w:val="24"/>
              <w:lang w:eastAsia="en-GB"/>
            </w:rPr>
          </w:pPr>
          <w:hyperlink w:anchor="_Toc54966656" w:history="1">
            <w:r w:rsidR="00407E20" w:rsidRPr="002D1654">
              <w:rPr>
                <w:rStyle w:val="Hyperlink"/>
                <w:noProof/>
              </w:rPr>
              <w:t>10</w:t>
            </w:r>
            <w:r w:rsidR="00407E20">
              <w:rPr>
                <w:rFonts w:asciiTheme="minorHAnsi" w:eastAsiaTheme="minorEastAsia" w:hAnsiTheme="minorHAnsi" w:cstheme="minorBidi"/>
                <w:b w:val="0"/>
                <w:noProof/>
                <w:szCs w:val="24"/>
                <w:lang w:eastAsia="en-GB"/>
              </w:rPr>
              <w:tab/>
            </w:r>
            <w:r w:rsidR="00407E20" w:rsidRPr="002D1654">
              <w:rPr>
                <w:rStyle w:val="Hyperlink"/>
                <w:noProof/>
              </w:rPr>
              <w:t>Discussion</w:t>
            </w:r>
            <w:r w:rsidR="00407E20">
              <w:rPr>
                <w:noProof/>
                <w:webHidden/>
              </w:rPr>
              <w:tab/>
            </w:r>
            <w:r w:rsidR="00407E20">
              <w:rPr>
                <w:noProof/>
                <w:webHidden/>
              </w:rPr>
              <w:fldChar w:fldCharType="begin"/>
            </w:r>
            <w:r w:rsidR="00407E20">
              <w:rPr>
                <w:noProof/>
                <w:webHidden/>
              </w:rPr>
              <w:instrText xml:space="preserve"> PAGEREF _Toc54966656 \h </w:instrText>
            </w:r>
            <w:r w:rsidR="00407E20">
              <w:rPr>
                <w:noProof/>
                <w:webHidden/>
              </w:rPr>
            </w:r>
            <w:r w:rsidR="00407E20">
              <w:rPr>
                <w:noProof/>
                <w:webHidden/>
              </w:rPr>
              <w:fldChar w:fldCharType="separate"/>
            </w:r>
            <w:r w:rsidR="00407E20">
              <w:rPr>
                <w:noProof/>
                <w:webHidden/>
              </w:rPr>
              <w:t>77</w:t>
            </w:r>
            <w:r w:rsidR="00407E20">
              <w:rPr>
                <w:noProof/>
                <w:webHidden/>
              </w:rPr>
              <w:fldChar w:fldCharType="end"/>
            </w:r>
          </w:hyperlink>
        </w:p>
        <w:p w14:paraId="7FD7003E" w14:textId="7A0BDC05" w:rsidR="00407E20" w:rsidRDefault="0013555F">
          <w:pPr>
            <w:pStyle w:val="TOC2"/>
            <w:rPr>
              <w:rFonts w:asciiTheme="minorHAnsi" w:eastAsiaTheme="minorEastAsia" w:hAnsiTheme="minorHAnsi" w:cstheme="minorBidi"/>
              <w:noProof/>
              <w:sz w:val="24"/>
              <w:szCs w:val="24"/>
              <w:lang w:eastAsia="en-GB"/>
            </w:rPr>
          </w:pPr>
          <w:hyperlink w:anchor="_Toc54966657" w:history="1">
            <w:r w:rsidR="00407E20" w:rsidRPr="002D1654">
              <w:rPr>
                <w:rStyle w:val="Hyperlink"/>
                <w:noProof/>
              </w:rPr>
              <w:t>10.1</w:t>
            </w:r>
            <w:r w:rsidR="00407E20">
              <w:rPr>
                <w:rFonts w:asciiTheme="minorHAnsi" w:eastAsiaTheme="minorEastAsia" w:hAnsiTheme="minorHAnsi" w:cstheme="minorBidi"/>
                <w:noProof/>
                <w:sz w:val="24"/>
                <w:szCs w:val="24"/>
                <w:lang w:eastAsia="en-GB"/>
              </w:rPr>
              <w:tab/>
            </w:r>
            <w:r w:rsidR="00407E20" w:rsidRPr="002D1654">
              <w:rPr>
                <w:rStyle w:val="Hyperlink"/>
                <w:noProof/>
              </w:rPr>
              <w:t>Model of care</w:t>
            </w:r>
            <w:r w:rsidR="00407E20">
              <w:rPr>
                <w:noProof/>
                <w:webHidden/>
              </w:rPr>
              <w:tab/>
            </w:r>
            <w:r w:rsidR="00407E20">
              <w:rPr>
                <w:noProof/>
                <w:webHidden/>
              </w:rPr>
              <w:fldChar w:fldCharType="begin"/>
            </w:r>
            <w:r w:rsidR="00407E20">
              <w:rPr>
                <w:noProof/>
                <w:webHidden/>
              </w:rPr>
              <w:instrText xml:space="preserve"> PAGEREF _Toc54966657 \h </w:instrText>
            </w:r>
            <w:r w:rsidR="00407E20">
              <w:rPr>
                <w:noProof/>
                <w:webHidden/>
              </w:rPr>
            </w:r>
            <w:r w:rsidR="00407E20">
              <w:rPr>
                <w:noProof/>
                <w:webHidden/>
              </w:rPr>
              <w:fldChar w:fldCharType="separate"/>
            </w:r>
            <w:r w:rsidR="00407E20">
              <w:rPr>
                <w:noProof/>
                <w:webHidden/>
              </w:rPr>
              <w:t>77</w:t>
            </w:r>
            <w:r w:rsidR="00407E20">
              <w:rPr>
                <w:noProof/>
                <w:webHidden/>
              </w:rPr>
              <w:fldChar w:fldCharType="end"/>
            </w:r>
          </w:hyperlink>
        </w:p>
        <w:p w14:paraId="76313C56" w14:textId="698DB686" w:rsidR="00407E20" w:rsidRDefault="0013555F">
          <w:pPr>
            <w:pStyle w:val="TOC2"/>
            <w:rPr>
              <w:rFonts w:asciiTheme="minorHAnsi" w:eastAsiaTheme="minorEastAsia" w:hAnsiTheme="minorHAnsi" w:cstheme="minorBidi"/>
              <w:noProof/>
              <w:sz w:val="24"/>
              <w:szCs w:val="24"/>
              <w:lang w:eastAsia="en-GB"/>
            </w:rPr>
          </w:pPr>
          <w:hyperlink w:anchor="_Toc54966658" w:history="1">
            <w:r w:rsidR="00407E20" w:rsidRPr="002D1654">
              <w:rPr>
                <w:rStyle w:val="Hyperlink"/>
                <w:noProof/>
              </w:rPr>
              <w:t>10.2</w:t>
            </w:r>
            <w:r w:rsidR="00407E20">
              <w:rPr>
                <w:rFonts w:asciiTheme="minorHAnsi" w:eastAsiaTheme="minorEastAsia" w:hAnsiTheme="minorHAnsi" w:cstheme="minorBidi"/>
                <w:noProof/>
                <w:sz w:val="24"/>
                <w:szCs w:val="24"/>
                <w:lang w:eastAsia="en-GB"/>
              </w:rPr>
              <w:tab/>
            </w:r>
            <w:r w:rsidR="00407E20" w:rsidRPr="002D1654">
              <w:rPr>
                <w:rStyle w:val="Hyperlink"/>
                <w:noProof/>
              </w:rPr>
              <w:t>Governance of the program</w:t>
            </w:r>
            <w:r w:rsidR="00407E20">
              <w:rPr>
                <w:noProof/>
                <w:webHidden/>
              </w:rPr>
              <w:tab/>
            </w:r>
            <w:r w:rsidR="00407E20">
              <w:rPr>
                <w:noProof/>
                <w:webHidden/>
              </w:rPr>
              <w:fldChar w:fldCharType="begin"/>
            </w:r>
            <w:r w:rsidR="00407E20">
              <w:rPr>
                <w:noProof/>
                <w:webHidden/>
              </w:rPr>
              <w:instrText xml:space="preserve"> PAGEREF _Toc54966658 \h </w:instrText>
            </w:r>
            <w:r w:rsidR="00407E20">
              <w:rPr>
                <w:noProof/>
                <w:webHidden/>
              </w:rPr>
            </w:r>
            <w:r w:rsidR="00407E20">
              <w:rPr>
                <w:noProof/>
                <w:webHidden/>
              </w:rPr>
              <w:fldChar w:fldCharType="separate"/>
            </w:r>
            <w:r w:rsidR="00407E20">
              <w:rPr>
                <w:noProof/>
                <w:webHidden/>
              </w:rPr>
              <w:t>80</w:t>
            </w:r>
            <w:r w:rsidR="00407E20">
              <w:rPr>
                <w:noProof/>
                <w:webHidden/>
              </w:rPr>
              <w:fldChar w:fldCharType="end"/>
            </w:r>
          </w:hyperlink>
        </w:p>
        <w:p w14:paraId="59E4AC25" w14:textId="0981B5BA" w:rsidR="00407E20" w:rsidRDefault="0013555F">
          <w:pPr>
            <w:pStyle w:val="TOC2"/>
            <w:rPr>
              <w:rFonts w:asciiTheme="minorHAnsi" w:eastAsiaTheme="minorEastAsia" w:hAnsiTheme="minorHAnsi" w:cstheme="minorBidi"/>
              <w:noProof/>
              <w:sz w:val="24"/>
              <w:szCs w:val="24"/>
              <w:lang w:eastAsia="en-GB"/>
            </w:rPr>
          </w:pPr>
          <w:hyperlink w:anchor="_Toc54966659" w:history="1">
            <w:r w:rsidR="00407E20" w:rsidRPr="002D1654">
              <w:rPr>
                <w:rStyle w:val="Hyperlink"/>
                <w:noProof/>
              </w:rPr>
              <w:t>10.3</w:t>
            </w:r>
            <w:r w:rsidR="00407E20">
              <w:rPr>
                <w:rFonts w:asciiTheme="minorHAnsi" w:eastAsiaTheme="minorEastAsia" w:hAnsiTheme="minorHAnsi" w:cstheme="minorBidi"/>
                <w:noProof/>
                <w:sz w:val="24"/>
                <w:szCs w:val="24"/>
                <w:lang w:eastAsia="en-GB"/>
              </w:rPr>
              <w:tab/>
            </w:r>
            <w:r w:rsidR="00407E20" w:rsidRPr="002D1654">
              <w:rPr>
                <w:rStyle w:val="Hyperlink"/>
                <w:noProof/>
              </w:rPr>
              <w:t>Service resources location</w:t>
            </w:r>
            <w:r w:rsidR="00407E20">
              <w:rPr>
                <w:noProof/>
                <w:webHidden/>
              </w:rPr>
              <w:tab/>
            </w:r>
            <w:r w:rsidR="00407E20">
              <w:rPr>
                <w:noProof/>
                <w:webHidden/>
              </w:rPr>
              <w:fldChar w:fldCharType="begin"/>
            </w:r>
            <w:r w:rsidR="00407E20">
              <w:rPr>
                <w:noProof/>
                <w:webHidden/>
              </w:rPr>
              <w:instrText xml:space="preserve"> PAGEREF _Toc54966659 \h </w:instrText>
            </w:r>
            <w:r w:rsidR="00407E20">
              <w:rPr>
                <w:noProof/>
                <w:webHidden/>
              </w:rPr>
            </w:r>
            <w:r w:rsidR="00407E20">
              <w:rPr>
                <w:noProof/>
                <w:webHidden/>
              </w:rPr>
              <w:fldChar w:fldCharType="separate"/>
            </w:r>
            <w:r w:rsidR="00407E20">
              <w:rPr>
                <w:noProof/>
                <w:webHidden/>
              </w:rPr>
              <w:t>86</w:t>
            </w:r>
            <w:r w:rsidR="00407E20">
              <w:rPr>
                <w:noProof/>
                <w:webHidden/>
              </w:rPr>
              <w:fldChar w:fldCharType="end"/>
            </w:r>
          </w:hyperlink>
        </w:p>
        <w:p w14:paraId="34ACFFDA" w14:textId="15DA83C0" w:rsidR="00407E20" w:rsidRDefault="0013555F">
          <w:pPr>
            <w:pStyle w:val="TOC2"/>
            <w:rPr>
              <w:rFonts w:asciiTheme="minorHAnsi" w:eastAsiaTheme="minorEastAsia" w:hAnsiTheme="minorHAnsi" w:cstheme="minorBidi"/>
              <w:noProof/>
              <w:sz w:val="24"/>
              <w:szCs w:val="24"/>
              <w:lang w:eastAsia="en-GB"/>
            </w:rPr>
          </w:pPr>
          <w:hyperlink w:anchor="_Toc54966660" w:history="1">
            <w:r w:rsidR="00407E20" w:rsidRPr="002D1654">
              <w:rPr>
                <w:rStyle w:val="Hyperlink"/>
                <w:noProof/>
              </w:rPr>
              <w:t>10.4</w:t>
            </w:r>
            <w:r w:rsidR="00407E20">
              <w:rPr>
                <w:rFonts w:asciiTheme="minorHAnsi" w:eastAsiaTheme="minorEastAsia" w:hAnsiTheme="minorHAnsi" w:cstheme="minorBidi"/>
                <w:noProof/>
                <w:sz w:val="24"/>
                <w:szCs w:val="24"/>
                <w:lang w:eastAsia="en-GB"/>
              </w:rPr>
              <w:tab/>
            </w:r>
            <w:r w:rsidR="00407E20" w:rsidRPr="002D1654">
              <w:rPr>
                <w:rStyle w:val="Hyperlink"/>
                <w:noProof/>
              </w:rPr>
              <w:t>Data collection for the program</w:t>
            </w:r>
            <w:r w:rsidR="00407E20">
              <w:rPr>
                <w:noProof/>
                <w:webHidden/>
              </w:rPr>
              <w:tab/>
            </w:r>
            <w:r w:rsidR="00407E20">
              <w:rPr>
                <w:noProof/>
                <w:webHidden/>
              </w:rPr>
              <w:fldChar w:fldCharType="begin"/>
            </w:r>
            <w:r w:rsidR="00407E20">
              <w:rPr>
                <w:noProof/>
                <w:webHidden/>
              </w:rPr>
              <w:instrText xml:space="preserve"> PAGEREF _Toc54966660 \h </w:instrText>
            </w:r>
            <w:r w:rsidR="00407E20">
              <w:rPr>
                <w:noProof/>
                <w:webHidden/>
              </w:rPr>
            </w:r>
            <w:r w:rsidR="00407E20">
              <w:rPr>
                <w:noProof/>
                <w:webHidden/>
              </w:rPr>
              <w:fldChar w:fldCharType="separate"/>
            </w:r>
            <w:r w:rsidR="00407E20">
              <w:rPr>
                <w:noProof/>
                <w:webHidden/>
              </w:rPr>
              <w:t>88</w:t>
            </w:r>
            <w:r w:rsidR="00407E20">
              <w:rPr>
                <w:noProof/>
                <w:webHidden/>
              </w:rPr>
              <w:fldChar w:fldCharType="end"/>
            </w:r>
          </w:hyperlink>
        </w:p>
        <w:p w14:paraId="6BE02410" w14:textId="21C58706" w:rsidR="00407E20" w:rsidRDefault="0013555F">
          <w:pPr>
            <w:pStyle w:val="TOC2"/>
            <w:rPr>
              <w:rFonts w:asciiTheme="minorHAnsi" w:eastAsiaTheme="minorEastAsia" w:hAnsiTheme="minorHAnsi" w:cstheme="minorBidi"/>
              <w:noProof/>
              <w:sz w:val="24"/>
              <w:szCs w:val="24"/>
              <w:lang w:eastAsia="en-GB"/>
            </w:rPr>
          </w:pPr>
          <w:hyperlink w:anchor="_Toc54966661" w:history="1">
            <w:r w:rsidR="00407E20" w:rsidRPr="002D1654">
              <w:rPr>
                <w:rStyle w:val="Hyperlink"/>
                <w:noProof/>
              </w:rPr>
              <w:t>10.5</w:t>
            </w:r>
            <w:r w:rsidR="00407E20">
              <w:rPr>
                <w:rFonts w:asciiTheme="minorHAnsi" w:eastAsiaTheme="minorEastAsia" w:hAnsiTheme="minorHAnsi" w:cstheme="minorBidi"/>
                <w:noProof/>
                <w:sz w:val="24"/>
                <w:szCs w:val="24"/>
                <w:lang w:eastAsia="en-GB"/>
              </w:rPr>
              <w:tab/>
            </w:r>
            <w:r w:rsidR="00407E20" w:rsidRPr="002D1654">
              <w:rPr>
                <w:rStyle w:val="Hyperlink"/>
                <w:noProof/>
              </w:rPr>
              <w:t>Conclusion</w:t>
            </w:r>
            <w:r w:rsidR="00407E20">
              <w:rPr>
                <w:noProof/>
                <w:webHidden/>
              </w:rPr>
              <w:tab/>
            </w:r>
            <w:r w:rsidR="00407E20">
              <w:rPr>
                <w:noProof/>
                <w:webHidden/>
              </w:rPr>
              <w:fldChar w:fldCharType="begin"/>
            </w:r>
            <w:r w:rsidR="00407E20">
              <w:rPr>
                <w:noProof/>
                <w:webHidden/>
              </w:rPr>
              <w:instrText xml:space="preserve"> PAGEREF _Toc54966661 \h </w:instrText>
            </w:r>
            <w:r w:rsidR="00407E20">
              <w:rPr>
                <w:noProof/>
                <w:webHidden/>
              </w:rPr>
            </w:r>
            <w:r w:rsidR="00407E20">
              <w:rPr>
                <w:noProof/>
                <w:webHidden/>
              </w:rPr>
              <w:fldChar w:fldCharType="separate"/>
            </w:r>
            <w:r w:rsidR="00407E20">
              <w:rPr>
                <w:noProof/>
                <w:webHidden/>
              </w:rPr>
              <w:t>93</w:t>
            </w:r>
            <w:r w:rsidR="00407E20">
              <w:rPr>
                <w:noProof/>
                <w:webHidden/>
              </w:rPr>
              <w:fldChar w:fldCharType="end"/>
            </w:r>
          </w:hyperlink>
        </w:p>
        <w:p w14:paraId="10D459CD" w14:textId="6D718136" w:rsidR="00407E20" w:rsidRDefault="0013555F">
          <w:pPr>
            <w:pStyle w:val="TOC1"/>
            <w:rPr>
              <w:rFonts w:asciiTheme="minorHAnsi" w:eastAsiaTheme="minorEastAsia" w:hAnsiTheme="minorHAnsi" w:cstheme="minorBidi"/>
              <w:b w:val="0"/>
              <w:noProof/>
              <w:szCs w:val="24"/>
              <w:lang w:eastAsia="en-GB"/>
            </w:rPr>
          </w:pPr>
          <w:hyperlink w:anchor="_Toc54966662" w:history="1">
            <w:r w:rsidR="00407E20" w:rsidRPr="002D1654">
              <w:rPr>
                <w:rStyle w:val="Hyperlink"/>
                <w:noProof/>
              </w:rPr>
              <w:t>11</w:t>
            </w:r>
            <w:r w:rsidR="00407E20">
              <w:rPr>
                <w:rFonts w:asciiTheme="minorHAnsi" w:eastAsiaTheme="minorEastAsia" w:hAnsiTheme="minorHAnsi" w:cstheme="minorBidi"/>
                <w:b w:val="0"/>
                <w:noProof/>
                <w:szCs w:val="24"/>
                <w:lang w:eastAsia="en-GB"/>
              </w:rPr>
              <w:tab/>
            </w:r>
            <w:r w:rsidR="00407E20" w:rsidRPr="002D1654">
              <w:rPr>
                <w:rStyle w:val="Hyperlink"/>
                <w:noProof/>
              </w:rPr>
              <w:t>References</w:t>
            </w:r>
            <w:r w:rsidR="00407E20">
              <w:rPr>
                <w:noProof/>
                <w:webHidden/>
              </w:rPr>
              <w:tab/>
            </w:r>
            <w:r w:rsidR="00407E20">
              <w:rPr>
                <w:noProof/>
                <w:webHidden/>
              </w:rPr>
              <w:fldChar w:fldCharType="begin"/>
            </w:r>
            <w:r w:rsidR="00407E20">
              <w:rPr>
                <w:noProof/>
                <w:webHidden/>
              </w:rPr>
              <w:instrText xml:space="preserve"> PAGEREF _Toc54966662 \h </w:instrText>
            </w:r>
            <w:r w:rsidR="00407E20">
              <w:rPr>
                <w:noProof/>
                <w:webHidden/>
              </w:rPr>
            </w:r>
            <w:r w:rsidR="00407E20">
              <w:rPr>
                <w:noProof/>
                <w:webHidden/>
              </w:rPr>
              <w:fldChar w:fldCharType="separate"/>
            </w:r>
            <w:r w:rsidR="00407E20">
              <w:rPr>
                <w:noProof/>
                <w:webHidden/>
              </w:rPr>
              <w:t>94</w:t>
            </w:r>
            <w:r w:rsidR="00407E20">
              <w:rPr>
                <w:noProof/>
                <w:webHidden/>
              </w:rPr>
              <w:fldChar w:fldCharType="end"/>
            </w:r>
          </w:hyperlink>
        </w:p>
        <w:p w14:paraId="3D85B4CF" w14:textId="67C5C741" w:rsidR="00407E20" w:rsidRDefault="0013555F">
          <w:pPr>
            <w:pStyle w:val="TOC1"/>
            <w:rPr>
              <w:rFonts w:asciiTheme="minorHAnsi" w:eastAsiaTheme="minorEastAsia" w:hAnsiTheme="minorHAnsi" w:cstheme="minorBidi"/>
              <w:b w:val="0"/>
              <w:noProof/>
              <w:szCs w:val="24"/>
              <w:lang w:eastAsia="en-GB"/>
            </w:rPr>
          </w:pPr>
          <w:hyperlink w:anchor="_Toc54966663" w:history="1">
            <w:r w:rsidR="00407E20" w:rsidRPr="002D1654">
              <w:rPr>
                <w:rStyle w:val="Hyperlink"/>
                <w:noProof/>
              </w:rPr>
              <w:t>Appendix 1: Detailed background evidence</w:t>
            </w:r>
            <w:r w:rsidR="00407E20">
              <w:rPr>
                <w:noProof/>
                <w:webHidden/>
              </w:rPr>
              <w:tab/>
            </w:r>
            <w:r w:rsidR="00407E20">
              <w:rPr>
                <w:noProof/>
                <w:webHidden/>
              </w:rPr>
              <w:fldChar w:fldCharType="begin"/>
            </w:r>
            <w:r w:rsidR="00407E20">
              <w:rPr>
                <w:noProof/>
                <w:webHidden/>
              </w:rPr>
              <w:instrText xml:space="preserve"> PAGEREF _Toc54966663 \h </w:instrText>
            </w:r>
            <w:r w:rsidR="00407E20">
              <w:rPr>
                <w:noProof/>
                <w:webHidden/>
              </w:rPr>
            </w:r>
            <w:r w:rsidR="00407E20">
              <w:rPr>
                <w:noProof/>
                <w:webHidden/>
              </w:rPr>
              <w:fldChar w:fldCharType="separate"/>
            </w:r>
            <w:r w:rsidR="00407E20">
              <w:rPr>
                <w:noProof/>
                <w:webHidden/>
              </w:rPr>
              <w:t>97</w:t>
            </w:r>
            <w:r w:rsidR="00407E20">
              <w:rPr>
                <w:noProof/>
                <w:webHidden/>
              </w:rPr>
              <w:fldChar w:fldCharType="end"/>
            </w:r>
          </w:hyperlink>
        </w:p>
        <w:p w14:paraId="4D7650E6" w14:textId="5E1124AF" w:rsidR="00407E20" w:rsidRDefault="0013555F">
          <w:pPr>
            <w:pStyle w:val="TOC1"/>
            <w:rPr>
              <w:rFonts w:asciiTheme="minorHAnsi" w:eastAsiaTheme="minorEastAsia" w:hAnsiTheme="minorHAnsi" w:cstheme="minorBidi"/>
              <w:b w:val="0"/>
              <w:noProof/>
              <w:szCs w:val="24"/>
              <w:lang w:eastAsia="en-GB"/>
            </w:rPr>
          </w:pPr>
          <w:hyperlink w:anchor="_Toc54966664" w:history="1">
            <w:r w:rsidR="00407E20" w:rsidRPr="002D1654">
              <w:rPr>
                <w:rStyle w:val="Hyperlink"/>
                <w:noProof/>
              </w:rPr>
              <w:t>Appendix 2: NICRS program logic</w:t>
            </w:r>
            <w:r w:rsidR="00407E20">
              <w:rPr>
                <w:noProof/>
                <w:webHidden/>
              </w:rPr>
              <w:tab/>
            </w:r>
            <w:r w:rsidR="00407E20">
              <w:rPr>
                <w:noProof/>
                <w:webHidden/>
              </w:rPr>
              <w:fldChar w:fldCharType="begin"/>
            </w:r>
            <w:r w:rsidR="00407E20">
              <w:rPr>
                <w:noProof/>
                <w:webHidden/>
              </w:rPr>
              <w:instrText xml:space="preserve"> PAGEREF _Toc54966664 \h </w:instrText>
            </w:r>
            <w:r w:rsidR="00407E20">
              <w:rPr>
                <w:noProof/>
                <w:webHidden/>
              </w:rPr>
            </w:r>
            <w:r w:rsidR="00407E20">
              <w:rPr>
                <w:noProof/>
                <w:webHidden/>
              </w:rPr>
              <w:fldChar w:fldCharType="separate"/>
            </w:r>
            <w:r w:rsidR="00407E20">
              <w:rPr>
                <w:noProof/>
                <w:webHidden/>
              </w:rPr>
              <w:t>100</w:t>
            </w:r>
            <w:r w:rsidR="00407E20">
              <w:rPr>
                <w:noProof/>
                <w:webHidden/>
              </w:rPr>
              <w:fldChar w:fldCharType="end"/>
            </w:r>
          </w:hyperlink>
        </w:p>
        <w:p w14:paraId="4F0A7061" w14:textId="449C5FCD" w:rsidR="00407E20" w:rsidRDefault="0013555F">
          <w:pPr>
            <w:pStyle w:val="TOC1"/>
            <w:rPr>
              <w:rFonts w:asciiTheme="minorHAnsi" w:eastAsiaTheme="minorEastAsia" w:hAnsiTheme="minorHAnsi" w:cstheme="minorBidi"/>
              <w:b w:val="0"/>
              <w:noProof/>
              <w:szCs w:val="24"/>
              <w:lang w:eastAsia="en-GB"/>
            </w:rPr>
          </w:pPr>
          <w:hyperlink w:anchor="_Toc54966665" w:history="1">
            <w:r w:rsidR="00407E20" w:rsidRPr="002D1654">
              <w:rPr>
                <w:rStyle w:val="Hyperlink"/>
                <w:noProof/>
              </w:rPr>
              <w:t>Appendix 3: NICRS model of care</w:t>
            </w:r>
            <w:r w:rsidR="00407E20">
              <w:rPr>
                <w:noProof/>
                <w:webHidden/>
              </w:rPr>
              <w:tab/>
            </w:r>
            <w:r w:rsidR="00407E20">
              <w:rPr>
                <w:noProof/>
                <w:webHidden/>
              </w:rPr>
              <w:fldChar w:fldCharType="begin"/>
            </w:r>
            <w:r w:rsidR="00407E20">
              <w:rPr>
                <w:noProof/>
                <w:webHidden/>
              </w:rPr>
              <w:instrText xml:space="preserve"> PAGEREF _Toc54966665 \h </w:instrText>
            </w:r>
            <w:r w:rsidR="00407E20">
              <w:rPr>
                <w:noProof/>
                <w:webHidden/>
              </w:rPr>
            </w:r>
            <w:r w:rsidR="00407E20">
              <w:rPr>
                <w:noProof/>
                <w:webHidden/>
              </w:rPr>
              <w:fldChar w:fldCharType="separate"/>
            </w:r>
            <w:r w:rsidR="00407E20">
              <w:rPr>
                <w:noProof/>
                <w:webHidden/>
              </w:rPr>
              <w:t>101</w:t>
            </w:r>
            <w:r w:rsidR="00407E20">
              <w:rPr>
                <w:noProof/>
                <w:webHidden/>
              </w:rPr>
              <w:fldChar w:fldCharType="end"/>
            </w:r>
          </w:hyperlink>
        </w:p>
        <w:p w14:paraId="5E86177F" w14:textId="36EC1D99" w:rsidR="00407E20" w:rsidRDefault="0013555F">
          <w:pPr>
            <w:pStyle w:val="TOC1"/>
            <w:rPr>
              <w:rFonts w:asciiTheme="minorHAnsi" w:eastAsiaTheme="minorEastAsia" w:hAnsiTheme="minorHAnsi" w:cstheme="minorBidi"/>
              <w:b w:val="0"/>
              <w:noProof/>
              <w:szCs w:val="24"/>
              <w:lang w:eastAsia="en-GB"/>
            </w:rPr>
          </w:pPr>
          <w:hyperlink w:anchor="_Toc54966666" w:history="1">
            <w:r w:rsidR="00407E20" w:rsidRPr="002D1654">
              <w:rPr>
                <w:rStyle w:val="Hyperlink"/>
                <w:noProof/>
              </w:rPr>
              <w:t>Appendix 4: Thirrili organisational policies</w:t>
            </w:r>
            <w:r w:rsidR="00407E20">
              <w:rPr>
                <w:noProof/>
                <w:webHidden/>
              </w:rPr>
              <w:tab/>
            </w:r>
            <w:r w:rsidR="00407E20">
              <w:rPr>
                <w:noProof/>
                <w:webHidden/>
              </w:rPr>
              <w:fldChar w:fldCharType="begin"/>
            </w:r>
            <w:r w:rsidR="00407E20">
              <w:rPr>
                <w:noProof/>
                <w:webHidden/>
              </w:rPr>
              <w:instrText xml:space="preserve"> PAGEREF _Toc54966666 \h </w:instrText>
            </w:r>
            <w:r w:rsidR="00407E20">
              <w:rPr>
                <w:noProof/>
                <w:webHidden/>
              </w:rPr>
            </w:r>
            <w:r w:rsidR="00407E20">
              <w:rPr>
                <w:noProof/>
                <w:webHidden/>
              </w:rPr>
              <w:fldChar w:fldCharType="separate"/>
            </w:r>
            <w:r w:rsidR="00407E20">
              <w:rPr>
                <w:noProof/>
                <w:webHidden/>
              </w:rPr>
              <w:t>102</w:t>
            </w:r>
            <w:r w:rsidR="00407E20">
              <w:rPr>
                <w:noProof/>
                <w:webHidden/>
              </w:rPr>
              <w:fldChar w:fldCharType="end"/>
            </w:r>
          </w:hyperlink>
        </w:p>
        <w:p w14:paraId="5940504E" w14:textId="57E7BC21" w:rsidR="00407E20" w:rsidRDefault="0013555F">
          <w:pPr>
            <w:pStyle w:val="TOC1"/>
            <w:rPr>
              <w:rFonts w:asciiTheme="minorHAnsi" w:eastAsiaTheme="minorEastAsia" w:hAnsiTheme="minorHAnsi" w:cstheme="minorBidi"/>
              <w:b w:val="0"/>
              <w:noProof/>
              <w:szCs w:val="24"/>
              <w:lang w:eastAsia="en-GB"/>
            </w:rPr>
          </w:pPr>
          <w:hyperlink w:anchor="_Toc54966667" w:history="1">
            <w:r w:rsidR="00407E20" w:rsidRPr="002D1654">
              <w:rPr>
                <w:rStyle w:val="Hyperlink"/>
                <w:noProof/>
              </w:rPr>
              <w:t>Appendix 5: NICRS position descriptions</w:t>
            </w:r>
            <w:r w:rsidR="00407E20">
              <w:rPr>
                <w:noProof/>
                <w:webHidden/>
              </w:rPr>
              <w:tab/>
            </w:r>
            <w:r w:rsidR="00407E20">
              <w:rPr>
                <w:noProof/>
                <w:webHidden/>
              </w:rPr>
              <w:fldChar w:fldCharType="begin"/>
            </w:r>
            <w:r w:rsidR="00407E20">
              <w:rPr>
                <w:noProof/>
                <w:webHidden/>
              </w:rPr>
              <w:instrText xml:space="preserve"> PAGEREF _Toc54966667 \h </w:instrText>
            </w:r>
            <w:r w:rsidR="00407E20">
              <w:rPr>
                <w:noProof/>
                <w:webHidden/>
              </w:rPr>
            </w:r>
            <w:r w:rsidR="00407E20">
              <w:rPr>
                <w:noProof/>
                <w:webHidden/>
              </w:rPr>
              <w:fldChar w:fldCharType="separate"/>
            </w:r>
            <w:r w:rsidR="00407E20">
              <w:rPr>
                <w:noProof/>
                <w:webHidden/>
              </w:rPr>
              <w:t>105</w:t>
            </w:r>
            <w:r w:rsidR="00407E20">
              <w:rPr>
                <w:noProof/>
                <w:webHidden/>
              </w:rPr>
              <w:fldChar w:fldCharType="end"/>
            </w:r>
          </w:hyperlink>
        </w:p>
        <w:p w14:paraId="1355B321" w14:textId="60936A38" w:rsidR="00407E20" w:rsidRDefault="0013555F">
          <w:pPr>
            <w:pStyle w:val="TOC1"/>
            <w:rPr>
              <w:rFonts w:asciiTheme="minorHAnsi" w:eastAsiaTheme="minorEastAsia" w:hAnsiTheme="minorHAnsi" w:cstheme="minorBidi"/>
              <w:b w:val="0"/>
              <w:noProof/>
              <w:szCs w:val="24"/>
              <w:lang w:eastAsia="en-GB"/>
            </w:rPr>
          </w:pPr>
          <w:hyperlink w:anchor="_Toc54966668" w:history="1">
            <w:r w:rsidR="00407E20" w:rsidRPr="002D1654">
              <w:rPr>
                <w:rStyle w:val="Hyperlink"/>
                <w:noProof/>
              </w:rPr>
              <w:t>Appendix 6: Evaluation questions in relation to the postvention &amp; bereavement services</w:t>
            </w:r>
            <w:r w:rsidR="00407E20">
              <w:rPr>
                <w:noProof/>
                <w:webHidden/>
              </w:rPr>
              <w:tab/>
            </w:r>
            <w:r w:rsidR="00407E20">
              <w:rPr>
                <w:noProof/>
                <w:webHidden/>
              </w:rPr>
              <w:fldChar w:fldCharType="begin"/>
            </w:r>
            <w:r w:rsidR="00407E20">
              <w:rPr>
                <w:noProof/>
                <w:webHidden/>
              </w:rPr>
              <w:instrText xml:space="preserve"> PAGEREF _Toc54966668 \h </w:instrText>
            </w:r>
            <w:r w:rsidR="00407E20">
              <w:rPr>
                <w:noProof/>
                <w:webHidden/>
              </w:rPr>
            </w:r>
            <w:r w:rsidR="00407E20">
              <w:rPr>
                <w:noProof/>
                <w:webHidden/>
              </w:rPr>
              <w:fldChar w:fldCharType="separate"/>
            </w:r>
            <w:r w:rsidR="00407E20">
              <w:rPr>
                <w:noProof/>
                <w:webHidden/>
              </w:rPr>
              <w:t>111</w:t>
            </w:r>
            <w:r w:rsidR="00407E20">
              <w:rPr>
                <w:noProof/>
                <w:webHidden/>
              </w:rPr>
              <w:fldChar w:fldCharType="end"/>
            </w:r>
          </w:hyperlink>
        </w:p>
        <w:p w14:paraId="59C5B6F4" w14:textId="57F7CDF1" w:rsidR="00407E20" w:rsidRDefault="0013555F">
          <w:pPr>
            <w:pStyle w:val="TOC1"/>
            <w:rPr>
              <w:rFonts w:asciiTheme="minorHAnsi" w:eastAsiaTheme="minorEastAsia" w:hAnsiTheme="minorHAnsi" w:cstheme="minorBidi"/>
              <w:b w:val="0"/>
              <w:noProof/>
              <w:szCs w:val="24"/>
              <w:lang w:eastAsia="en-GB"/>
            </w:rPr>
          </w:pPr>
          <w:hyperlink w:anchor="_Toc54966669" w:history="1">
            <w:r w:rsidR="00407E20" w:rsidRPr="002D1654">
              <w:rPr>
                <w:rStyle w:val="Hyperlink"/>
                <w:noProof/>
              </w:rPr>
              <w:t>Appendix 7: Detailed evaluation method</w:t>
            </w:r>
            <w:r w:rsidR="00407E20">
              <w:rPr>
                <w:noProof/>
                <w:webHidden/>
              </w:rPr>
              <w:tab/>
            </w:r>
            <w:r w:rsidR="00407E20">
              <w:rPr>
                <w:noProof/>
                <w:webHidden/>
              </w:rPr>
              <w:fldChar w:fldCharType="begin"/>
            </w:r>
            <w:r w:rsidR="00407E20">
              <w:rPr>
                <w:noProof/>
                <w:webHidden/>
              </w:rPr>
              <w:instrText xml:space="preserve"> PAGEREF _Toc54966669 \h </w:instrText>
            </w:r>
            <w:r w:rsidR="00407E20">
              <w:rPr>
                <w:noProof/>
                <w:webHidden/>
              </w:rPr>
            </w:r>
            <w:r w:rsidR="00407E20">
              <w:rPr>
                <w:noProof/>
                <w:webHidden/>
              </w:rPr>
              <w:fldChar w:fldCharType="separate"/>
            </w:r>
            <w:r w:rsidR="00407E20">
              <w:rPr>
                <w:noProof/>
                <w:webHidden/>
              </w:rPr>
              <w:t>114</w:t>
            </w:r>
            <w:r w:rsidR="00407E20">
              <w:rPr>
                <w:noProof/>
                <w:webHidden/>
              </w:rPr>
              <w:fldChar w:fldCharType="end"/>
            </w:r>
          </w:hyperlink>
        </w:p>
        <w:p w14:paraId="68D1E106" w14:textId="110890CD" w:rsidR="00AA13F4" w:rsidRPr="00E52513" w:rsidRDefault="00F925B9">
          <w:r w:rsidRPr="00E52513">
            <w:rPr>
              <w:b/>
              <w:color w:val="0050B5"/>
              <w:sz w:val="40"/>
              <w:szCs w:val="52"/>
            </w:rPr>
            <w:fldChar w:fldCharType="end"/>
          </w:r>
        </w:p>
      </w:sdtContent>
    </w:sdt>
    <w:p w14:paraId="1F657294" w14:textId="77777777" w:rsidR="009C01DD" w:rsidRPr="00E52513" w:rsidRDefault="009C01DD">
      <w:pPr>
        <w:spacing w:line="276" w:lineRule="auto"/>
        <w:rPr>
          <w:rFonts w:eastAsiaTheme="majorEastAsia"/>
          <w:b/>
          <w:bCs/>
          <w:color w:val="0050B5"/>
          <w:sz w:val="40"/>
          <w:szCs w:val="28"/>
        </w:rPr>
      </w:pPr>
      <w:r w:rsidRPr="00E52513">
        <w:br w:type="page"/>
      </w:r>
    </w:p>
    <w:p w14:paraId="12A50F75" w14:textId="715A4526" w:rsidR="00E6482D" w:rsidRPr="00E52513" w:rsidRDefault="00E6482D" w:rsidP="00AD7328">
      <w:pPr>
        <w:pStyle w:val="Heading1"/>
      </w:pPr>
      <w:bookmarkStart w:id="8" w:name="_Toc54966613"/>
      <w:r w:rsidRPr="00E52513">
        <w:lastRenderedPageBreak/>
        <w:t>The National Indigenous Critical Response Service</w:t>
      </w:r>
      <w:bookmarkStart w:id="9" w:name="_Toc35966314"/>
      <w:bookmarkEnd w:id="8"/>
    </w:p>
    <w:p w14:paraId="56A6CB48" w14:textId="6EA9E62A" w:rsidR="00A252ED" w:rsidRPr="00E52513" w:rsidRDefault="000D1243" w:rsidP="00152634">
      <w:pPr>
        <w:pStyle w:val="Heading2"/>
      </w:pPr>
      <w:bookmarkStart w:id="10" w:name="_Toc54966614"/>
      <w:r w:rsidRPr="00E52513">
        <w:t>Background</w:t>
      </w:r>
      <w:bookmarkEnd w:id="9"/>
      <w:r w:rsidR="00AB5FEA" w:rsidRPr="00E52513">
        <w:t xml:space="preserve"> </w:t>
      </w:r>
      <w:r w:rsidR="00A252ED" w:rsidRPr="00E52513">
        <w:t>evidence</w:t>
      </w:r>
      <w:bookmarkEnd w:id="10"/>
    </w:p>
    <w:p w14:paraId="74754D6F" w14:textId="3EDB8C56" w:rsidR="00A33C5C" w:rsidRPr="00E52513" w:rsidRDefault="00A33C5C" w:rsidP="00A33C5C">
      <w:pPr>
        <w:pStyle w:val="Heading3"/>
      </w:pPr>
      <w:r w:rsidRPr="00E52513">
        <w:t xml:space="preserve">Aboriginal </w:t>
      </w:r>
      <w:r w:rsidR="008021EF" w:rsidRPr="00E52513">
        <w:t xml:space="preserve">and Torres Strait Islander </w:t>
      </w:r>
      <w:r w:rsidRPr="00E52513">
        <w:t>social and emotional wellbeing</w:t>
      </w:r>
    </w:p>
    <w:p w14:paraId="0BFB291E" w14:textId="528B550F" w:rsidR="00833CD5" w:rsidRPr="00E52513" w:rsidRDefault="00833CD5" w:rsidP="00833CD5">
      <w:r w:rsidRPr="00E52513">
        <w:t xml:space="preserve">Suicide rates among Aboriginal and Torres Strait Islander people are 24.1 per 100,000, compared to 12.1 per 100,000 overall in Australia in </w:t>
      </w:r>
      <w:r w:rsidR="00CE79F9" w:rsidRPr="00E52513">
        <w:t>2018 (ABS</w:t>
      </w:r>
      <w:r w:rsidRPr="00E52513">
        <w:t>, 2019). In the five years from 2014-2018, intentional self-harm rates among Aboriginal and Torres Strait Islander people were 23.7 per 100,000 compared to 12.3 per 100,000 among the general Australian population (ABS, 2019).</w:t>
      </w:r>
    </w:p>
    <w:p w14:paraId="3D651EF1" w14:textId="6A6D8846" w:rsidR="00833CD5" w:rsidRPr="00E52513" w:rsidRDefault="00833CD5" w:rsidP="00833CD5">
      <w:r w:rsidRPr="00E52513">
        <w:t>It is in this context that Aboriginal and Torres Strait Islander people live today – often with strong sense of being Indigenous to Australia but experiencing many barriers to equity and equality. Whole families and communities as well as culture and the environment (Country) are affected across generations when a person passes away by suicide or other trauma.</w:t>
      </w:r>
    </w:p>
    <w:p w14:paraId="6B60E27C" w14:textId="0711DF0B" w:rsidR="00833CD5" w:rsidRPr="00E52513" w:rsidRDefault="00833CD5" w:rsidP="00833CD5">
      <w:r w:rsidRPr="00E52513">
        <w:t xml:space="preserve">The underlying factors for these statistics are complex and varied. Ongoing health inequalities (Markham &amp; Biddle, 2018; </w:t>
      </w:r>
      <w:proofErr w:type="spellStart"/>
      <w:r w:rsidRPr="00E52513">
        <w:t>Seccombe</w:t>
      </w:r>
      <w:proofErr w:type="spellEnd"/>
      <w:r w:rsidRPr="00E52513">
        <w:t>, 2018), poor levels of access to mainstream health services (Department of Health, 2017; Goodwin-Smith, et al., 2013) and under-developed Aboriginal and Torres Strait Islander workforces and capacity to deliver culturally safe services (Department of Health, 2017) are some of the factors affecting the health, social and emotional wellbeing of Aboriginal and Torres Strait Islander people.</w:t>
      </w:r>
    </w:p>
    <w:p w14:paraId="7EDD8E34" w14:textId="74DCEAD8" w:rsidR="00833CD5" w:rsidRPr="00E52513" w:rsidRDefault="00833CD5" w:rsidP="00833CD5">
      <w:r w:rsidRPr="00E52513">
        <w:t xml:space="preserve">Suicide prevention has become a major policy and service delivery focus in Australia’s suite of mental health interventions. </w:t>
      </w:r>
      <w:proofErr w:type="spellStart"/>
      <w:r w:rsidRPr="00E52513">
        <w:t>Postvention</w:t>
      </w:r>
      <w:proofErr w:type="spellEnd"/>
      <w:r w:rsidR="00397C5A" w:rsidRPr="00E52513">
        <w:t xml:space="preserve"> involves provision of</w:t>
      </w:r>
      <w:r w:rsidRPr="00E52513">
        <w:t xml:space="preserve"> support to individuals and/or communities after a suicide to </w:t>
      </w:r>
      <w:r w:rsidR="00397C5A" w:rsidRPr="00E52513">
        <w:t xml:space="preserve">assist in recovery and to </w:t>
      </w:r>
      <w:r w:rsidRPr="00E52513">
        <w:t>help reduce the potential for further suicides</w:t>
      </w:r>
      <w:r w:rsidR="00397C5A" w:rsidRPr="00E52513">
        <w:t xml:space="preserve">. It is a relatively new but promising intervention and the specific literature and evidence relating to its effectiveness is only now emerging. In the context of suicide prevention and </w:t>
      </w:r>
      <w:proofErr w:type="spellStart"/>
      <w:r w:rsidR="00397C5A" w:rsidRPr="00E52513">
        <w:t>postvention</w:t>
      </w:r>
      <w:proofErr w:type="spellEnd"/>
      <w:r w:rsidR="00397C5A" w:rsidRPr="00E52513">
        <w:t xml:space="preserve">, facilitating </w:t>
      </w:r>
      <w:r w:rsidRPr="00E52513">
        <w:t xml:space="preserve">connection to and healing from culture </w:t>
      </w:r>
      <w:r w:rsidR="00397C5A" w:rsidRPr="00E52513">
        <w:t xml:space="preserve">is also now a </w:t>
      </w:r>
      <w:r w:rsidR="00D53A1D" w:rsidRPr="00E52513">
        <w:t>well-recognised</w:t>
      </w:r>
      <w:r w:rsidR="00397C5A" w:rsidRPr="00E52513">
        <w:t xml:space="preserve"> success factor</w:t>
      </w:r>
      <w:r w:rsidR="00CE79F9" w:rsidRPr="00E52513">
        <w:t xml:space="preserve"> in service delivery strategies, inspiring hope and promoting health social and emotional wellbeing.</w:t>
      </w:r>
    </w:p>
    <w:p w14:paraId="7F609D0D" w14:textId="0BD3C453" w:rsidR="00CE79F9" w:rsidRPr="00E52513" w:rsidRDefault="00CE79F9" w:rsidP="00833CD5">
      <w:r w:rsidRPr="00E52513">
        <w:t>A more detailed description of the research and policy landscape that is relevant to the Nationa</w:t>
      </w:r>
      <w:r w:rsidR="001D3238" w:rsidRPr="00E52513">
        <w:t xml:space="preserve">l </w:t>
      </w:r>
      <w:r w:rsidR="00E6482D" w:rsidRPr="00E52513">
        <w:t xml:space="preserve">Indigenous Critical </w:t>
      </w:r>
      <w:r w:rsidR="001D3238" w:rsidRPr="00E52513">
        <w:t>Response Service (NIC</w:t>
      </w:r>
      <w:r w:rsidRPr="00E52513">
        <w:t>RS) is at Appendix 1.</w:t>
      </w:r>
    </w:p>
    <w:p w14:paraId="398AB031" w14:textId="65732F17" w:rsidR="00456E3E" w:rsidRPr="00E52513" w:rsidRDefault="00CE79F9" w:rsidP="001D3238">
      <w:pPr>
        <w:pStyle w:val="Heading3"/>
      </w:pPr>
      <w:r w:rsidRPr="00E52513">
        <w:t>Aboriginal and Torres Strait Islander Suicide Prevention Evaluation Project (ATSISPEP)</w:t>
      </w:r>
      <w:bookmarkStart w:id="11" w:name="_Toc35966326"/>
      <w:bookmarkStart w:id="12" w:name="_Toc13224102"/>
      <w:bookmarkStart w:id="13" w:name="_Toc528691982"/>
    </w:p>
    <w:p w14:paraId="17EF0D56" w14:textId="53A654E7" w:rsidR="001D3238" w:rsidRPr="00E52513" w:rsidRDefault="001D3238" w:rsidP="008021EF">
      <w:pPr>
        <w:spacing w:after="0"/>
      </w:pPr>
      <w:r w:rsidRPr="00E52513">
        <w:t xml:space="preserve">The 2015-17 </w:t>
      </w:r>
      <w:r w:rsidR="00456E3E" w:rsidRPr="00E52513">
        <w:t xml:space="preserve">ATSISPEP </w:t>
      </w:r>
      <w:r w:rsidRPr="00E52513">
        <w:t xml:space="preserve">initiative </w:t>
      </w:r>
      <w:r w:rsidR="00456E3E" w:rsidRPr="00E52513">
        <w:t>was funded by t</w:t>
      </w:r>
      <w:r w:rsidRPr="00E52513">
        <w:t>he Australian Government</w:t>
      </w:r>
      <w:r w:rsidR="00456E3E" w:rsidRPr="00E52513">
        <w:t xml:space="preserve"> to evaluate the effectiveness of existing suicide prevention services and programs. </w:t>
      </w:r>
      <w:r w:rsidRPr="00E52513">
        <w:t xml:space="preserve">Three common principles appeared in ATSISPEP’s overall recommendations for </w:t>
      </w:r>
      <w:proofErr w:type="spellStart"/>
      <w:r w:rsidRPr="00E52513">
        <w:t>postvention</w:t>
      </w:r>
      <w:proofErr w:type="spellEnd"/>
      <w:r w:rsidRPr="00E52513">
        <w:t xml:space="preserve"> support (Dudgeon et al</w:t>
      </w:r>
      <w:r w:rsidR="00E179F6" w:rsidRPr="00E52513">
        <w:t>.</w:t>
      </w:r>
      <w:r w:rsidRPr="00E52513">
        <w:t>, 2017):</w:t>
      </w:r>
    </w:p>
    <w:p w14:paraId="48DF5231" w14:textId="7B078DFD" w:rsidR="001D3238" w:rsidRPr="00E52513" w:rsidRDefault="001D3238" w:rsidP="009437A5">
      <w:pPr>
        <w:pStyle w:val="ListParagraph"/>
        <w:numPr>
          <w:ilvl w:val="0"/>
          <w:numId w:val="37"/>
        </w:numPr>
        <w:spacing w:before="0" w:after="120"/>
      </w:pPr>
      <w:r w:rsidRPr="00E52513">
        <w:t>the importance of building on Aboriginal Community Controlled Health Services’ existing mental health and SEWB services</w:t>
      </w:r>
    </w:p>
    <w:p w14:paraId="3A60F340" w14:textId="0E4482C5" w:rsidR="001D3238" w:rsidRPr="00E52513" w:rsidRDefault="001D3238" w:rsidP="009437A5">
      <w:pPr>
        <w:pStyle w:val="ListParagraph"/>
        <w:numPr>
          <w:ilvl w:val="0"/>
          <w:numId w:val="37"/>
        </w:numPr>
        <w:spacing w:before="0" w:after="120"/>
      </w:pPr>
      <w:r w:rsidRPr="00E52513">
        <w:t>ensuring existing services and actions were respected and connected</w:t>
      </w:r>
    </w:p>
    <w:p w14:paraId="3460A2BC" w14:textId="6BDF2043" w:rsidR="001D3238" w:rsidRPr="00E52513" w:rsidRDefault="001D3238" w:rsidP="009437A5">
      <w:pPr>
        <w:pStyle w:val="ListParagraph"/>
        <w:numPr>
          <w:ilvl w:val="0"/>
          <w:numId w:val="37"/>
        </w:numPr>
        <w:spacing w:before="0" w:after="120"/>
      </w:pPr>
      <w:proofErr w:type="gramStart"/>
      <w:r w:rsidRPr="00E52513">
        <w:lastRenderedPageBreak/>
        <w:t>the</w:t>
      </w:r>
      <w:proofErr w:type="gramEnd"/>
      <w:r w:rsidRPr="00E52513">
        <w:t xml:space="preserve"> provision of coordinated, timely and practical responses in communities and across regions.</w:t>
      </w:r>
    </w:p>
    <w:p w14:paraId="18961C2C" w14:textId="2F140CB1" w:rsidR="00456E3E" w:rsidRPr="00E52513" w:rsidRDefault="001D3238" w:rsidP="00EF2455">
      <w:pPr>
        <w:spacing w:before="360" w:after="120"/>
      </w:pPr>
      <w:r w:rsidRPr="00E52513">
        <w:t>ATSISPEP</w:t>
      </w:r>
      <w:r w:rsidR="00456E3E" w:rsidRPr="00E52513">
        <w:t xml:space="preserve"> produced a </w:t>
      </w:r>
      <w:r w:rsidR="00456E3E" w:rsidRPr="00E52513">
        <w:rPr>
          <w:i/>
        </w:rPr>
        <w:t>Recommended Service Model for Critical Responses in Indigenous Communities</w:t>
      </w:r>
      <w:r w:rsidR="00456E3E" w:rsidRPr="00E52513">
        <w:t>, which included two major streams of connected activity:</w:t>
      </w:r>
    </w:p>
    <w:p w14:paraId="51C38BB1" w14:textId="561F57DA" w:rsidR="00456E3E" w:rsidRPr="00E52513" w:rsidRDefault="00456E3E" w:rsidP="00BB0C58">
      <w:pPr>
        <w:pStyle w:val="ListParagraph"/>
        <w:numPr>
          <w:ilvl w:val="0"/>
          <w:numId w:val="25"/>
        </w:numPr>
        <w:tabs>
          <w:tab w:val="left" w:pos="8080"/>
        </w:tabs>
        <w:spacing w:before="0" w:after="0"/>
      </w:pPr>
      <w:r w:rsidRPr="00E52513">
        <w:t>Critical Response Stream</w:t>
      </w:r>
    </w:p>
    <w:p w14:paraId="55D2D89F" w14:textId="0B7A3B27" w:rsidR="00456E3E" w:rsidRPr="00E52513" w:rsidRDefault="00456E3E" w:rsidP="00BB0C58">
      <w:pPr>
        <w:pStyle w:val="ListParagraph"/>
        <w:numPr>
          <w:ilvl w:val="0"/>
          <w:numId w:val="25"/>
        </w:numPr>
        <w:spacing w:before="0" w:after="120"/>
      </w:pPr>
      <w:r w:rsidRPr="00E52513">
        <w:t>Community Development Stream.</w:t>
      </w:r>
    </w:p>
    <w:p w14:paraId="4E177A98" w14:textId="2F37B5EC" w:rsidR="001D3238" w:rsidRPr="00E52513" w:rsidRDefault="00456E3E" w:rsidP="001D3238">
      <w:pPr>
        <w:spacing w:after="120"/>
      </w:pPr>
      <w:r w:rsidRPr="00E52513">
        <w:t>That model, which was developed from ATSISPEP’s expertise and community engagement, a roundtable and two streams of activity, has informed the development of the NICRS. It asserted the need for Regional Critical Response Advocates to facilitate the development of shared agreements, conduct community training and develop networks, with Community Level Functions identified prior to, in the short-term and after incidences (Dudgeon et al</w:t>
      </w:r>
      <w:r w:rsidR="00E179F6" w:rsidRPr="00E52513">
        <w:t>.</w:t>
      </w:r>
      <w:r w:rsidRPr="00E52513">
        <w:t xml:space="preserve">, 2017). The model also included a clear role and need for of national-level support agencies, including a National Leadership Role in Suicide Prevention, and a Centre of Best Practice in </w:t>
      </w:r>
      <w:r w:rsidR="00E03911" w:rsidRPr="00E52513">
        <w:t>I</w:t>
      </w:r>
      <w:r w:rsidRPr="00E52513">
        <w:t>ndigenous Suicide Prevention (Dudgeon et al</w:t>
      </w:r>
      <w:r w:rsidR="00E179F6" w:rsidRPr="00E52513">
        <w:t>.</w:t>
      </w:r>
      <w:r w:rsidRPr="00E52513">
        <w:t>, 2017).</w:t>
      </w:r>
    </w:p>
    <w:p w14:paraId="1D1157A7" w14:textId="03B2A6EC" w:rsidR="00456E3E" w:rsidRPr="00E52513" w:rsidRDefault="00456E3E" w:rsidP="001D3238">
      <w:pPr>
        <w:spacing w:after="120"/>
      </w:pPr>
      <w:r w:rsidRPr="00E52513">
        <w:t xml:space="preserve">A pilot project to test the model’s effectiveness was conducted (December 2015- December 2016) in three regions of southern WA where suicide was having ongoing impacts on local communities. This pilot operated from December 2015 to December 2016. </w:t>
      </w:r>
      <w:bookmarkStart w:id="14" w:name="_Toc34916444"/>
      <w:r w:rsidRPr="00E52513">
        <w:t xml:space="preserve">The NICRS </w:t>
      </w:r>
      <w:bookmarkEnd w:id="14"/>
      <w:r w:rsidRPr="00E52513">
        <w:t xml:space="preserve">service model was strongly based on this pilot model but adopted a </w:t>
      </w:r>
      <w:r w:rsidR="001D3238" w:rsidRPr="00E52513">
        <w:t>largely centralised national scope rather than the region-led approach suggested in the ATSISPEP model.</w:t>
      </w:r>
    </w:p>
    <w:p w14:paraId="4AC4D30C" w14:textId="77777777" w:rsidR="00456E3E" w:rsidRPr="00E52513" w:rsidRDefault="00456E3E" w:rsidP="00FD4A0E">
      <w:pPr>
        <w:pStyle w:val="Heading3"/>
      </w:pPr>
      <w:r w:rsidRPr="00E52513">
        <w:t xml:space="preserve">Success factors and quality indicators for </w:t>
      </w:r>
      <w:proofErr w:type="spellStart"/>
      <w:r w:rsidRPr="00E52513">
        <w:t>postvention</w:t>
      </w:r>
      <w:proofErr w:type="spellEnd"/>
      <w:r w:rsidRPr="00E52513">
        <w:t xml:space="preserve"> activities</w:t>
      </w:r>
    </w:p>
    <w:p w14:paraId="7BE161A7" w14:textId="074AED7D" w:rsidR="00456E3E" w:rsidRPr="00E52513" w:rsidRDefault="00456E3E" w:rsidP="00F105D2">
      <w:pPr>
        <w:spacing w:after="240"/>
      </w:pPr>
      <w:r w:rsidRPr="00E52513">
        <w:t xml:space="preserve">Dudgeon et al. (2016, p. 16) also identified a range of success factors in suicide prevention, including </w:t>
      </w:r>
      <w:proofErr w:type="spellStart"/>
      <w:r w:rsidRPr="00E52513">
        <w:t>postvention</w:t>
      </w:r>
      <w:proofErr w:type="spellEnd"/>
      <w:r w:rsidRPr="00E52513">
        <w:t>, for activities at three intervention levels</w:t>
      </w:r>
      <w:r w:rsidR="00F105D2" w:rsidRPr="00E52513">
        <w:rPr>
          <w:rStyle w:val="FootnoteReference"/>
        </w:rPr>
        <w:footnoteReference w:id="1"/>
      </w:r>
      <w:r w:rsidRPr="00E52513">
        <w:t>:</w:t>
      </w:r>
    </w:p>
    <w:p w14:paraId="106C2BE5" w14:textId="28523843" w:rsidR="00456E3E" w:rsidRPr="00E52513" w:rsidRDefault="00456E3E" w:rsidP="009437A5">
      <w:pPr>
        <w:pStyle w:val="ListParagraph"/>
        <w:numPr>
          <w:ilvl w:val="0"/>
          <w:numId w:val="37"/>
        </w:numPr>
        <w:shd w:val="clear" w:color="auto" w:fill="FDE9D9" w:themeFill="accent6" w:themeFillTint="33"/>
        <w:autoSpaceDE w:val="0"/>
        <w:autoSpaceDN w:val="0"/>
        <w:adjustRightInd w:val="0"/>
        <w:spacing w:after="120"/>
        <w:ind w:left="641" w:right="284" w:hanging="357"/>
        <w:rPr>
          <w:rFonts w:cs="Segoe UI"/>
        </w:rPr>
      </w:pPr>
      <w:r w:rsidRPr="00E52513">
        <w:rPr>
          <w:rFonts w:cs="Segoe UI"/>
          <w:b/>
        </w:rPr>
        <w:t>Universal interventions:</w:t>
      </w:r>
      <w:r w:rsidRPr="00E52513">
        <w:rPr>
          <w:rFonts w:cs="Segoe UI"/>
        </w:rPr>
        <w:t xml:space="preserve"> Community-wide prevention actions through </w:t>
      </w:r>
      <w:r w:rsidRPr="00E52513">
        <w:rPr>
          <w:rFonts w:cs="Segoe UI"/>
          <w:i/>
          <w:iCs/>
        </w:rPr>
        <w:t>primordial prevention</w:t>
      </w:r>
      <w:r w:rsidRPr="00E52513">
        <w:rPr>
          <w:rFonts w:cs="Segoe UI"/>
        </w:rPr>
        <w:t xml:space="preserve"> addressing risk factors for suicide and </w:t>
      </w:r>
      <w:r w:rsidRPr="00E52513">
        <w:rPr>
          <w:rFonts w:cs="Segoe UI"/>
          <w:i/>
        </w:rPr>
        <w:t>primary prevention</w:t>
      </w:r>
      <w:r w:rsidRPr="00E52513">
        <w:rPr>
          <w:rFonts w:cs="Segoe UI"/>
        </w:rPr>
        <w:t xml:space="preserve"> to prevent a completed suicide or suicide attempt occurring</w:t>
      </w:r>
    </w:p>
    <w:p w14:paraId="20DCBD25" w14:textId="77BA4E33" w:rsidR="00456E3E" w:rsidRPr="00E52513" w:rsidRDefault="00456E3E" w:rsidP="009437A5">
      <w:pPr>
        <w:pStyle w:val="ListParagraph"/>
        <w:numPr>
          <w:ilvl w:val="0"/>
          <w:numId w:val="37"/>
        </w:numPr>
        <w:shd w:val="clear" w:color="auto" w:fill="FDE9D9" w:themeFill="accent6" w:themeFillTint="33"/>
        <w:autoSpaceDE w:val="0"/>
        <w:autoSpaceDN w:val="0"/>
        <w:adjustRightInd w:val="0"/>
        <w:spacing w:after="120"/>
        <w:ind w:left="641" w:right="284" w:hanging="357"/>
        <w:rPr>
          <w:rFonts w:cs="Segoe UI"/>
        </w:rPr>
      </w:pPr>
      <w:r w:rsidRPr="00E52513">
        <w:rPr>
          <w:rFonts w:cs="Segoe UI"/>
          <w:b/>
        </w:rPr>
        <w:t>Selective interventions:</w:t>
      </w:r>
      <w:r w:rsidRPr="00E52513">
        <w:rPr>
          <w:rFonts w:cs="Segoe UI"/>
        </w:rPr>
        <w:t xml:space="preserve"> Aimed at groups identified at higher risk of suicide; evidence gathered by ATSI</w:t>
      </w:r>
      <w:r w:rsidR="008759E9" w:rsidRPr="00E52513">
        <w:rPr>
          <w:rFonts w:cs="Segoe UI"/>
        </w:rPr>
        <w:t>S</w:t>
      </w:r>
      <w:r w:rsidRPr="00E52513">
        <w:rPr>
          <w:rFonts w:cs="Segoe UI"/>
        </w:rPr>
        <w:t>PEP indicated Aboriginal and Torres Strait Islander children and young people require specific attention, with responses tailored well to age groups generally</w:t>
      </w:r>
    </w:p>
    <w:p w14:paraId="4F50FCD2" w14:textId="60858436" w:rsidR="00456E3E" w:rsidRPr="00E52513" w:rsidRDefault="00456E3E" w:rsidP="009437A5">
      <w:pPr>
        <w:pStyle w:val="ListParagraph"/>
        <w:numPr>
          <w:ilvl w:val="0"/>
          <w:numId w:val="37"/>
        </w:numPr>
        <w:shd w:val="clear" w:color="auto" w:fill="FDE9D9" w:themeFill="accent6" w:themeFillTint="33"/>
        <w:autoSpaceDE w:val="0"/>
        <w:autoSpaceDN w:val="0"/>
        <w:adjustRightInd w:val="0"/>
        <w:spacing w:after="120"/>
        <w:ind w:left="641" w:right="284" w:hanging="357"/>
        <w:rPr>
          <w:rFonts w:cs="Segoe UI"/>
        </w:rPr>
      </w:pPr>
      <w:r w:rsidRPr="00E52513">
        <w:rPr>
          <w:rFonts w:cs="Segoe UI"/>
          <w:b/>
        </w:rPr>
        <w:t>Indicated interventions:</w:t>
      </w:r>
      <w:r w:rsidRPr="00E52513">
        <w:rPr>
          <w:rFonts w:cs="Segoe UI"/>
        </w:rPr>
        <w:t xml:space="preserve"> Interventions with individuals identified as at risk of suicide, or who have attempted suicide</w:t>
      </w:r>
    </w:p>
    <w:p w14:paraId="0871AFCB" w14:textId="7D2E0778" w:rsidR="00456E3E" w:rsidRPr="00E52513" w:rsidRDefault="00456E3E" w:rsidP="00456E3E">
      <w:pPr>
        <w:spacing w:before="240" w:after="120"/>
        <w:rPr>
          <w:rFonts w:eastAsia="Calibri"/>
        </w:rPr>
      </w:pPr>
      <w:r w:rsidRPr="00E52513">
        <w:rPr>
          <w:rFonts w:eastAsia="Calibri"/>
        </w:rPr>
        <w:t xml:space="preserve">In addition to levels of intervention and success factors, ATSISPEP identified quality indicators for </w:t>
      </w:r>
      <w:proofErr w:type="spellStart"/>
      <w:r w:rsidRPr="00E52513">
        <w:rPr>
          <w:rFonts w:eastAsia="Calibri"/>
        </w:rPr>
        <w:t>postvention</w:t>
      </w:r>
      <w:proofErr w:type="spellEnd"/>
      <w:r w:rsidRPr="00E52513">
        <w:rPr>
          <w:rFonts w:eastAsia="Calibri"/>
        </w:rPr>
        <w:t xml:space="preserve"> activities according to six broad domains (Dudgeon et al</w:t>
      </w:r>
      <w:r w:rsidR="00E179F6" w:rsidRPr="00E52513">
        <w:rPr>
          <w:rFonts w:eastAsia="Calibri"/>
        </w:rPr>
        <w:t>.</w:t>
      </w:r>
      <w:r w:rsidRPr="00E52513">
        <w:rPr>
          <w:rFonts w:eastAsia="Calibri"/>
        </w:rPr>
        <w:t>, 2016, pp. 65-70).</w:t>
      </w:r>
    </w:p>
    <w:p w14:paraId="1BA52DD0" w14:textId="6D8ED5E1" w:rsidR="00F32216" w:rsidRPr="00E52513" w:rsidRDefault="002B6B4B" w:rsidP="00152634">
      <w:pPr>
        <w:pStyle w:val="Heading2"/>
      </w:pPr>
      <w:bookmarkStart w:id="15" w:name="_Toc54966615"/>
      <w:bookmarkStart w:id="16" w:name="_Toc27548035"/>
      <w:r w:rsidRPr="00E52513">
        <w:lastRenderedPageBreak/>
        <w:t xml:space="preserve">Inception of the </w:t>
      </w:r>
      <w:r w:rsidR="00F105D2" w:rsidRPr="00E52513">
        <w:t xml:space="preserve">NICRS </w:t>
      </w:r>
      <w:r w:rsidRPr="00E52513">
        <w:t>program</w:t>
      </w:r>
      <w:bookmarkEnd w:id="15"/>
    </w:p>
    <w:p w14:paraId="60AEC542" w14:textId="69E19076" w:rsidR="008021EF" w:rsidRPr="00E52513" w:rsidRDefault="008021EF" w:rsidP="002B6B4B">
      <w:r w:rsidRPr="00E52513">
        <w:t>In</w:t>
      </w:r>
      <w:r w:rsidR="00F32216" w:rsidRPr="00E52513">
        <w:t xml:space="preserve"> December 2016, during the final stages of the </w:t>
      </w:r>
      <w:r w:rsidR="00D67A2D" w:rsidRPr="00E52513">
        <w:t xml:space="preserve">critical response </w:t>
      </w:r>
      <w:r w:rsidR="00F32216" w:rsidRPr="00E52513">
        <w:t xml:space="preserve">pilot project, </w:t>
      </w:r>
      <w:r w:rsidRPr="00E52513">
        <w:t xml:space="preserve">$10 million in </w:t>
      </w:r>
      <w:r w:rsidR="00F32216" w:rsidRPr="00E52513">
        <w:t>funding was granted by the Australian</w:t>
      </w:r>
      <w:r w:rsidR="00E6482D" w:rsidRPr="00E52513">
        <w:t xml:space="preserve"> </w:t>
      </w:r>
      <w:r w:rsidR="00F32216" w:rsidRPr="00E52513">
        <w:t>Government, through the Safety and Wellbeing Program of the Indigenous Advancement Strategy</w:t>
      </w:r>
      <w:r w:rsidR="00D67A2D" w:rsidRPr="00E52513">
        <w:t xml:space="preserve"> (IAS)</w:t>
      </w:r>
      <w:r w:rsidR="00F32216" w:rsidRPr="00E52513">
        <w:t xml:space="preserve">, to develop and deliver the National Indigenous Critical Response Service (NICRS) – a suicide </w:t>
      </w:r>
      <w:proofErr w:type="spellStart"/>
      <w:r w:rsidR="00F32216" w:rsidRPr="00E52513">
        <w:t>postvention</w:t>
      </w:r>
      <w:proofErr w:type="spellEnd"/>
      <w:r w:rsidR="00F32216" w:rsidRPr="00E52513">
        <w:t xml:space="preserve"> service for Aboriginal and Torres Strait Islander communit</w:t>
      </w:r>
      <w:r w:rsidRPr="00E52513">
        <w:t>ies across Australia.</w:t>
      </w:r>
    </w:p>
    <w:p w14:paraId="3A93C02E" w14:textId="0D6FE11A" w:rsidR="00F32216" w:rsidRPr="00E52513" w:rsidRDefault="008021EF" w:rsidP="002B6B4B">
      <w:r w:rsidRPr="00E52513">
        <w:t>The primary aim of this three</w:t>
      </w:r>
      <w:r w:rsidR="00E6482D" w:rsidRPr="00E52513">
        <w:t>-</w:t>
      </w:r>
      <w:r w:rsidRPr="00E52513">
        <w:t xml:space="preserve">year funding investment was to set up a new </w:t>
      </w:r>
      <w:proofErr w:type="spellStart"/>
      <w:r w:rsidRPr="00E52513">
        <w:t>postvention</w:t>
      </w:r>
      <w:proofErr w:type="spellEnd"/>
      <w:r w:rsidRPr="00E52513">
        <w:t xml:space="preserve"> service with national reach. A clear secondary aim of the investment was to support the expansion of the national Aboriginal and/or Torres Strait Islander-led mental health and social and emotional wellbeing service delivery infrastructure. It also allowed </w:t>
      </w:r>
      <w:r w:rsidR="006711F2" w:rsidRPr="00E52513">
        <w:t xml:space="preserve">transitional </w:t>
      </w:r>
      <w:r w:rsidR="00D67A2D" w:rsidRPr="00E52513">
        <w:t xml:space="preserve">support </w:t>
      </w:r>
      <w:r w:rsidRPr="00E52513">
        <w:t xml:space="preserve">to continue where needed for the </w:t>
      </w:r>
      <w:r w:rsidR="00F32216" w:rsidRPr="00E52513">
        <w:t xml:space="preserve">initial clients, participating communities and service delivery staff </w:t>
      </w:r>
      <w:r w:rsidR="006711F2" w:rsidRPr="00E52513">
        <w:t>of</w:t>
      </w:r>
      <w:r w:rsidR="00F32216" w:rsidRPr="00E52513">
        <w:t xml:space="preserve"> the </w:t>
      </w:r>
      <w:r w:rsidR="00D67A2D" w:rsidRPr="00E52513">
        <w:t xml:space="preserve">critical response </w:t>
      </w:r>
      <w:r w:rsidR="00F32216" w:rsidRPr="00E52513">
        <w:t>pilot project in southern WA</w:t>
      </w:r>
      <w:r w:rsidR="006711F2" w:rsidRPr="00E52513">
        <w:t>, which has been described above</w:t>
      </w:r>
      <w:r w:rsidR="00F32216" w:rsidRPr="00E52513">
        <w:t>.</w:t>
      </w:r>
    </w:p>
    <w:p w14:paraId="514077F5" w14:textId="181B5AF2" w:rsidR="00F32216" w:rsidRPr="00E52513" w:rsidRDefault="00D67A2D" w:rsidP="00F32216">
      <w:r w:rsidRPr="00E52513">
        <w:t>T</w:t>
      </w:r>
      <w:r w:rsidR="00F32216" w:rsidRPr="00E52513">
        <w:t xml:space="preserve">he contract for this funding was initially held by </w:t>
      </w:r>
      <w:r w:rsidR="00E6482D" w:rsidRPr="00E52513">
        <w:t xml:space="preserve">the </w:t>
      </w:r>
      <w:r w:rsidR="00F32216" w:rsidRPr="00E52513">
        <w:t>management consultancy firm, Healthcare Management Associates Inc. (HMA)</w:t>
      </w:r>
      <w:r w:rsidRPr="00E52513">
        <w:t xml:space="preserve"> during the establishment period of </w:t>
      </w:r>
      <w:r w:rsidR="006711F2" w:rsidRPr="00E52513">
        <w:t>the new organisation (</w:t>
      </w:r>
      <w:proofErr w:type="spellStart"/>
      <w:r w:rsidRPr="00E52513">
        <w:t>Thirrili</w:t>
      </w:r>
      <w:proofErr w:type="spellEnd"/>
      <w:r w:rsidR="006711F2" w:rsidRPr="00E52513">
        <w:t>)</w:t>
      </w:r>
      <w:r w:rsidRPr="00E52513">
        <w:t xml:space="preserve"> </w:t>
      </w:r>
      <w:r w:rsidR="006711F2" w:rsidRPr="00E52513">
        <w:t>during</w:t>
      </w:r>
      <w:r w:rsidR="00F32216" w:rsidRPr="00E52513">
        <w:t xml:space="preserve"> early 2017</w:t>
      </w:r>
      <w:r w:rsidR="005E7AB2" w:rsidRPr="00E52513">
        <w:t xml:space="preserve">. The </w:t>
      </w:r>
      <w:r w:rsidR="00F32216" w:rsidRPr="00E52513">
        <w:t>funding contract and funding w</w:t>
      </w:r>
      <w:r w:rsidR="00E6482D" w:rsidRPr="00E52513">
        <w:t>ere</w:t>
      </w:r>
      <w:r w:rsidR="00F32216" w:rsidRPr="00E52513">
        <w:t xml:space="preserve"> </w:t>
      </w:r>
      <w:r w:rsidR="005E7AB2" w:rsidRPr="00E52513">
        <w:t xml:space="preserve">transferred </w:t>
      </w:r>
      <w:r w:rsidR="00F32216" w:rsidRPr="00E52513">
        <w:t xml:space="preserve">to </w:t>
      </w:r>
      <w:proofErr w:type="spellStart"/>
      <w:r w:rsidR="005E7AB2" w:rsidRPr="00E52513">
        <w:t>Thirrili</w:t>
      </w:r>
      <w:proofErr w:type="spellEnd"/>
      <w:r w:rsidR="005E7AB2" w:rsidRPr="00E52513">
        <w:t xml:space="preserve"> </w:t>
      </w:r>
      <w:r w:rsidR="00F32216" w:rsidRPr="00E52513">
        <w:t>in April 2017</w:t>
      </w:r>
      <w:r w:rsidR="000D423C" w:rsidRPr="00E52513">
        <w:t xml:space="preserve"> (Clear Horizon, 2018)</w:t>
      </w:r>
      <w:r w:rsidR="00F32216" w:rsidRPr="00E52513">
        <w:t>.</w:t>
      </w:r>
    </w:p>
    <w:p w14:paraId="02E49C35" w14:textId="77777777" w:rsidR="00F32216" w:rsidRPr="00E52513" w:rsidRDefault="00F32216" w:rsidP="00152634">
      <w:pPr>
        <w:pStyle w:val="Heading2"/>
      </w:pPr>
      <w:bookmarkStart w:id="17" w:name="_Toc34916446"/>
      <w:bookmarkStart w:id="18" w:name="_Toc54966616"/>
      <w:r w:rsidRPr="00E52513">
        <w:t>Description of the program</w:t>
      </w:r>
      <w:bookmarkEnd w:id="16"/>
      <w:bookmarkEnd w:id="17"/>
      <w:bookmarkEnd w:id="18"/>
    </w:p>
    <w:p w14:paraId="17494A83" w14:textId="77777777" w:rsidR="00F32216" w:rsidRPr="00E52513" w:rsidRDefault="00F32216" w:rsidP="002243EF">
      <w:pPr>
        <w:pStyle w:val="Heading3"/>
      </w:pPr>
      <w:r w:rsidRPr="00E52513">
        <w:t>Program mission and philosophy</w:t>
      </w:r>
    </w:p>
    <w:p w14:paraId="71BC5257" w14:textId="1ACECCBC" w:rsidR="00F32216" w:rsidRPr="00E52513" w:rsidRDefault="00F32216" w:rsidP="00F32216">
      <w:pPr>
        <w:spacing w:after="120"/>
      </w:pPr>
      <w:bookmarkStart w:id="19" w:name="_Toc34916447"/>
      <w:bookmarkStart w:id="20" w:name="_Toc27548036"/>
      <w:r w:rsidRPr="00E52513">
        <w:t xml:space="preserve">In addition to the guidance provided by the ATSISPEP initiative </w:t>
      </w:r>
      <w:r w:rsidR="002B6B4B" w:rsidRPr="00E52513">
        <w:t>in the previous section</w:t>
      </w:r>
      <w:r w:rsidRPr="00E52513">
        <w:t xml:space="preserve">, development of the NICRS program </w:t>
      </w:r>
      <w:r w:rsidR="005E7AB2" w:rsidRPr="00E52513">
        <w:t xml:space="preserve">was also </w:t>
      </w:r>
      <w:r w:rsidRPr="00E52513">
        <w:t xml:space="preserve">based on the World Health Organization (WHO) definition of </w:t>
      </w:r>
      <w:proofErr w:type="spellStart"/>
      <w:r w:rsidRPr="00E52513">
        <w:t>postvention</w:t>
      </w:r>
      <w:proofErr w:type="spellEnd"/>
      <w:r w:rsidRPr="00E52513">
        <w:t>:</w:t>
      </w:r>
    </w:p>
    <w:p w14:paraId="60AFC0C6" w14:textId="77777777" w:rsidR="00F32216" w:rsidRPr="00E52513" w:rsidRDefault="00F32216" w:rsidP="00F32216">
      <w:pPr>
        <w:spacing w:after="0"/>
        <w:ind w:left="283" w:right="283"/>
        <w:rPr>
          <w:i/>
        </w:rPr>
      </w:pPr>
      <w:r w:rsidRPr="00E52513">
        <w:rPr>
          <w:i/>
        </w:rPr>
        <w:t>“Intervention efforts for individuals bereaved or affected by suicide [that] are implemented in order to support the grieving process and reduce the possibility of imitative suicidal behaviour.”</w:t>
      </w:r>
    </w:p>
    <w:p w14:paraId="51835ECB" w14:textId="77777777" w:rsidR="00F32216" w:rsidRPr="00E52513" w:rsidRDefault="00F32216" w:rsidP="00F32216">
      <w:pPr>
        <w:spacing w:after="120"/>
        <w:ind w:left="283" w:right="283"/>
        <w:jc w:val="right"/>
        <w:rPr>
          <w:i/>
        </w:rPr>
      </w:pPr>
      <w:r w:rsidRPr="00E52513">
        <w:rPr>
          <w:i/>
        </w:rPr>
        <w:t>(WHO, 2014: pg. 37)</w:t>
      </w:r>
    </w:p>
    <w:p w14:paraId="37D87D0B" w14:textId="415B97A0" w:rsidR="00F32216" w:rsidRPr="00E52513" w:rsidRDefault="00F32216" w:rsidP="00F32216">
      <w:pPr>
        <w:spacing w:after="120"/>
      </w:pPr>
      <w:r w:rsidRPr="00E52513">
        <w:t xml:space="preserve">The NICRS program is guided by a comprehensive social and emotional wellbeing (SEWB) framework that is designed and implemented to support healing and is informed by the well-defined principles that are outlined the section above. This SEWB framework is embedded into the NICRS </w:t>
      </w:r>
      <w:r w:rsidR="00E03911" w:rsidRPr="00E52513">
        <w:t>m</w:t>
      </w:r>
      <w:r w:rsidRPr="00E52513">
        <w:t xml:space="preserve">odel of </w:t>
      </w:r>
      <w:r w:rsidR="00E03911" w:rsidRPr="00E52513">
        <w:t>c</w:t>
      </w:r>
      <w:r w:rsidRPr="00E52513">
        <w:t xml:space="preserve">are and </w:t>
      </w:r>
      <w:r w:rsidR="005E7AB2" w:rsidRPr="00E52513">
        <w:t xml:space="preserve">described in more detail </w:t>
      </w:r>
      <w:r w:rsidRPr="00E52513">
        <w:t>below.</w:t>
      </w:r>
    </w:p>
    <w:p w14:paraId="0741ED09" w14:textId="77777777" w:rsidR="00F32216" w:rsidRPr="00E52513" w:rsidRDefault="00F32216" w:rsidP="002243EF">
      <w:pPr>
        <w:pStyle w:val="Heading3"/>
      </w:pPr>
      <w:r w:rsidRPr="00E52513">
        <w:t>Program activities and objectives</w:t>
      </w:r>
    </w:p>
    <w:p w14:paraId="75C22A82" w14:textId="6C7CA7BD" w:rsidR="005E7AB2" w:rsidRPr="00E52513" w:rsidRDefault="00F32216" w:rsidP="00F32216">
      <w:pPr>
        <w:spacing w:after="120"/>
      </w:pPr>
      <w:r w:rsidRPr="00E52513">
        <w:t xml:space="preserve">Three key areas of NICRS program activity </w:t>
      </w:r>
      <w:r w:rsidR="005E7AB2" w:rsidRPr="00E52513">
        <w:t>were</w:t>
      </w:r>
      <w:r w:rsidRPr="00E52513">
        <w:t xml:space="preserve"> funded to address the program goals of this national s</w:t>
      </w:r>
      <w:r w:rsidR="00216906" w:rsidRPr="00E52513">
        <w:t xml:space="preserve">ervice, as summarised in Table </w:t>
      </w:r>
      <w:r w:rsidR="00A33C5C" w:rsidRPr="00E52513">
        <w:t>1</w:t>
      </w:r>
      <w:r w:rsidRPr="00E52513">
        <w:t>.</w:t>
      </w:r>
    </w:p>
    <w:p w14:paraId="553F3BF9" w14:textId="77777777" w:rsidR="008D5B4D" w:rsidRPr="00E52513" w:rsidRDefault="008D5B4D">
      <w:pPr>
        <w:spacing w:line="276" w:lineRule="auto"/>
        <w:rPr>
          <w:b/>
          <w:bCs/>
          <w:color w:val="009CDA"/>
          <w:sz w:val="20"/>
          <w:szCs w:val="18"/>
        </w:rPr>
      </w:pPr>
      <w:r w:rsidRPr="00E52513">
        <w:br w:type="page"/>
      </w:r>
    </w:p>
    <w:p w14:paraId="45F54B1D" w14:textId="4927A738" w:rsidR="002F3929" w:rsidRPr="00E52513" w:rsidRDefault="002F3929" w:rsidP="002F3929">
      <w:pPr>
        <w:pStyle w:val="Caption"/>
        <w:keepNext/>
      </w:pPr>
      <w:r w:rsidRPr="00E52513">
        <w:lastRenderedPageBreak/>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1</w:t>
      </w:r>
      <w:r w:rsidR="00D97F39">
        <w:rPr>
          <w:noProof/>
        </w:rPr>
        <w:fldChar w:fldCharType="end"/>
      </w:r>
      <w:r w:rsidRPr="00E52513">
        <w:t>: Key activities of the NICRS program</w:t>
      </w:r>
    </w:p>
    <w:tbl>
      <w:tblPr>
        <w:tblStyle w:val="LightList-Accent5"/>
        <w:tblW w:w="9017" w:type="dxa"/>
        <w:jc w:val="center"/>
        <w:tblLook w:val="04A0" w:firstRow="1" w:lastRow="0" w:firstColumn="1" w:lastColumn="0" w:noHBand="0" w:noVBand="1"/>
        <w:tblCaption w:val="Table showing key activities and objectives of the NICRS program"/>
        <w:tblDescription w:val="Key activities are divided into postvention and bereavement support services, community resilience and capacity building and systems change groupings"/>
      </w:tblPr>
      <w:tblGrid>
        <w:gridCol w:w="2961"/>
        <w:gridCol w:w="6056"/>
      </w:tblGrid>
      <w:tr w:rsidR="00787AC0" w:rsidRPr="00E52513" w14:paraId="5A28ADCB" w14:textId="77777777" w:rsidTr="00FD4A0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61" w:type="dxa"/>
            <w:tcBorders>
              <w:top w:val="nil"/>
              <w:left w:val="nil"/>
              <w:right w:val="nil"/>
            </w:tcBorders>
            <w:shd w:val="clear" w:color="auto" w:fill="E36C0A" w:themeFill="accent6" w:themeFillShade="BF"/>
            <w:hideMark/>
          </w:tcPr>
          <w:p w14:paraId="1AC09C13" w14:textId="77777777" w:rsidR="00F32216" w:rsidRPr="00E52513" w:rsidRDefault="00F32216" w:rsidP="00FE5DDC">
            <w:pPr>
              <w:rPr>
                <w:bCs w:val="0"/>
              </w:rPr>
            </w:pPr>
            <w:r w:rsidRPr="00E52513">
              <w:t>Key Activities</w:t>
            </w:r>
          </w:p>
        </w:tc>
        <w:tc>
          <w:tcPr>
            <w:tcW w:w="6056" w:type="dxa"/>
            <w:tcBorders>
              <w:top w:val="nil"/>
              <w:left w:val="nil"/>
              <w:bottom w:val="single" w:sz="4" w:space="0" w:color="E36C0A" w:themeColor="accent6" w:themeShade="BF"/>
            </w:tcBorders>
            <w:shd w:val="clear" w:color="auto" w:fill="E36C0A" w:themeFill="accent6" w:themeFillShade="BF"/>
            <w:hideMark/>
          </w:tcPr>
          <w:p w14:paraId="6A304DE1" w14:textId="77777777" w:rsidR="00F32216" w:rsidRPr="00E52513" w:rsidRDefault="00F32216" w:rsidP="00FE5DDC">
            <w:pPr>
              <w:cnfStyle w:val="100000000000" w:firstRow="1" w:lastRow="0" w:firstColumn="0" w:lastColumn="0" w:oddVBand="0" w:evenVBand="0" w:oddHBand="0" w:evenHBand="0" w:firstRowFirstColumn="0" w:firstRowLastColumn="0" w:lastRowFirstColumn="0" w:lastRowLastColumn="0"/>
              <w:rPr>
                <w:b w:val="0"/>
                <w:szCs w:val="24"/>
              </w:rPr>
            </w:pPr>
            <w:r w:rsidRPr="00E52513">
              <w:t>Objectives</w:t>
            </w:r>
          </w:p>
        </w:tc>
      </w:tr>
      <w:tr w:rsidR="00F32216" w:rsidRPr="00E52513" w14:paraId="7B52CFCA" w14:textId="77777777" w:rsidTr="00FD4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nil"/>
              <w:bottom w:val="single" w:sz="4" w:space="0" w:color="FFFFFF" w:themeColor="background1"/>
              <w:right w:val="nil"/>
            </w:tcBorders>
            <w:shd w:val="clear" w:color="auto" w:fill="FABF8F" w:themeFill="accent6" w:themeFillTint="99"/>
            <w:hideMark/>
          </w:tcPr>
          <w:p w14:paraId="65A024A7" w14:textId="77777777" w:rsidR="00F32216" w:rsidRPr="00E52513" w:rsidRDefault="00F32216" w:rsidP="00FE5DDC">
            <w:pPr>
              <w:rPr>
                <w:b w:val="0"/>
              </w:rPr>
            </w:pPr>
            <w:proofErr w:type="spellStart"/>
            <w:r w:rsidRPr="00E52513">
              <w:rPr>
                <w:i/>
              </w:rPr>
              <w:t>Postvention</w:t>
            </w:r>
            <w:proofErr w:type="spellEnd"/>
            <w:r w:rsidRPr="00E52513">
              <w:rPr>
                <w:i/>
              </w:rPr>
              <w:t xml:space="preserve"> &amp; bereavement support services </w:t>
            </w:r>
            <w:r w:rsidRPr="00E52513">
              <w:rPr>
                <w:b w:val="0"/>
              </w:rPr>
              <w:t>for Aboriginal &amp; Torres Strait Islander families &amp; communities</w:t>
            </w:r>
          </w:p>
        </w:tc>
        <w:tc>
          <w:tcPr>
            <w:tcW w:w="6056" w:type="dxa"/>
            <w:tcBorders>
              <w:top w:val="single" w:sz="4" w:space="0" w:color="E36C0A" w:themeColor="accent6" w:themeShade="BF"/>
              <w:left w:val="nil"/>
              <w:bottom w:val="single" w:sz="4" w:space="0" w:color="E36C0A" w:themeColor="accent6" w:themeShade="BF"/>
              <w:right w:val="single" w:sz="4" w:space="0" w:color="E36C0A" w:themeColor="accent6" w:themeShade="BF"/>
            </w:tcBorders>
            <w:hideMark/>
          </w:tcPr>
          <w:p w14:paraId="4BAB07B0" w14:textId="3F6B062E" w:rsidR="00F32216" w:rsidRPr="00E52513" w:rsidRDefault="00F32216" w:rsidP="006711F2">
            <w:pPr>
              <w:spacing w:after="120"/>
              <w:cnfStyle w:val="000000100000" w:firstRow="0" w:lastRow="0" w:firstColumn="0" w:lastColumn="0" w:oddVBand="0" w:evenVBand="0" w:oddHBand="1" w:evenHBand="0" w:firstRowFirstColumn="0" w:firstRowLastColumn="0" w:lastRowFirstColumn="0" w:lastRowLastColumn="0"/>
            </w:pPr>
            <w:r w:rsidRPr="00E52513">
              <w:t>Enhance and provide critical response support to individuals, families and communities affected by suicide or other traumatic incidents, by providing practical support to individuals, families, and communities in a timely manner, where existing services may not be providing an adequate response.</w:t>
            </w:r>
          </w:p>
        </w:tc>
      </w:tr>
      <w:tr w:rsidR="00F32216" w:rsidRPr="00E52513" w14:paraId="5160792A" w14:textId="77777777" w:rsidTr="00FD4A0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nil"/>
              <w:bottom w:val="single" w:sz="4" w:space="0" w:color="FFFFFF" w:themeColor="background1"/>
              <w:right w:val="nil"/>
            </w:tcBorders>
            <w:shd w:val="clear" w:color="auto" w:fill="FBD4B4" w:themeFill="accent6" w:themeFillTint="66"/>
            <w:hideMark/>
          </w:tcPr>
          <w:p w14:paraId="32FA64F4" w14:textId="77777777" w:rsidR="00F32216" w:rsidRPr="00E52513" w:rsidRDefault="00F32216" w:rsidP="00FE5DDC">
            <w:pPr>
              <w:rPr>
                <w:b w:val="0"/>
              </w:rPr>
            </w:pPr>
            <w:r w:rsidRPr="00E52513">
              <w:rPr>
                <w:b w:val="0"/>
              </w:rPr>
              <w:t xml:space="preserve">Building </w:t>
            </w:r>
            <w:r w:rsidRPr="00E52513">
              <w:t>community resilience &amp; capacity</w:t>
            </w:r>
            <w:r w:rsidRPr="00E52513">
              <w:rPr>
                <w:b w:val="0"/>
              </w:rPr>
              <w:t xml:space="preserve"> to support prevention &amp; provide </w:t>
            </w:r>
            <w:proofErr w:type="spellStart"/>
            <w:r w:rsidRPr="00E52513">
              <w:rPr>
                <w:b w:val="0"/>
              </w:rPr>
              <w:t>postvention</w:t>
            </w:r>
            <w:proofErr w:type="spellEnd"/>
            <w:r w:rsidRPr="00E52513">
              <w:rPr>
                <w:b w:val="0"/>
              </w:rPr>
              <w:t xml:space="preserve"> response services in Aboriginal &amp; Torres Strait Islander communities</w:t>
            </w:r>
          </w:p>
        </w:tc>
        <w:tc>
          <w:tcPr>
            <w:tcW w:w="6056" w:type="dxa"/>
            <w:tcBorders>
              <w:top w:val="single" w:sz="4" w:space="0" w:color="E36C0A" w:themeColor="accent6" w:themeShade="BF"/>
              <w:left w:val="nil"/>
              <w:bottom w:val="single" w:sz="4" w:space="0" w:color="E36C0A" w:themeColor="accent6" w:themeShade="BF"/>
              <w:right w:val="single" w:sz="4" w:space="0" w:color="E36C0A" w:themeColor="accent6" w:themeShade="BF"/>
            </w:tcBorders>
            <w:hideMark/>
          </w:tcPr>
          <w:p w14:paraId="4AFFC61F" w14:textId="5840CE13" w:rsidR="00F32216" w:rsidRPr="00E52513" w:rsidRDefault="00F32216" w:rsidP="006711F2">
            <w:pPr>
              <w:spacing w:after="120"/>
              <w:cnfStyle w:val="000000010000" w:firstRow="0" w:lastRow="0" w:firstColumn="0" w:lastColumn="0" w:oddVBand="0" w:evenVBand="0" w:oddHBand="0" w:evenHBand="1" w:firstRowFirstColumn="0" w:firstRowLastColumn="0" w:lastRowFirstColumn="0" w:lastRowLastColumn="0"/>
            </w:pPr>
            <w:r w:rsidRPr="00E52513">
              <w:t xml:space="preserve">Identify local community needs </w:t>
            </w:r>
            <w:r w:rsidR="002A5FFD" w:rsidRPr="00E52513">
              <w:t xml:space="preserve">and </w:t>
            </w:r>
            <w:r w:rsidRPr="00E52513">
              <w:t xml:space="preserve">activities relating to prevention and </w:t>
            </w:r>
            <w:proofErr w:type="spellStart"/>
            <w:r w:rsidRPr="00E52513">
              <w:t>postvention</w:t>
            </w:r>
            <w:proofErr w:type="spellEnd"/>
            <w:r w:rsidRPr="00E52513">
              <w:t xml:space="preserve"> </w:t>
            </w:r>
            <w:r w:rsidR="002A5FFD" w:rsidRPr="00E52513">
              <w:t xml:space="preserve">and </w:t>
            </w:r>
            <w:r w:rsidRPr="00E52513">
              <w:t xml:space="preserve">support the development and implementation of a model that promotes better service system coordination </w:t>
            </w:r>
            <w:r w:rsidR="002A5FFD" w:rsidRPr="00E52513">
              <w:t xml:space="preserve">and </w:t>
            </w:r>
            <w:r w:rsidRPr="00E52513">
              <w:t xml:space="preserve">builds community capacity &amp; resilience of Aboriginal </w:t>
            </w:r>
            <w:r w:rsidR="002A5FFD" w:rsidRPr="00E52513">
              <w:t xml:space="preserve">and </w:t>
            </w:r>
            <w:r w:rsidRPr="00E52513">
              <w:t>Torres Strait Islander communities affected by suicide</w:t>
            </w:r>
            <w:r w:rsidR="00E179F6" w:rsidRPr="00E52513">
              <w:t xml:space="preserve"> </w:t>
            </w:r>
            <w:r w:rsidRPr="00E52513">
              <w:t xml:space="preserve">related incidents </w:t>
            </w:r>
            <w:r w:rsidR="00E6482D" w:rsidRPr="00E52513">
              <w:t>and</w:t>
            </w:r>
            <w:r w:rsidRPr="00E52513">
              <w:t>/or other highly traumatic critical incidents.</w:t>
            </w:r>
          </w:p>
        </w:tc>
      </w:tr>
      <w:tr w:rsidR="00F32216" w:rsidRPr="00E52513" w14:paraId="79B81DC0" w14:textId="77777777" w:rsidTr="00DB7C0D">
        <w:trPr>
          <w:cnfStyle w:val="000000100000" w:firstRow="0" w:lastRow="0" w:firstColumn="0" w:lastColumn="0" w:oddVBand="0" w:evenVBand="0" w:oddHBand="1" w:evenHBand="0" w:firstRowFirstColumn="0" w:firstRowLastColumn="0" w:lastRowFirstColumn="0" w:lastRowLastColumn="0"/>
          <w:trHeight w:val="1688"/>
          <w:jc w:val="center"/>
        </w:trPr>
        <w:tc>
          <w:tcPr>
            <w:cnfStyle w:val="001000000000" w:firstRow="0" w:lastRow="0" w:firstColumn="1" w:lastColumn="0" w:oddVBand="0" w:evenVBand="0" w:oddHBand="0" w:evenHBand="0" w:firstRowFirstColumn="0" w:firstRowLastColumn="0" w:lastRowFirstColumn="0" w:lastRowLastColumn="0"/>
            <w:tcW w:w="2961" w:type="dxa"/>
            <w:tcBorders>
              <w:top w:val="single" w:sz="4" w:space="0" w:color="FFFFFF" w:themeColor="background1"/>
              <w:left w:val="nil"/>
              <w:bottom w:val="nil"/>
              <w:right w:val="nil"/>
            </w:tcBorders>
            <w:shd w:val="clear" w:color="auto" w:fill="FDE9D9" w:themeFill="accent6" w:themeFillTint="33"/>
            <w:hideMark/>
          </w:tcPr>
          <w:p w14:paraId="7D151B4B" w14:textId="48FEC5FD" w:rsidR="00F32216" w:rsidRPr="00E52513" w:rsidRDefault="00F32216" w:rsidP="00FE5DDC">
            <w:pPr>
              <w:rPr>
                <w:b w:val="0"/>
                <w:i/>
              </w:rPr>
            </w:pPr>
            <w:r w:rsidRPr="00E52513">
              <w:t>Systems change:</w:t>
            </w:r>
            <w:r w:rsidRPr="00E52513">
              <w:rPr>
                <w:b w:val="0"/>
                <w:i/>
              </w:rPr>
              <w:t xml:space="preserve"> </w:t>
            </w:r>
            <w:r w:rsidRPr="00E52513">
              <w:rPr>
                <w:b w:val="0"/>
              </w:rPr>
              <w:t>Undertake stakeholder</w:t>
            </w:r>
            <w:r w:rsidRPr="00E52513">
              <w:rPr>
                <w:b w:val="0"/>
                <w:szCs w:val="16"/>
              </w:rPr>
              <w:t xml:space="preserve"> </w:t>
            </w:r>
            <w:r w:rsidRPr="00E52513">
              <w:rPr>
                <w:b w:val="0"/>
              </w:rPr>
              <w:t>engagement</w:t>
            </w:r>
            <w:r w:rsidRPr="00E52513">
              <w:rPr>
                <w:b w:val="0"/>
                <w:szCs w:val="16"/>
              </w:rPr>
              <w:t xml:space="preserve"> </w:t>
            </w:r>
            <w:r w:rsidRPr="00E52513">
              <w:rPr>
                <w:b w:val="0"/>
              </w:rPr>
              <w:t>at</w:t>
            </w:r>
            <w:r w:rsidRPr="00E52513">
              <w:rPr>
                <w:b w:val="0"/>
                <w:szCs w:val="16"/>
              </w:rPr>
              <w:t xml:space="preserve"> </w:t>
            </w:r>
            <w:r w:rsidRPr="00E52513">
              <w:rPr>
                <w:b w:val="0"/>
              </w:rPr>
              <w:t>the National,</w:t>
            </w:r>
            <w:r w:rsidRPr="00E52513">
              <w:rPr>
                <w:b w:val="0"/>
                <w:szCs w:val="16"/>
              </w:rPr>
              <w:t xml:space="preserve"> </w:t>
            </w:r>
            <w:r w:rsidRPr="00E52513">
              <w:rPr>
                <w:b w:val="0"/>
              </w:rPr>
              <w:t>State</w:t>
            </w:r>
            <w:r w:rsidRPr="00E52513">
              <w:rPr>
                <w:b w:val="0"/>
                <w:szCs w:val="16"/>
              </w:rPr>
              <w:t xml:space="preserve"> </w:t>
            </w:r>
            <w:r w:rsidR="002A5FFD" w:rsidRPr="00E52513">
              <w:rPr>
                <w:b w:val="0"/>
              </w:rPr>
              <w:t>and</w:t>
            </w:r>
            <w:r w:rsidR="002A5FFD" w:rsidRPr="00E52513">
              <w:rPr>
                <w:b w:val="0"/>
                <w:szCs w:val="16"/>
              </w:rPr>
              <w:t xml:space="preserve"> </w:t>
            </w:r>
            <w:r w:rsidRPr="00E52513">
              <w:rPr>
                <w:b w:val="0"/>
              </w:rPr>
              <w:t>Regional</w:t>
            </w:r>
            <w:r w:rsidRPr="00E52513">
              <w:rPr>
                <w:b w:val="0"/>
                <w:szCs w:val="16"/>
              </w:rPr>
              <w:t xml:space="preserve"> </w:t>
            </w:r>
            <w:r w:rsidRPr="00E52513">
              <w:rPr>
                <w:b w:val="0"/>
              </w:rPr>
              <w:t>level</w:t>
            </w:r>
          </w:p>
        </w:tc>
        <w:tc>
          <w:tcPr>
            <w:tcW w:w="6056" w:type="dxa"/>
            <w:tcBorders>
              <w:top w:val="single" w:sz="4" w:space="0" w:color="E36C0A" w:themeColor="accent6" w:themeShade="BF"/>
              <w:left w:val="nil"/>
              <w:bottom w:val="single" w:sz="4" w:space="0" w:color="E36C0A" w:themeColor="accent6" w:themeShade="BF"/>
              <w:right w:val="single" w:sz="4" w:space="0" w:color="E36C0A" w:themeColor="accent6" w:themeShade="BF"/>
            </w:tcBorders>
            <w:hideMark/>
          </w:tcPr>
          <w:p w14:paraId="2DC500B0" w14:textId="1A297667" w:rsidR="00F32216" w:rsidRPr="00E52513" w:rsidRDefault="00F32216" w:rsidP="00FE5DDC">
            <w:pPr>
              <w:cnfStyle w:val="000000100000" w:firstRow="0" w:lastRow="0" w:firstColumn="0" w:lastColumn="0" w:oddVBand="0" w:evenVBand="0" w:oddHBand="1" w:evenHBand="0" w:firstRowFirstColumn="0" w:firstRowLastColumn="0" w:lastRowFirstColumn="0" w:lastRowLastColumn="0"/>
            </w:pPr>
            <w:r w:rsidRPr="00E52513">
              <w:t xml:space="preserve">Improve the coordination of </w:t>
            </w:r>
            <w:proofErr w:type="spellStart"/>
            <w:r w:rsidRPr="00E52513">
              <w:t>postvention</w:t>
            </w:r>
            <w:proofErr w:type="spellEnd"/>
            <w:r w:rsidRPr="00E52513">
              <w:t xml:space="preserve"> response services for affected individuals and families, working alongside existing services </w:t>
            </w:r>
            <w:r w:rsidR="004C6A0B" w:rsidRPr="00E52513">
              <w:t>that</w:t>
            </w:r>
            <w:r w:rsidRPr="00E52513">
              <w:t xml:space="preserve"> can provide support to the program and its aims.</w:t>
            </w:r>
          </w:p>
        </w:tc>
      </w:tr>
    </w:tbl>
    <w:p w14:paraId="1F3D8ABE" w14:textId="77777777" w:rsidR="00A252ED" w:rsidRPr="00E52513" w:rsidRDefault="00A252ED" w:rsidP="00A252ED"/>
    <w:p w14:paraId="7C0E9E93" w14:textId="2CAAA8D4" w:rsidR="00E04DE7" w:rsidRPr="00E52513" w:rsidRDefault="00E04DE7" w:rsidP="00E04DE7">
      <w:pPr>
        <w:spacing w:after="120"/>
        <w:rPr>
          <w:szCs w:val="22"/>
        </w:rPr>
      </w:pPr>
      <w:r w:rsidRPr="00E52513">
        <w:t xml:space="preserve">It should be noted </w:t>
      </w:r>
      <w:r w:rsidRPr="00E52513">
        <w:rPr>
          <w:szCs w:val="22"/>
        </w:rPr>
        <w:t xml:space="preserve">that the current evaluation scope has been limited to only </w:t>
      </w:r>
      <w:proofErr w:type="spellStart"/>
      <w:r w:rsidRPr="00E52513">
        <w:rPr>
          <w:b/>
          <w:szCs w:val="22"/>
        </w:rPr>
        <w:t>Postvention</w:t>
      </w:r>
      <w:proofErr w:type="spellEnd"/>
      <w:r w:rsidRPr="00E52513">
        <w:rPr>
          <w:b/>
          <w:szCs w:val="22"/>
        </w:rPr>
        <w:t xml:space="preserve"> and bereavement support activities</w:t>
      </w:r>
      <w:r w:rsidRPr="00E52513">
        <w:rPr>
          <w:szCs w:val="22"/>
        </w:rPr>
        <w:t>, or “Stream one” support services, as delivered in WA, N</w:t>
      </w:r>
      <w:r w:rsidR="00E179F6" w:rsidRPr="00E52513">
        <w:rPr>
          <w:szCs w:val="22"/>
        </w:rPr>
        <w:t>orthern Territory (NT)</w:t>
      </w:r>
      <w:r w:rsidRPr="00E52513">
        <w:rPr>
          <w:szCs w:val="22"/>
        </w:rPr>
        <w:t>, S</w:t>
      </w:r>
      <w:r w:rsidR="00E179F6" w:rsidRPr="00E52513">
        <w:rPr>
          <w:szCs w:val="22"/>
        </w:rPr>
        <w:t>outh Australia (S</w:t>
      </w:r>
      <w:r w:rsidRPr="00E52513">
        <w:rPr>
          <w:szCs w:val="22"/>
        </w:rPr>
        <w:t>A</w:t>
      </w:r>
      <w:r w:rsidR="00E179F6" w:rsidRPr="00E52513">
        <w:rPr>
          <w:szCs w:val="22"/>
        </w:rPr>
        <w:t>)</w:t>
      </w:r>
      <w:r w:rsidRPr="00E52513">
        <w:rPr>
          <w:szCs w:val="22"/>
        </w:rPr>
        <w:t xml:space="preserve"> and </w:t>
      </w:r>
      <w:r w:rsidR="00E179F6" w:rsidRPr="00E52513">
        <w:rPr>
          <w:szCs w:val="22"/>
        </w:rPr>
        <w:t>Queensland (</w:t>
      </w:r>
      <w:r w:rsidRPr="00E52513">
        <w:rPr>
          <w:szCs w:val="22"/>
        </w:rPr>
        <w:t>QLD</w:t>
      </w:r>
      <w:r w:rsidR="00E179F6" w:rsidRPr="00E52513">
        <w:rPr>
          <w:szCs w:val="22"/>
        </w:rPr>
        <w:t>)</w:t>
      </w:r>
      <w:r w:rsidRPr="00E52513">
        <w:rPr>
          <w:szCs w:val="22"/>
        </w:rPr>
        <w:t>. In interviews with NICRS management</w:t>
      </w:r>
      <w:r w:rsidR="006711F2" w:rsidRPr="00E52513">
        <w:rPr>
          <w:szCs w:val="22"/>
        </w:rPr>
        <w:t>,</w:t>
      </w:r>
      <w:r w:rsidRPr="00E52513">
        <w:rPr>
          <w:szCs w:val="22"/>
        </w:rPr>
        <w:t xml:space="preserve"> though</w:t>
      </w:r>
      <w:r w:rsidR="006711F2" w:rsidRPr="00E52513">
        <w:rPr>
          <w:szCs w:val="22"/>
        </w:rPr>
        <w:t>,</w:t>
      </w:r>
      <w:r w:rsidRPr="00E52513">
        <w:rPr>
          <w:szCs w:val="22"/>
        </w:rPr>
        <w:t xml:space="preserve"> it was noted that the service program situation is evolving such that different program ‘streams’ are merging. Thus, it is becoming accepted that individual and family</w:t>
      </w:r>
      <w:r w:rsidR="002A5FFD" w:rsidRPr="00E52513">
        <w:rPr>
          <w:szCs w:val="22"/>
        </w:rPr>
        <w:t>-</w:t>
      </w:r>
      <w:r w:rsidRPr="00E52513">
        <w:rPr>
          <w:szCs w:val="22"/>
        </w:rPr>
        <w:t xml:space="preserve">based support (Stream One or </w:t>
      </w:r>
      <w:proofErr w:type="spellStart"/>
      <w:r w:rsidRPr="00E52513">
        <w:rPr>
          <w:szCs w:val="22"/>
        </w:rPr>
        <w:t>Postvention</w:t>
      </w:r>
      <w:proofErr w:type="spellEnd"/>
      <w:r w:rsidRPr="00E52513">
        <w:rPr>
          <w:szCs w:val="22"/>
        </w:rPr>
        <w:t xml:space="preserve"> and bereavement support activities) can, </w:t>
      </w:r>
      <w:r w:rsidR="006711F2" w:rsidRPr="00E52513">
        <w:rPr>
          <w:szCs w:val="22"/>
        </w:rPr>
        <w:t xml:space="preserve">and </w:t>
      </w:r>
      <w:r w:rsidRPr="00E52513">
        <w:rPr>
          <w:szCs w:val="22"/>
        </w:rPr>
        <w:t>perhaps should, lead to broader community capacity building and population health type interventions. The evaluation team understood that this vision of service direction is still possibly evolving.</w:t>
      </w:r>
    </w:p>
    <w:p w14:paraId="7ACD46B0" w14:textId="0752FF85" w:rsidR="00A252ED" w:rsidRPr="00E52513" w:rsidRDefault="00A252ED" w:rsidP="00A252ED">
      <w:r w:rsidRPr="00E52513">
        <w:t>The objectives of the NI</w:t>
      </w:r>
      <w:r w:rsidR="00CE79F9" w:rsidRPr="00E52513">
        <w:t xml:space="preserve">CRS are broad and reflect the </w:t>
      </w:r>
      <w:r w:rsidRPr="00E52513">
        <w:t xml:space="preserve">holistic Aboriginal and Torres Strait Islander definition of health which recognises that health is more than the physical wellbeing of an individual </w:t>
      </w:r>
      <w:r w:rsidR="002A5FFD" w:rsidRPr="00E52513">
        <w:t xml:space="preserve">and that also </w:t>
      </w:r>
      <w:r w:rsidRPr="00E52513">
        <w:t xml:space="preserve">includes </w:t>
      </w:r>
      <w:r w:rsidR="002A5FFD" w:rsidRPr="00E52513">
        <w:t xml:space="preserve">the </w:t>
      </w:r>
      <w:r w:rsidRPr="00E52513">
        <w:t>mental, emotional, social, environmental and spiritual dimensions connected to the whole community (</w:t>
      </w:r>
      <w:r w:rsidRPr="00E52513">
        <w:rPr>
          <w:szCs w:val="24"/>
        </w:rPr>
        <w:t>National Aboriginal Health Strategy Working Party, 1989</w:t>
      </w:r>
      <w:r w:rsidRPr="00E52513">
        <w:t>).</w:t>
      </w:r>
    </w:p>
    <w:p w14:paraId="7F919CA1" w14:textId="685346CB" w:rsidR="00A252ED" w:rsidRPr="00E52513" w:rsidRDefault="002A5FFD" w:rsidP="00A252ED">
      <w:r w:rsidRPr="00E52513">
        <w:t xml:space="preserve">The </w:t>
      </w:r>
      <w:r w:rsidR="00A252ED" w:rsidRPr="00E52513">
        <w:t xml:space="preserve">NICRS objectives also align with concepts of multi-level empowerment in Aboriginal and Torres Strait Islander contexts, recognising that actions to promote an individuals’ wellbeing are required at multiple ‘levels’: for the individual, as well as the families to whom an individual is connected, communities in which individuals and families live, among services for support through culturally safe workforces, and in the systems that fund and shape service delivery (Jackson </w:t>
      </w:r>
      <w:proofErr w:type="spellStart"/>
      <w:r w:rsidR="00A252ED" w:rsidRPr="00E52513">
        <w:t>Pulver</w:t>
      </w:r>
      <w:proofErr w:type="spellEnd"/>
      <w:r w:rsidR="00A252ED" w:rsidRPr="00E52513">
        <w:t>, Williams, &amp; Fitzpatrick, 2019).</w:t>
      </w:r>
    </w:p>
    <w:p w14:paraId="275A4956" w14:textId="77777777" w:rsidR="00F32216" w:rsidRPr="00E52513" w:rsidRDefault="00F32216" w:rsidP="002243EF">
      <w:pPr>
        <w:pStyle w:val="Heading3"/>
      </w:pPr>
      <w:r w:rsidRPr="00E52513">
        <w:lastRenderedPageBreak/>
        <w:t>Expected outcomes and goals of the NICRS</w:t>
      </w:r>
      <w:bookmarkEnd w:id="19"/>
      <w:bookmarkEnd w:id="20"/>
    </w:p>
    <w:p w14:paraId="4DBC2203" w14:textId="5DCFC617" w:rsidR="00F32216" w:rsidRPr="00E52513" w:rsidRDefault="00F32216" w:rsidP="00F32216">
      <w:pPr>
        <w:rPr>
          <w:rFonts w:eastAsiaTheme="minorHAnsi"/>
        </w:rPr>
      </w:pPr>
      <w:r w:rsidRPr="00E52513">
        <w:t>The anticipated immediate, intermediate and longer</w:t>
      </w:r>
      <w:r w:rsidR="00AD7328" w:rsidRPr="00E52513">
        <w:t>-</w:t>
      </w:r>
      <w:r w:rsidRPr="00E52513">
        <w:t xml:space="preserve">term outcomes and goals that have been defined for the NICRS are outlined in the formal program logic that was developed by </w:t>
      </w:r>
      <w:proofErr w:type="spellStart"/>
      <w:r w:rsidRPr="00E52513">
        <w:t>Thirrili</w:t>
      </w:r>
      <w:proofErr w:type="spellEnd"/>
      <w:r w:rsidRPr="00E52513">
        <w:t xml:space="preserve"> in 2017 (Appendix </w:t>
      </w:r>
      <w:r w:rsidR="00A33C5C" w:rsidRPr="00E52513">
        <w:t>2</w:t>
      </w:r>
      <w:r w:rsidRPr="00E52513">
        <w:t>) to assist with guiding service development and review.</w:t>
      </w:r>
    </w:p>
    <w:p w14:paraId="4397DB3B" w14:textId="06EF5339" w:rsidR="00FE5DDC" w:rsidRPr="00E52513" w:rsidRDefault="00FE5DDC" w:rsidP="00F32216">
      <w:pPr>
        <w:spacing w:after="120"/>
        <w:rPr>
          <w:rFonts w:eastAsiaTheme="minorHAnsi"/>
        </w:rPr>
      </w:pPr>
      <w:r w:rsidRPr="00E52513">
        <w:rPr>
          <w:rFonts w:eastAsiaTheme="minorHAnsi"/>
        </w:rPr>
        <w:t>The long</w:t>
      </w:r>
      <w:r w:rsidR="00E04DE7" w:rsidRPr="00E52513">
        <w:rPr>
          <w:rFonts w:eastAsiaTheme="minorHAnsi"/>
        </w:rPr>
        <w:t>-</w:t>
      </w:r>
      <w:r w:rsidRPr="00E52513">
        <w:rPr>
          <w:rFonts w:eastAsiaTheme="minorHAnsi"/>
        </w:rPr>
        <w:t xml:space="preserve">term </w:t>
      </w:r>
      <w:r w:rsidR="00F32216" w:rsidRPr="00E52513">
        <w:rPr>
          <w:rFonts w:eastAsiaTheme="minorHAnsi"/>
          <w:b/>
        </w:rPr>
        <w:t>social goal</w:t>
      </w:r>
      <w:r w:rsidRPr="00E52513">
        <w:rPr>
          <w:rFonts w:eastAsiaTheme="minorHAnsi"/>
          <w:b/>
        </w:rPr>
        <w:t xml:space="preserve"> </w:t>
      </w:r>
      <w:r w:rsidRPr="00E52513">
        <w:rPr>
          <w:rFonts w:eastAsiaTheme="minorHAnsi"/>
        </w:rPr>
        <w:t>of the service is:</w:t>
      </w:r>
    </w:p>
    <w:p w14:paraId="2B843D84" w14:textId="77777777" w:rsidR="00FE5DDC" w:rsidRPr="00E52513" w:rsidRDefault="00F32216" w:rsidP="00F32216">
      <w:pPr>
        <w:spacing w:after="120"/>
        <w:rPr>
          <w:i/>
        </w:rPr>
      </w:pPr>
      <w:r w:rsidRPr="00E52513">
        <w:rPr>
          <w:rFonts w:eastAsiaTheme="minorHAnsi"/>
          <w:i/>
        </w:rPr>
        <w:t>‘</w:t>
      </w:r>
      <w:r w:rsidRPr="00E52513">
        <w:rPr>
          <w:i/>
        </w:rPr>
        <w:t xml:space="preserve">Aboriginal and Torres Strait Islander communities have improved capacity to undertake healing </w:t>
      </w:r>
      <w:proofErr w:type="spellStart"/>
      <w:r w:rsidRPr="00E52513">
        <w:rPr>
          <w:i/>
        </w:rPr>
        <w:t>postvention</w:t>
      </w:r>
      <w:proofErr w:type="spellEnd"/>
      <w:r w:rsidRPr="00E52513">
        <w:rPr>
          <w:i/>
        </w:rPr>
        <w:t>’</w:t>
      </w:r>
    </w:p>
    <w:p w14:paraId="5E33D73A" w14:textId="12778CB6" w:rsidR="00F32216" w:rsidRPr="00E52513" w:rsidRDefault="00FE5DDC" w:rsidP="00F32216">
      <w:pPr>
        <w:spacing w:after="120"/>
      </w:pPr>
      <w:r w:rsidRPr="00E52513">
        <w:t xml:space="preserve">Immediate and </w:t>
      </w:r>
      <w:r w:rsidR="00F32216" w:rsidRPr="00E52513">
        <w:rPr>
          <w:rFonts w:eastAsiaTheme="minorHAnsi"/>
        </w:rPr>
        <w:t xml:space="preserve">intermediate outcomes are intended to contribute to three </w:t>
      </w:r>
      <w:r w:rsidR="00F32216" w:rsidRPr="00E52513">
        <w:rPr>
          <w:rFonts w:eastAsiaTheme="minorHAnsi"/>
          <w:b/>
        </w:rPr>
        <w:t>program goals</w:t>
      </w:r>
      <w:r w:rsidR="00F32216" w:rsidRPr="00E52513">
        <w:rPr>
          <w:rFonts w:eastAsiaTheme="minorHAnsi"/>
        </w:rPr>
        <w:t>:</w:t>
      </w:r>
    </w:p>
    <w:p w14:paraId="05D4A2EB" w14:textId="77777777" w:rsidR="00F32216" w:rsidRPr="00E52513" w:rsidRDefault="00F32216" w:rsidP="00BB0C58">
      <w:pPr>
        <w:pStyle w:val="ListParagraph"/>
        <w:numPr>
          <w:ilvl w:val="0"/>
          <w:numId w:val="16"/>
        </w:numPr>
        <w:spacing w:before="0" w:after="120"/>
        <w:rPr>
          <w:i/>
          <w:szCs w:val="22"/>
        </w:rPr>
      </w:pPr>
      <w:r w:rsidRPr="00E52513">
        <w:rPr>
          <w:i/>
          <w:szCs w:val="22"/>
        </w:rPr>
        <w:t>Improved understanding of the needs of Aboriginal and Torres Strait Islander communities when responding to suicide and other traumatic events and issues that affect them</w:t>
      </w:r>
    </w:p>
    <w:p w14:paraId="497AB27D" w14:textId="77777777" w:rsidR="00F32216" w:rsidRPr="00E52513" w:rsidRDefault="00F32216" w:rsidP="00BB0C58">
      <w:pPr>
        <w:pStyle w:val="ListParagraph"/>
        <w:numPr>
          <w:ilvl w:val="0"/>
          <w:numId w:val="16"/>
        </w:numPr>
        <w:spacing w:before="0" w:after="120"/>
        <w:rPr>
          <w:i/>
          <w:szCs w:val="22"/>
        </w:rPr>
      </w:pPr>
      <w:r w:rsidRPr="00E52513">
        <w:rPr>
          <w:i/>
          <w:szCs w:val="22"/>
        </w:rPr>
        <w:t>Service and community systems have increased capacity to respond in culturally appropriate ways to support Aboriginal and Torres Strait Islander communities</w:t>
      </w:r>
    </w:p>
    <w:p w14:paraId="2113D4A6" w14:textId="3A13DB89" w:rsidR="00FE5DDC" w:rsidRPr="00E52513" w:rsidRDefault="00F32216" w:rsidP="00BB0C58">
      <w:pPr>
        <w:pStyle w:val="ListParagraph"/>
        <w:numPr>
          <w:ilvl w:val="0"/>
          <w:numId w:val="16"/>
        </w:numPr>
        <w:spacing w:before="0" w:after="240"/>
        <w:rPr>
          <w:szCs w:val="22"/>
        </w:rPr>
      </w:pPr>
      <w:r w:rsidRPr="00E52513">
        <w:rPr>
          <w:i/>
          <w:szCs w:val="22"/>
        </w:rPr>
        <w:t>Communities are receiving culturally appropriate, holistic and locally tailored program delivery</w:t>
      </w:r>
      <w:r w:rsidRPr="00E52513">
        <w:rPr>
          <w:szCs w:val="22"/>
        </w:rPr>
        <w:t>.</w:t>
      </w:r>
      <w:bookmarkStart w:id="21" w:name="_Toc34916448"/>
      <w:bookmarkStart w:id="22" w:name="_Toc27548037"/>
    </w:p>
    <w:p w14:paraId="3C10F90A" w14:textId="211BCCBA" w:rsidR="00F32216" w:rsidRPr="00E52513" w:rsidRDefault="00F32216" w:rsidP="002243EF">
      <w:pPr>
        <w:pStyle w:val="Heading3"/>
      </w:pPr>
      <w:r w:rsidRPr="00E52513">
        <w:t xml:space="preserve">NICRS </w:t>
      </w:r>
      <w:r w:rsidR="00E03911" w:rsidRPr="00E52513">
        <w:t>m</w:t>
      </w:r>
      <w:r w:rsidRPr="00E52513">
        <w:t xml:space="preserve">odel of </w:t>
      </w:r>
      <w:r w:rsidR="00E03911" w:rsidRPr="00E52513">
        <w:t>c</w:t>
      </w:r>
      <w:r w:rsidRPr="00E52513">
        <w:t>are</w:t>
      </w:r>
      <w:bookmarkEnd w:id="21"/>
      <w:bookmarkEnd w:id="22"/>
    </w:p>
    <w:p w14:paraId="722EDA29" w14:textId="3BBE42AD" w:rsidR="00F32216" w:rsidRPr="00E52513" w:rsidRDefault="00F32216" w:rsidP="00F32216">
      <w:pPr>
        <w:spacing w:after="240"/>
      </w:pPr>
      <w:r w:rsidRPr="00E52513">
        <w:t xml:space="preserve">The NICRS model </w:t>
      </w:r>
      <w:r w:rsidR="002A5FFD" w:rsidRPr="00E52513">
        <w:t xml:space="preserve">of care </w:t>
      </w:r>
      <w:r w:rsidRPr="00E52513">
        <w:t>(s</w:t>
      </w:r>
      <w:r w:rsidR="00787AC0" w:rsidRPr="00E52513">
        <w:t xml:space="preserve">ee Appendix </w:t>
      </w:r>
      <w:r w:rsidR="008D5B4D" w:rsidRPr="00E52513">
        <w:t>3</w:t>
      </w:r>
      <w:r w:rsidRPr="00E52513">
        <w:t>) follows an eight</w:t>
      </w:r>
      <w:r w:rsidR="00E04DE7" w:rsidRPr="00E52513">
        <w:t>-</w:t>
      </w:r>
      <w:r w:rsidRPr="00E52513">
        <w:t xml:space="preserve">step approach to guide engagement with families, the local community and local services. It is strongly aligned to the ATSISPEP-recommended model but does not follow every proposed aspect of that model. In particular, the NICRS model has a less structural focus on regional governance arrangements and the involvement of Aboriginal and Torres </w:t>
      </w:r>
      <w:r w:rsidR="00AB4F6B" w:rsidRPr="00E52513">
        <w:t>Strait</w:t>
      </w:r>
      <w:r w:rsidRPr="00E52513">
        <w:t xml:space="preserve"> Islander Community</w:t>
      </w:r>
      <w:r w:rsidR="00D73661" w:rsidRPr="00E52513">
        <w:t xml:space="preserve"> </w:t>
      </w:r>
      <w:r w:rsidRPr="00E52513">
        <w:t>Controlled Health Organisations (ACCHOs).</w:t>
      </w:r>
    </w:p>
    <w:p w14:paraId="0A744C76" w14:textId="265876A5" w:rsidR="00F32216" w:rsidRPr="00E52513" w:rsidRDefault="00F32216" w:rsidP="00F32216">
      <w:pPr>
        <w:spacing w:after="120"/>
      </w:pPr>
      <w:r w:rsidRPr="00E52513">
        <w:t>The NICRS model of care is underpinned by a SEWB framework that is designed and i</w:t>
      </w:r>
      <w:r w:rsidR="008D5B4D" w:rsidRPr="00E52513">
        <w:t xml:space="preserve">mplemented to support healing. </w:t>
      </w:r>
      <w:r w:rsidRPr="00E52513">
        <w:t>This framework has been extrapolated to guide the work of the Critical Response Support Advocates (CRSAs), who are the NICRS workers providing frontline services (</w:t>
      </w:r>
      <w:r w:rsidR="001A57AC" w:rsidRPr="00E52513">
        <w:t xml:space="preserve">see section </w:t>
      </w:r>
      <w:r w:rsidR="001A57AC" w:rsidRPr="00E52513">
        <w:rPr>
          <w:i/>
        </w:rPr>
        <w:t>Critical Response Support Advocates</w:t>
      </w:r>
      <w:r w:rsidR="001A57AC" w:rsidRPr="00E52513">
        <w:t xml:space="preserve"> for more information about the role</w:t>
      </w:r>
      <w:r w:rsidRPr="00E52513">
        <w:t>).</w:t>
      </w:r>
    </w:p>
    <w:p w14:paraId="42C4ED1D" w14:textId="77777777" w:rsidR="00F32216" w:rsidRPr="00E52513" w:rsidRDefault="00F32216" w:rsidP="002243EF">
      <w:pPr>
        <w:pStyle w:val="Heading3"/>
      </w:pPr>
      <w:bookmarkStart w:id="23" w:name="_Toc34916449"/>
      <w:bookmarkStart w:id="24" w:name="_Toc27548039"/>
      <w:r w:rsidRPr="00E52513">
        <w:t>NICRS service process</w:t>
      </w:r>
      <w:bookmarkEnd w:id="23"/>
      <w:bookmarkEnd w:id="24"/>
    </w:p>
    <w:p w14:paraId="17C93D37" w14:textId="2ACC4F9D" w:rsidR="00F32216" w:rsidRPr="00E52513" w:rsidRDefault="00F32216" w:rsidP="00F32216">
      <w:pPr>
        <w:rPr>
          <w:lang w:eastAsia="en-AU"/>
        </w:rPr>
      </w:pPr>
      <w:r w:rsidRPr="00E52513">
        <w:rPr>
          <w:lang w:eastAsia="en-AU"/>
        </w:rPr>
        <w:t xml:space="preserve">The NICRS program aims to provide </w:t>
      </w:r>
      <w:proofErr w:type="spellStart"/>
      <w:r w:rsidRPr="00E52513">
        <w:rPr>
          <w:lang w:eastAsia="en-AU"/>
        </w:rPr>
        <w:t>postvention</w:t>
      </w:r>
      <w:proofErr w:type="spellEnd"/>
      <w:r w:rsidRPr="00E52513">
        <w:rPr>
          <w:lang w:eastAsia="en-AU"/>
        </w:rPr>
        <w:t xml:space="preserve"> </w:t>
      </w:r>
      <w:proofErr w:type="spellStart"/>
      <w:r w:rsidRPr="00E52513">
        <w:rPr>
          <w:i/>
          <w:lang w:eastAsia="en-AU"/>
        </w:rPr>
        <w:t>throughcare</w:t>
      </w:r>
      <w:proofErr w:type="spellEnd"/>
      <w:r w:rsidRPr="00E52513">
        <w:rPr>
          <w:lang w:eastAsia="en-AU"/>
        </w:rPr>
        <w:t xml:space="preserve">, where individuals and families affected by suicide or other trauma are provided with coordinated and culturally responsive support for their </w:t>
      </w:r>
      <w:r w:rsidRPr="00E52513">
        <w:rPr>
          <w:i/>
          <w:lang w:eastAsia="en-AU"/>
        </w:rPr>
        <w:t>journey of healing</w:t>
      </w:r>
      <w:r w:rsidRPr="00E52513">
        <w:rPr>
          <w:lang w:eastAsia="en-AU"/>
        </w:rPr>
        <w:t xml:space="preserve">. Support is only provided on the invitation of individuals and families and </w:t>
      </w:r>
      <w:proofErr w:type="spellStart"/>
      <w:r w:rsidRPr="00E52513">
        <w:rPr>
          <w:lang w:eastAsia="en-AU"/>
        </w:rPr>
        <w:t>postvention</w:t>
      </w:r>
      <w:proofErr w:type="spellEnd"/>
      <w:r w:rsidRPr="00E52513">
        <w:rPr>
          <w:lang w:eastAsia="en-AU"/>
        </w:rPr>
        <w:t xml:space="preserve"> </w:t>
      </w:r>
      <w:proofErr w:type="spellStart"/>
      <w:r w:rsidRPr="00E52513">
        <w:rPr>
          <w:lang w:eastAsia="en-AU"/>
        </w:rPr>
        <w:t>throughcare</w:t>
      </w:r>
      <w:proofErr w:type="spellEnd"/>
      <w:r w:rsidRPr="00E52513">
        <w:rPr>
          <w:rStyle w:val="FootnoteReference"/>
          <w:lang w:eastAsia="en-AU"/>
        </w:rPr>
        <w:footnoteReference w:id="2"/>
      </w:r>
      <w:r w:rsidRPr="00E52513">
        <w:rPr>
          <w:lang w:eastAsia="en-AU"/>
        </w:rPr>
        <w:t xml:space="preserve"> plans can then be developed to ensure service clients live safe and meaningful lives. NICRS defines </w:t>
      </w:r>
      <w:proofErr w:type="spellStart"/>
      <w:r w:rsidRPr="00E52513">
        <w:rPr>
          <w:lang w:eastAsia="en-AU"/>
        </w:rPr>
        <w:t>throughcare</w:t>
      </w:r>
      <w:proofErr w:type="spellEnd"/>
      <w:r w:rsidRPr="00E52513">
        <w:rPr>
          <w:lang w:eastAsia="en-AU"/>
        </w:rPr>
        <w:t xml:space="preserve"> in this context as the </w:t>
      </w:r>
      <w:r w:rsidRPr="00E52513">
        <w:rPr>
          <w:i/>
          <w:lang w:eastAsia="en-AU"/>
        </w:rPr>
        <w:t>‘… provision of coordinated and culturally responsive support to individuals and families affected by suicide or other trauma.’</w:t>
      </w:r>
    </w:p>
    <w:p w14:paraId="1E3E2BFE" w14:textId="7B17124C" w:rsidR="00F32216" w:rsidRPr="00E52513" w:rsidRDefault="00F32216" w:rsidP="00F32216">
      <w:r w:rsidRPr="00E52513">
        <w:t xml:space="preserve">As outlined in the </w:t>
      </w:r>
      <w:r w:rsidR="00E03911" w:rsidRPr="00E52513">
        <w:t>m</w:t>
      </w:r>
      <w:r w:rsidRPr="00E52513">
        <w:t xml:space="preserve">odel of </w:t>
      </w:r>
      <w:r w:rsidR="00E03911" w:rsidRPr="00E52513">
        <w:t>c</w:t>
      </w:r>
      <w:r w:rsidRPr="00E52513">
        <w:t xml:space="preserve">are </w:t>
      </w:r>
      <w:r w:rsidR="0028506A" w:rsidRPr="00E52513">
        <w:t xml:space="preserve">diagram </w:t>
      </w:r>
      <w:r w:rsidR="008218E5" w:rsidRPr="00E52513">
        <w:t xml:space="preserve">(see Appendix </w:t>
      </w:r>
      <w:r w:rsidR="008D5B4D" w:rsidRPr="00E52513">
        <w:t>2</w:t>
      </w:r>
      <w:r w:rsidR="008218E5" w:rsidRPr="00E52513">
        <w:t>)</w:t>
      </w:r>
      <w:r w:rsidR="00FB6A94" w:rsidRPr="00E52513">
        <w:t>, support from the NICRS should be</w:t>
      </w:r>
      <w:r w:rsidRPr="00E52513">
        <w:t xml:space="preserve"> provided in an eight-stage process, commencing upon notification of an incident and seeking consent from the family to engage with those directly affected, providing a range of direct support, </w:t>
      </w:r>
      <w:r w:rsidRPr="00E52513">
        <w:lastRenderedPageBreak/>
        <w:t>generating comprehensive engagement with the local community and mental health service network, and continuing through to a carefully managed stepping back process.</w:t>
      </w:r>
    </w:p>
    <w:p w14:paraId="522A6DEA" w14:textId="7F78299B" w:rsidR="00F32216" w:rsidRPr="00E52513" w:rsidRDefault="00F32216" w:rsidP="00F32216">
      <w:pPr>
        <w:rPr>
          <w:lang w:eastAsia="en-AU"/>
        </w:rPr>
      </w:pPr>
      <w:r w:rsidRPr="00E52513">
        <w:rPr>
          <w:lang w:eastAsia="en-AU"/>
        </w:rPr>
        <w:t xml:space="preserve">Once the </w:t>
      </w:r>
      <w:proofErr w:type="spellStart"/>
      <w:r w:rsidRPr="00E52513">
        <w:rPr>
          <w:lang w:eastAsia="en-AU"/>
        </w:rPr>
        <w:t>throughcare</w:t>
      </w:r>
      <w:proofErr w:type="spellEnd"/>
      <w:r w:rsidRPr="00E52513">
        <w:rPr>
          <w:lang w:eastAsia="en-AU"/>
        </w:rPr>
        <w:t xml:space="preserve"> plan is implemented, the needs of </w:t>
      </w:r>
      <w:r w:rsidR="00FB6A94" w:rsidRPr="00E52513">
        <w:rPr>
          <w:lang w:eastAsia="en-AU"/>
        </w:rPr>
        <w:t>the individuals and families should be</w:t>
      </w:r>
      <w:r w:rsidRPr="00E52513">
        <w:rPr>
          <w:lang w:eastAsia="en-AU"/>
        </w:rPr>
        <w:t xml:space="preserve"> assessed every three months to assess any emerging needs and to consider whether it is appropriate for the service to ‘step back’ from the clients. Stepping back occurs when increased resilience in the client/s and strong support systems are observed. According to the </w:t>
      </w:r>
      <w:r w:rsidR="00E03911" w:rsidRPr="00E52513">
        <w:rPr>
          <w:lang w:eastAsia="en-AU"/>
        </w:rPr>
        <w:t>m</w:t>
      </w:r>
      <w:r w:rsidRPr="00E52513">
        <w:rPr>
          <w:lang w:eastAsia="en-AU"/>
        </w:rPr>
        <w:t xml:space="preserve">odel of </w:t>
      </w:r>
      <w:r w:rsidR="00E03911" w:rsidRPr="00E52513">
        <w:rPr>
          <w:lang w:eastAsia="en-AU"/>
        </w:rPr>
        <w:t>c</w:t>
      </w:r>
      <w:r w:rsidRPr="00E52513">
        <w:rPr>
          <w:lang w:eastAsia="en-AU"/>
        </w:rPr>
        <w:t>are, however, support from the service is not time-limited and client/s can still seek support from the NICRS.</w:t>
      </w:r>
    </w:p>
    <w:p w14:paraId="40C77E27" w14:textId="3CB05D3F" w:rsidR="00F32216" w:rsidRPr="00E52513" w:rsidRDefault="00F32216" w:rsidP="00F32216">
      <w:pPr>
        <w:rPr>
          <w:lang w:eastAsia="en-AU"/>
        </w:rPr>
      </w:pPr>
      <w:r w:rsidRPr="00E52513">
        <w:rPr>
          <w:lang w:eastAsia="en-AU"/>
        </w:rPr>
        <w:t>The service is provided by a network of C</w:t>
      </w:r>
      <w:r w:rsidR="008759E9" w:rsidRPr="00E52513">
        <w:rPr>
          <w:lang w:eastAsia="en-AU"/>
        </w:rPr>
        <w:t>RSAs</w:t>
      </w:r>
      <w:r w:rsidRPr="00E52513">
        <w:rPr>
          <w:lang w:eastAsia="en-AU"/>
        </w:rPr>
        <w:t xml:space="preserve"> located in identified areas of need throughout Australia, with coordination and support provided either from national or state/territory-based management and support staff. </w:t>
      </w:r>
      <w:r w:rsidRPr="00E52513">
        <w:t>The service provision arrangements vary somewhat according to the requirements and infrastructure available in different jurisdictions and regions. Partnership with local organisations is a stated core value for the service’s implementation process and this may result in some variation at the local level according to community needs.</w:t>
      </w:r>
    </w:p>
    <w:p w14:paraId="403F7755" w14:textId="473D3D83" w:rsidR="00F32216" w:rsidRPr="00E52513" w:rsidRDefault="00F32216" w:rsidP="00152634">
      <w:pPr>
        <w:pStyle w:val="Heading2"/>
      </w:pPr>
      <w:bookmarkStart w:id="25" w:name="_Toc34916450"/>
      <w:bookmarkStart w:id="26" w:name="_Toc27548041"/>
      <w:bookmarkStart w:id="27" w:name="_Toc54966617"/>
      <w:bookmarkStart w:id="28" w:name="_Toc27548040"/>
      <w:r w:rsidRPr="00E52513">
        <w:t>Governance and staffing</w:t>
      </w:r>
      <w:bookmarkEnd w:id="25"/>
      <w:bookmarkEnd w:id="26"/>
      <w:bookmarkEnd w:id="27"/>
    </w:p>
    <w:p w14:paraId="5DD1D790" w14:textId="3F25ECC3" w:rsidR="00F32216" w:rsidRPr="00E52513" w:rsidRDefault="00F32216" w:rsidP="0043353D">
      <w:pPr>
        <w:pStyle w:val="Heading3"/>
      </w:pPr>
      <w:proofErr w:type="spellStart"/>
      <w:r w:rsidRPr="00E52513">
        <w:t>Thirrili</w:t>
      </w:r>
      <w:proofErr w:type="spellEnd"/>
    </w:p>
    <w:p w14:paraId="5647876D" w14:textId="2CF8D81F" w:rsidR="00F32216" w:rsidRPr="00E52513" w:rsidRDefault="00F32216" w:rsidP="00F32216">
      <w:pPr>
        <w:spacing w:after="120"/>
      </w:pPr>
      <w:proofErr w:type="spellStart"/>
      <w:r w:rsidRPr="00E52513">
        <w:t>Thirrili</w:t>
      </w:r>
      <w:proofErr w:type="spellEnd"/>
      <w:r w:rsidRPr="00E52513">
        <w:t xml:space="preserve"> Ltd is a not-for-profit company limited by guarantee and a registered charity which </w:t>
      </w:r>
      <w:r w:rsidR="002A5FFD" w:rsidRPr="00E52513">
        <w:t>was</w:t>
      </w:r>
      <w:r w:rsidRPr="00E52513">
        <w:t xml:space="preserve"> established during this initial phase of NICRS funding. Since registration of the company in early 2017, the NICRS program has been governed by the </w:t>
      </w:r>
      <w:proofErr w:type="spellStart"/>
      <w:r w:rsidRPr="00E52513">
        <w:t>Thirrili</w:t>
      </w:r>
      <w:proofErr w:type="spellEnd"/>
      <w:r w:rsidRPr="00E52513">
        <w:t xml:space="preserve"> Ltd Board of Directors.</w:t>
      </w:r>
    </w:p>
    <w:p w14:paraId="13068403" w14:textId="7C049A87" w:rsidR="00F32216" w:rsidRPr="00E52513" w:rsidRDefault="00F32216" w:rsidP="00F32216">
      <w:pPr>
        <w:spacing w:after="120"/>
      </w:pPr>
      <w:r w:rsidRPr="00E52513">
        <w:t>The Board is currently made up of six Directors (including five from Aboriginal and/or Torres Strait Islander backgrounds), as follows:</w:t>
      </w:r>
    </w:p>
    <w:p w14:paraId="7C032CB2" w14:textId="77777777" w:rsidR="00F32216" w:rsidRPr="00E52513" w:rsidRDefault="00F32216" w:rsidP="00BB0C58">
      <w:pPr>
        <w:pStyle w:val="ListParagraph"/>
        <w:numPr>
          <w:ilvl w:val="0"/>
          <w:numId w:val="17"/>
        </w:numPr>
        <w:spacing w:before="0" w:after="0"/>
        <w:rPr>
          <w:rFonts w:eastAsia="Times New Roman" w:cstheme="minorBidi"/>
          <w:szCs w:val="22"/>
        </w:rPr>
      </w:pPr>
      <w:r w:rsidRPr="00E52513">
        <w:rPr>
          <w:rFonts w:eastAsia="Times New Roman" w:cstheme="minorBidi"/>
          <w:szCs w:val="22"/>
        </w:rPr>
        <w:t>Tim Goodwin, Chair</w:t>
      </w:r>
    </w:p>
    <w:p w14:paraId="20D69F0E" w14:textId="77777777" w:rsidR="00F32216" w:rsidRPr="00E52513" w:rsidRDefault="00F32216" w:rsidP="00BB0C58">
      <w:pPr>
        <w:pStyle w:val="ListParagraph"/>
        <w:numPr>
          <w:ilvl w:val="0"/>
          <w:numId w:val="17"/>
        </w:numPr>
        <w:spacing w:before="0" w:after="0"/>
        <w:rPr>
          <w:rFonts w:eastAsia="Times New Roman" w:cstheme="minorBidi"/>
          <w:szCs w:val="22"/>
        </w:rPr>
      </w:pPr>
      <w:r w:rsidRPr="00E52513">
        <w:rPr>
          <w:rFonts w:eastAsia="Times New Roman" w:cstheme="minorBidi"/>
          <w:szCs w:val="22"/>
        </w:rPr>
        <w:t xml:space="preserve">Dr Mark </w:t>
      </w:r>
      <w:proofErr w:type="spellStart"/>
      <w:r w:rsidRPr="00E52513">
        <w:rPr>
          <w:rFonts w:eastAsia="Times New Roman" w:cstheme="minorBidi"/>
          <w:szCs w:val="22"/>
        </w:rPr>
        <w:t>Wenitong</w:t>
      </w:r>
      <w:proofErr w:type="spellEnd"/>
      <w:r w:rsidRPr="00E52513">
        <w:rPr>
          <w:rFonts w:eastAsia="Times New Roman" w:cstheme="minorBidi"/>
          <w:szCs w:val="22"/>
        </w:rPr>
        <w:t>, Deputy Chair</w:t>
      </w:r>
    </w:p>
    <w:p w14:paraId="64A08F43" w14:textId="77777777" w:rsidR="00F32216" w:rsidRPr="00E52513" w:rsidRDefault="00F32216" w:rsidP="00BB0C58">
      <w:pPr>
        <w:pStyle w:val="ListParagraph"/>
        <w:numPr>
          <w:ilvl w:val="0"/>
          <w:numId w:val="17"/>
        </w:numPr>
        <w:spacing w:before="0" w:after="0"/>
        <w:rPr>
          <w:rFonts w:eastAsia="Times New Roman" w:cstheme="minorBidi"/>
          <w:szCs w:val="22"/>
        </w:rPr>
      </w:pPr>
      <w:r w:rsidRPr="00E52513">
        <w:rPr>
          <w:rFonts w:eastAsia="Times New Roman" w:cstheme="minorBidi"/>
          <w:szCs w:val="22"/>
        </w:rPr>
        <w:t>Jacqui Flynn</w:t>
      </w:r>
    </w:p>
    <w:p w14:paraId="7EA4D980" w14:textId="77777777" w:rsidR="00F32216" w:rsidRPr="00E52513" w:rsidRDefault="00F32216" w:rsidP="00BB0C58">
      <w:pPr>
        <w:pStyle w:val="ListParagraph"/>
        <w:numPr>
          <w:ilvl w:val="0"/>
          <w:numId w:val="17"/>
        </w:numPr>
        <w:spacing w:before="0" w:after="0"/>
        <w:rPr>
          <w:rFonts w:eastAsia="Times New Roman" w:cstheme="minorBidi"/>
          <w:szCs w:val="22"/>
        </w:rPr>
      </w:pPr>
      <w:r w:rsidRPr="00E52513">
        <w:rPr>
          <w:rFonts w:eastAsia="Times New Roman" w:cstheme="minorBidi"/>
          <w:szCs w:val="22"/>
        </w:rPr>
        <w:t>Indi Clarke</w:t>
      </w:r>
    </w:p>
    <w:p w14:paraId="1538ED60" w14:textId="77777777" w:rsidR="00F32216" w:rsidRPr="00E52513" w:rsidRDefault="00F32216" w:rsidP="00BB0C58">
      <w:pPr>
        <w:pStyle w:val="ListParagraph"/>
        <w:numPr>
          <w:ilvl w:val="0"/>
          <w:numId w:val="17"/>
        </w:numPr>
        <w:spacing w:before="0" w:after="0"/>
        <w:rPr>
          <w:rFonts w:eastAsia="Times New Roman" w:cstheme="minorBidi"/>
          <w:szCs w:val="22"/>
        </w:rPr>
      </w:pPr>
      <w:r w:rsidRPr="00E52513">
        <w:rPr>
          <w:rFonts w:eastAsia="Times New Roman" w:cstheme="minorBidi"/>
          <w:szCs w:val="22"/>
        </w:rPr>
        <w:t>Belinda Duarte</w:t>
      </w:r>
    </w:p>
    <w:p w14:paraId="43F748AD" w14:textId="77777777" w:rsidR="00F32216" w:rsidRPr="00E52513" w:rsidRDefault="00F32216" w:rsidP="00BB0C58">
      <w:pPr>
        <w:pStyle w:val="ListParagraph"/>
        <w:numPr>
          <w:ilvl w:val="0"/>
          <w:numId w:val="17"/>
        </w:numPr>
        <w:spacing w:before="0"/>
        <w:rPr>
          <w:rFonts w:eastAsia="Times New Roman" w:cstheme="minorBidi"/>
          <w:szCs w:val="22"/>
        </w:rPr>
      </w:pPr>
      <w:r w:rsidRPr="00E52513">
        <w:rPr>
          <w:rFonts w:eastAsia="Times New Roman" w:cstheme="minorBidi"/>
          <w:szCs w:val="22"/>
        </w:rPr>
        <w:t xml:space="preserve">Wayne </w:t>
      </w:r>
      <w:proofErr w:type="spellStart"/>
      <w:r w:rsidRPr="00E52513">
        <w:rPr>
          <w:rFonts w:eastAsia="Times New Roman" w:cstheme="minorBidi"/>
          <w:szCs w:val="22"/>
        </w:rPr>
        <w:t>Kinrade</w:t>
      </w:r>
      <w:proofErr w:type="spellEnd"/>
      <w:r w:rsidRPr="00E52513">
        <w:rPr>
          <w:rFonts w:eastAsia="Times New Roman" w:cstheme="minorBidi"/>
          <w:szCs w:val="22"/>
        </w:rPr>
        <w:t xml:space="preserve"> (Founding </w:t>
      </w:r>
      <w:proofErr w:type="spellStart"/>
      <w:r w:rsidRPr="00E52513">
        <w:rPr>
          <w:rFonts w:eastAsia="Times New Roman" w:cstheme="minorBidi"/>
          <w:szCs w:val="22"/>
        </w:rPr>
        <w:t>Thirrili</w:t>
      </w:r>
      <w:proofErr w:type="spellEnd"/>
      <w:r w:rsidRPr="00E52513">
        <w:rPr>
          <w:rFonts w:eastAsia="Times New Roman" w:cstheme="minorBidi"/>
          <w:szCs w:val="22"/>
        </w:rPr>
        <w:t xml:space="preserve"> Director and HMA Managing Director).</w:t>
      </w:r>
    </w:p>
    <w:p w14:paraId="434BF683" w14:textId="57A9253A" w:rsidR="005E7AB2" w:rsidRPr="00E52513" w:rsidRDefault="00F32216" w:rsidP="00F32216">
      <w:pPr>
        <w:spacing w:after="120"/>
      </w:pPr>
      <w:r w:rsidRPr="00E52513">
        <w:t xml:space="preserve">The stated mission of </w:t>
      </w:r>
      <w:proofErr w:type="spellStart"/>
      <w:r w:rsidRPr="00E52513">
        <w:t>Thirrili</w:t>
      </w:r>
      <w:proofErr w:type="spellEnd"/>
      <w:r w:rsidRPr="00E52513">
        <w:t xml:space="preserve">, as the program’s </w:t>
      </w:r>
      <w:proofErr w:type="spellStart"/>
      <w:r w:rsidRPr="00E52513">
        <w:t>auspicing</w:t>
      </w:r>
      <w:proofErr w:type="spellEnd"/>
      <w:r w:rsidRPr="00E52513">
        <w:t xml:space="preserve"> body, is</w:t>
      </w:r>
      <w:r w:rsidR="005E7AB2" w:rsidRPr="00E52513">
        <w:t>:</w:t>
      </w:r>
    </w:p>
    <w:p w14:paraId="00ABF5A9" w14:textId="6187EA96" w:rsidR="00F32216" w:rsidRPr="00E52513" w:rsidRDefault="00F32216" w:rsidP="00A32F01">
      <w:pPr>
        <w:spacing w:after="240"/>
        <w:ind w:left="283" w:right="283"/>
        <w:rPr>
          <w:rFonts w:cstheme="minorBidi"/>
        </w:rPr>
      </w:pPr>
      <w:r w:rsidRPr="00E52513">
        <w:rPr>
          <w:i/>
        </w:rPr>
        <w:t>‘</w:t>
      </w:r>
      <w:r w:rsidR="005E7AB2" w:rsidRPr="00E52513">
        <w:rPr>
          <w:i/>
        </w:rPr>
        <w:t>…</w:t>
      </w:r>
      <w:r w:rsidRPr="00E52513">
        <w:rPr>
          <w:i/>
        </w:rPr>
        <w:t>to support social and emotional wellbeing of our people to stem suicide and trauma’</w:t>
      </w:r>
      <w:r w:rsidRPr="00E52513">
        <w:t>.</w:t>
      </w:r>
    </w:p>
    <w:p w14:paraId="39859B26" w14:textId="363F67B7" w:rsidR="00F32216" w:rsidRPr="00E52513" w:rsidRDefault="00F32216" w:rsidP="00F32216">
      <w:pPr>
        <w:tabs>
          <w:tab w:val="left" w:pos="220"/>
          <w:tab w:val="left" w:pos="720"/>
        </w:tabs>
        <w:autoSpaceDE w:val="0"/>
        <w:autoSpaceDN w:val="0"/>
        <w:adjustRightInd w:val="0"/>
        <w:spacing w:after="120"/>
        <w:rPr>
          <w:rFonts w:cs="Segoe UI"/>
          <w:color w:val="0A0A0A"/>
          <w:szCs w:val="22"/>
        </w:rPr>
      </w:pPr>
      <w:r w:rsidRPr="00E52513">
        <w:rPr>
          <w:rFonts w:cs="Segoe UI"/>
          <w:color w:val="0A0A0A"/>
          <w:szCs w:val="22"/>
        </w:rPr>
        <w:t xml:space="preserve">Since it commenced its responsibilities in April 2017, the Board has overseen the establishment of approximately 60 organisational and service delivery policies to guide its operations. Appendix </w:t>
      </w:r>
      <w:r w:rsidR="008D5B4D" w:rsidRPr="00E52513">
        <w:rPr>
          <w:rFonts w:cs="Segoe UI"/>
          <w:color w:val="0A0A0A"/>
          <w:szCs w:val="22"/>
        </w:rPr>
        <w:t>4</w:t>
      </w:r>
      <w:r w:rsidRPr="00E52513">
        <w:rPr>
          <w:rFonts w:cs="Segoe UI"/>
          <w:color w:val="0A0A0A"/>
          <w:szCs w:val="22"/>
        </w:rPr>
        <w:t xml:space="preserve"> provides a list of those policies (as provided by </w:t>
      </w:r>
      <w:proofErr w:type="spellStart"/>
      <w:r w:rsidRPr="00E52513">
        <w:rPr>
          <w:rFonts w:cs="Segoe UI"/>
          <w:color w:val="0A0A0A"/>
          <w:szCs w:val="22"/>
        </w:rPr>
        <w:t>Thirrili</w:t>
      </w:r>
      <w:proofErr w:type="spellEnd"/>
      <w:r w:rsidRPr="00E52513">
        <w:rPr>
          <w:rFonts w:cs="Segoe UI"/>
          <w:color w:val="0A0A0A"/>
          <w:szCs w:val="22"/>
        </w:rPr>
        <w:t xml:space="preserve"> staff to HCA </w:t>
      </w:r>
      <w:r w:rsidR="005E7AB2" w:rsidRPr="00E52513">
        <w:rPr>
          <w:rFonts w:cs="Segoe UI"/>
          <w:color w:val="0A0A0A"/>
          <w:szCs w:val="22"/>
        </w:rPr>
        <w:t>during the evaluation period</w:t>
      </w:r>
      <w:r w:rsidRPr="00E52513">
        <w:rPr>
          <w:rFonts w:cs="Segoe UI"/>
          <w:color w:val="0A0A0A"/>
          <w:szCs w:val="22"/>
        </w:rPr>
        <w:t>). Th</w:t>
      </w:r>
      <w:r w:rsidR="0028506A" w:rsidRPr="00E52513">
        <w:rPr>
          <w:rFonts w:cs="Segoe UI"/>
          <w:color w:val="0A0A0A"/>
          <w:szCs w:val="22"/>
        </w:rPr>
        <w:t>ese</w:t>
      </w:r>
      <w:r w:rsidRPr="00E52513">
        <w:rPr>
          <w:rFonts w:cs="Segoe UI"/>
          <w:color w:val="0A0A0A"/>
          <w:szCs w:val="22"/>
        </w:rPr>
        <w:t xml:space="preserve"> </w:t>
      </w:r>
      <w:r w:rsidR="005E7AB2" w:rsidRPr="00E52513">
        <w:rPr>
          <w:rFonts w:cs="Segoe UI"/>
          <w:color w:val="0A0A0A"/>
          <w:szCs w:val="22"/>
        </w:rPr>
        <w:t xml:space="preserve">policies have been categorised as either core organisational policies or NICRS specific policies. The breadth of the list </w:t>
      </w:r>
      <w:r w:rsidRPr="00E52513">
        <w:rPr>
          <w:rFonts w:cs="Segoe UI"/>
          <w:color w:val="0A0A0A"/>
          <w:szCs w:val="22"/>
        </w:rPr>
        <w:t>provides an indication of the degree of investment required during th</w:t>
      </w:r>
      <w:r w:rsidR="005E7AB2" w:rsidRPr="00E52513">
        <w:rPr>
          <w:rFonts w:cs="Segoe UI"/>
          <w:color w:val="0A0A0A"/>
          <w:szCs w:val="22"/>
        </w:rPr>
        <w:t>e</w:t>
      </w:r>
      <w:r w:rsidRPr="00E52513">
        <w:rPr>
          <w:rFonts w:cs="Segoe UI"/>
          <w:color w:val="0A0A0A"/>
          <w:szCs w:val="22"/>
        </w:rPr>
        <w:t xml:space="preserve"> funding period to </w:t>
      </w:r>
      <w:r w:rsidR="005E7AB2" w:rsidRPr="00E52513">
        <w:rPr>
          <w:rFonts w:cs="Segoe UI"/>
          <w:color w:val="0A0A0A"/>
          <w:szCs w:val="22"/>
        </w:rPr>
        <w:t xml:space="preserve">support </w:t>
      </w:r>
      <w:r w:rsidR="002A5FFD" w:rsidRPr="00E52513">
        <w:rPr>
          <w:rFonts w:cs="Segoe UI"/>
          <w:color w:val="0A0A0A"/>
          <w:szCs w:val="22"/>
        </w:rPr>
        <w:t xml:space="preserve">the </w:t>
      </w:r>
      <w:r w:rsidRPr="00E52513">
        <w:rPr>
          <w:rFonts w:cs="Segoe UI"/>
          <w:color w:val="0A0A0A"/>
          <w:szCs w:val="22"/>
        </w:rPr>
        <w:t>establish</w:t>
      </w:r>
      <w:r w:rsidR="005E7AB2" w:rsidRPr="00E52513">
        <w:rPr>
          <w:rFonts w:cs="Segoe UI"/>
          <w:color w:val="0A0A0A"/>
          <w:szCs w:val="22"/>
        </w:rPr>
        <w:t>ment of</w:t>
      </w:r>
      <w:r w:rsidRPr="00E52513">
        <w:rPr>
          <w:rFonts w:cs="Segoe UI"/>
          <w:color w:val="0A0A0A"/>
          <w:szCs w:val="22"/>
        </w:rPr>
        <w:t xml:space="preserve"> </w:t>
      </w:r>
      <w:proofErr w:type="spellStart"/>
      <w:r w:rsidRPr="00E52513">
        <w:rPr>
          <w:rFonts w:cs="Segoe UI"/>
          <w:color w:val="0A0A0A"/>
          <w:szCs w:val="22"/>
        </w:rPr>
        <w:t>Thirrili</w:t>
      </w:r>
      <w:proofErr w:type="spellEnd"/>
      <w:r w:rsidRPr="00E52513">
        <w:rPr>
          <w:rFonts w:cs="Segoe UI"/>
          <w:color w:val="0A0A0A"/>
          <w:szCs w:val="22"/>
        </w:rPr>
        <w:t xml:space="preserve"> </w:t>
      </w:r>
      <w:r w:rsidR="005E7AB2" w:rsidRPr="00E52513">
        <w:rPr>
          <w:rFonts w:cs="Segoe UI"/>
          <w:color w:val="0A0A0A"/>
          <w:szCs w:val="22"/>
        </w:rPr>
        <w:t>as a service provider</w:t>
      </w:r>
      <w:r w:rsidRPr="00E52513">
        <w:rPr>
          <w:rFonts w:cs="Segoe UI"/>
          <w:color w:val="0A0A0A"/>
          <w:szCs w:val="22"/>
        </w:rPr>
        <w:t>.</w:t>
      </w:r>
    </w:p>
    <w:p w14:paraId="559DD8FF" w14:textId="397AAE8C" w:rsidR="00F32216" w:rsidRPr="00E52513" w:rsidRDefault="00F32216" w:rsidP="0043353D">
      <w:pPr>
        <w:pStyle w:val="Heading3"/>
      </w:pPr>
      <w:r w:rsidRPr="00E52513">
        <w:t>NICRS staffing structure</w:t>
      </w:r>
    </w:p>
    <w:p w14:paraId="239A8076" w14:textId="1915C199" w:rsidR="00F32216" w:rsidRPr="00E52513" w:rsidRDefault="00F32216" w:rsidP="00F32216">
      <w:r w:rsidRPr="00E52513">
        <w:t xml:space="preserve">Under the oversight of the Board of Directors, the NICRS is managed by the </w:t>
      </w:r>
      <w:proofErr w:type="spellStart"/>
      <w:r w:rsidRPr="00E52513">
        <w:t>Thirrili</w:t>
      </w:r>
      <w:proofErr w:type="spellEnd"/>
      <w:r w:rsidRPr="00E52513">
        <w:t xml:space="preserve"> Chief Executive (via the co-held position of NICRS Project Director). A Chief Executive position reports directly to the Board. This position is responsible for developing and implementing a range of other activities </w:t>
      </w:r>
      <w:r w:rsidRPr="00E52513">
        <w:lastRenderedPageBreak/>
        <w:t xml:space="preserve">endorsed by the Board to promote </w:t>
      </w:r>
      <w:proofErr w:type="spellStart"/>
      <w:r w:rsidRPr="00E52513">
        <w:t>Thirrili’s</w:t>
      </w:r>
      <w:proofErr w:type="spellEnd"/>
      <w:r w:rsidRPr="00E52513">
        <w:t xml:space="preserve"> formal object</w:t>
      </w:r>
      <w:r w:rsidR="00AB4F6B" w:rsidRPr="00E52513">
        <w:t>ive</w:t>
      </w:r>
      <w:r w:rsidRPr="00E52513">
        <w:t xml:space="preserve">s. This role has been established with dual responsibility for leading the NICRS in the role of Project Director (as described in the organisational structure at Figure </w:t>
      </w:r>
      <w:r w:rsidR="00400046" w:rsidRPr="00E52513">
        <w:t>3</w:t>
      </w:r>
      <w:r w:rsidRPr="00E52513">
        <w:t xml:space="preserve"> below).</w:t>
      </w:r>
    </w:p>
    <w:p w14:paraId="793EEFD4" w14:textId="32870D3F" w:rsidR="00F32216" w:rsidRPr="00E52513" w:rsidRDefault="00F32216" w:rsidP="00F32216">
      <w:r w:rsidRPr="00E52513">
        <w:t xml:space="preserve">The Chief Executive/Project Director role is supported by two </w:t>
      </w:r>
      <w:r w:rsidR="00E179F6" w:rsidRPr="00E52513">
        <w:t>C</w:t>
      </w:r>
      <w:r w:rsidRPr="00E52513">
        <w:t xml:space="preserve">ultural </w:t>
      </w:r>
      <w:r w:rsidR="00E179F6" w:rsidRPr="00E52513">
        <w:t>A</w:t>
      </w:r>
      <w:r w:rsidRPr="00E52513">
        <w:t xml:space="preserve">dvisors (one in WA and one in Far North </w:t>
      </w:r>
      <w:r w:rsidR="00E03911" w:rsidRPr="00E52513">
        <w:t>QLD</w:t>
      </w:r>
      <w:r w:rsidRPr="00E52513">
        <w:t xml:space="preserve">), </w:t>
      </w:r>
      <w:r w:rsidR="00CC5EB9" w:rsidRPr="00E52513">
        <w:t xml:space="preserve">a </w:t>
      </w:r>
      <w:r w:rsidR="00E03911" w:rsidRPr="00E52513">
        <w:t>P</w:t>
      </w:r>
      <w:r w:rsidR="00CC5EB9" w:rsidRPr="00E52513">
        <w:t xml:space="preserve">roject </w:t>
      </w:r>
      <w:r w:rsidR="00E03911" w:rsidRPr="00E52513">
        <w:t>M</w:t>
      </w:r>
      <w:r w:rsidR="00CC5EB9" w:rsidRPr="00E52513">
        <w:t>anager</w:t>
      </w:r>
      <w:r w:rsidRPr="00E52513">
        <w:t xml:space="preserve">, </w:t>
      </w:r>
      <w:r w:rsidR="00D53A1D" w:rsidRPr="00E52513">
        <w:t>several</w:t>
      </w:r>
      <w:r w:rsidRPr="00E52513">
        <w:t xml:space="preserve"> policy and administrative support positions, two Coordinator positions, and approximately 10 </w:t>
      </w:r>
      <w:r w:rsidR="00831F41" w:rsidRPr="00E52513">
        <w:t>CRSA</w:t>
      </w:r>
      <w:r w:rsidRPr="00E52513">
        <w:t xml:space="preserve"> positions. </w:t>
      </w:r>
      <w:r w:rsidR="00AB4F6B" w:rsidRPr="00E52513">
        <w:t>The role of CRSAs is described in more detail in the next section.</w:t>
      </w:r>
    </w:p>
    <w:p w14:paraId="7E83845C" w14:textId="02528D4C" w:rsidR="00F32216" w:rsidRPr="00E52513" w:rsidRDefault="00F32216" w:rsidP="00F32216">
      <w:r w:rsidRPr="00E52513">
        <w:t xml:space="preserve">Figure </w:t>
      </w:r>
      <w:r w:rsidR="00400046" w:rsidRPr="00E52513">
        <w:t>3</w:t>
      </w:r>
      <w:r w:rsidRPr="00E52513">
        <w:t xml:space="preserve"> below provides an indication of the current organisational structure of </w:t>
      </w:r>
      <w:proofErr w:type="spellStart"/>
      <w:r w:rsidRPr="00E52513">
        <w:t>Thirrili</w:t>
      </w:r>
      <w:proofErr w:type="spellEnd"/>
      <w:r w:rsidRPr="00E52513">
        <w:t xml:space="preserve"> and the NICRS program, including broad geogr</w:t>
      </w:r>
      <w:r w:rsidR="008759E9" w:rsidRPr="00E52513">
        <w:t>aphic locations and associated full time equivalent (F</w:t>
      </w:r>
      <w:r w:rsidRPr="00E52513">
        <w:t>TE</w:t>
      </w:r>
      <w:r w:rsidR="008759E9" w:rsidRPr="00E52513">
        <w:t>)</w:t>
      </w:r>
      <w:r w:rsidRPr="00E52513">
        <w:t xml:space="preserve"> allocations. Not all positions were filled at the time of writing this evaluation report. A table outlining the roles of each of these position types is at Appendix </w:t>
      </w:r>
      <w:r w:rsidR="007D12CA" w:rsidRPr="00E52513">
        <w:t>5</w:t>
      </w:r>
      <w:r w:rsidRPr="00E52513">
        <w:t>.</w:t>
      </w:r>
    </w:p>
    <w:p w14:paraId="1679B04A" w14:textId="5B27EF85" w:rsidR="00F32216" w:rsidRPr="00E52513" w:rsidRDefault="00F32216" w:rsidP="00F32216">
      <w:r w:rsidRPr="00E52513">
        <w:t xml:space="preserve">In addition to the Board and employee positions indicated in Figure </w:t>
      </w:r>
      <w:r w:rsidR="005B437D" w:rsidRPr="00E52513">
        <w:t>3</w:t>
      </w:r>
      <w:r w:rsidRPr="00E52513">
        <w:t xml:space="preserve">, a psychologist is contracted to provide practice supervision to </w:t>
      </w:r>
      <w:proofErr w:type="spellStart"/>
      <w:r w:rsidRPr="00E52513">
        <w:t>Thirrili</w:t>
      </w:r>
      <w:proofErr w:type="spellEnd"/>
      <w:r w:rsidRPr="00E52513">
        <w:t xml:space="preserve"> employees on an individual (as needs) and group (monthly) basis. </w:t>
      </w:r>
      <w:r w:rsidR="00831F41" w:rsidRPr="00E52513">
        <w:t>This contractor also assists with the development and review of organisational policies.</w:t>
      </w:r>
    </w:p>
    <w:p w14:paraId="5B6F31AF" w14:textId="13D062F4" w:rsidR="00AD7328" w:rsidRPr="00E52513" w:rsidRDefault="00AD7328" w:rsidP="00AD7328">
      <w:pPr>
        <w:pStyle w:val="Heading3"/>
      </w:pPr>
      <w:r w:rsidRPr="00E52513">
        <w:t>Critical Response Support Advocates</w:t>
      </w:r>
      <w:r w:rsidR="008759E9" w:rsidRPr="00E52513">
        <w:t xml:space="preserve"> (CRSAs)</w:t>
      </w:r>
    </w:p>
    <w:p w14:paraId="53D1E3EF" w14:textId="77777777" w:rsidR="00AD7328" w:rsidRPr="00E52513" w:rsidRDefault="00AD7328" w:rsidP="00AD7328">
      <w:r w:rsidRPr="00E52513">
        <w:t xml:space="preserve">CRSAs are the frontline staff who deliver the NICRS supports. The role of CRSAs is to provide </w:t>
      </w:r>
      <w:proofErr w:type="spellStart"/>
      <w:r w:rsidRPr="00E52513">
        <w:t>postvention</w:t>
      </w:r>
      <w:proofErr w:type="spellEnd"/>
      <w:r w:rsidRPr="00E52513">
        <w:t xml:space="preserve"> support that is informed by the key domains of the SEWB framework. CRSAs work closely with clients and respond to the SEWB needs of clients immediately after an incident notification has been made to the service.</w:t>
      </w:r>
    </w:p>
    <w:p w14:paraId="36222E1A" w14:textId="54A92AB3" w:rsidR="00AD7328" w:rsidRPr="00E52513" w:rsidRDefault="00AD7328" w:rsidP="00AD7328">
      <w:r w:rsidRPr="00E52513">
        <w:t>A range of different protocols are applied by CRSAs depending on the context or age of clients to ensure all domains of SEWB are addressed.</w:t>
      </w:r>
    </w:p>
    <w:p w14:paraId="584F72F6" w14:textId="51D2D099" w:rsidR="00AD7328" w:rsidRDefault="00AD7328" w:rsidP="00AD7328">
      <w:r w:rsidRPr="00E52513">
        <w:t>Currently 10 CRSAs are employed to deliver the service in WA, NT, QLD, SA and Victoria. Three additional roles are still to be established in New South Wales (NSW), Tasmania and the ACT, either directly or via a sub-contracting arrangement. A position was created and briefly occupied in Victoria but is currently unfilled.</w:t>
      </w:r>
    </w:p>
    <w:p w14:paraId="30BE41BE" w14:textId="7236B631" w:rsidR="00DF611C" w:rsidRPr="00E52513" w:rsidRDefault="00DF611C" w:rsidP="00DF611C">
      <w:pPr>
        <w:jc w:val="center"/>
      </w:pPr>
      <w:r>
        <w:rPr>
          <w:noProof/>
          <w:lang w:eastAsia="en-AU"/>
        </w:rPr>
        <w:lastRenderedPageBreak/>
        <w:drawing>
          <wp:inline distT="0" distB="0" distL="0" distR="0" wp14:anchorId="15F44086" wp14:editId="34C3CEA3">
            <wp:extent cx="5342315" cy="7633252"/>
            <wp:effectExtent l="0" t="0" r="0" b="6350"/>
            <wp:docPr id="3" name="Picture 3" descr="Diagram&#10;&#10;Overview of the organisational structure of Thirrili, starting with the Board and its subcommittees, then CEO, who mangaes the finance officer, community capacity building officer, research officer, two cultural advisors and three middle managers (project manager and northern and southern coordinators), who in turn manage a communications and engagement officer, a data officer and admin officer as well as 8.2 CRSA positions" title="Figure 3: Thirrili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NG"/>
                    <pic:cNvPicPr/>
                  </pic:nvPicPr>
                  <pic:blipFill>
                    <a:blip r:embed="rId16">
                      <a:extLst>
                        <a:ext uri="{28A0092B-C50C-407E-A947-70E740481C1C}">
                          <a14:useLocalDpi xmlns:a14="http://schemas.microsoft.com/office/drawing/2010/main" val="0"/>
                        </a:ext>
                      </a:extLst>
                    </a:blip>
                    <a:stretch>
                      <a:fillRect/>
                    </a:stretch>
                  </pic:blipFill>
                  <pic:spPr>
                    <a:xfrm>
                      <a:off x="0" y="0"/>
                      <a:ext cx="5351773" cy="7646766"/>
                    </a:xfrm>
                    <a:prstGeom prst="rect">
                      <a:avLst/>
                    </a:prstGeom>
                  </pic:spPr>
                </pic:pic>
              </a:graphicData>
            </a:graphic>
          </wp:inline>
        </w:drawing>
      </w:r>
    </w:p>
    <w:p w14:paraId="49C1D953" w14:textId="1C008849" w:rsidR="00DF611C" w:rsidRDefault="00DF611C" w:rsidP="00DF611C">
      <w:pPr>
        <w:pStyle w:val="Caption"/>
      </w:pPr>
      <w:r w:rsidRPr="00E52513">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sidRPr="00E52513">
        <w:t xml:space="preserve">: </w:t>
      </w:r>
      <w:proofErr w:type="spellStart"/>
      <w:r w:rsidRPr="00E52513">
        <w:t>Thirrili</w:t>
      </w:r>
      <w:proofErr w:type="spellEnd"/>
      <w:r w:rsidRPr="00E52513">
        <w:t xml:space="preserve"> organisational structure</w:t>
      </w:r>
    </w:p>
    <w:p w14:paraId="5B79264B" w14:textId="77777777" w:rsidR="00DF611C" w:rsidRDefault="00DF611C">
      <w:pPr>
        <w:spacing w:line="276" w:lineRule="auto"/>
        <w:rPr>
          <w:b/>
          <w:bCs/>
          <w:color w:val="E46C0A"/>
          <w:sz w:val="20"/>
          <w:szCs w:val="18"/>
        </w:rPr>
      </w:pPr>
      <w:r>
        <w:br w:type="page"/>
      </w:r>
    </w:p>
    <w:p w14:paraId="6F392312" w14:textId="70711F62" w:rsidR="00AB4F6B" w:rsidRPr="00E52513" w:rsidRDefault="00AB4F6B" w:rsidP="00E37787">
      <w:r w:rsidRPr="00E52513">
        <w:lastRenderedPageBreak/>
        <w:t xml:space="preserve">The current (as at </w:t>
      </w:r>
      <w:r w:rsidR="00E37787" w:rsidRPr="00E52513">
        <w:t xml:space="preserve">March </w:t>
      </w:r>
      <w:r w:rsidRPr="00E52513">
        <w:t>20</w:t>
      </w:r>
      <w:r w:rsidR="00E37787" w:rsidRPr="00E52513">
        <w:t>20</w:t>
      </w:r>
      <w:r w:rsidRPr="00E52513">
        <w:t xml:space="preserve">) geographic distribution of the network of CRSAs is summarised </w:t>
      </w:r>
      <w:r w:rsidR="00AD7328" w:rsidRPr="00E52513">
        <w:t xml:space="preserve">in Table 2 </w:t>
      </w:r>
      <w:r w:rsidRPr="00E52513">
        <w:t>below</w:t>
      </w:r>
      <w:r w:rsidR="00AD7328" w:rsidRPr="00E52513">
        <w:t>.</w:t>
      </w:r>
    </w:p>
    <w:p w14:paraId="35977B3D" w14:textId="1D023256" w:rsidR="00E37787" w:rsidRPr="00E52513" w:rsidRDefault="00E37787" w:rsidP="00B56633">
      <w:pPr>
        <w:pStyle w:val="Caption"/>
        <w:keepNext/>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2</w:t>
      </w:r>
      <w:r w:rsidR="00D97F39">
        <w:rPr>
          <w:noProof/>
        </w:rPr>
        <w:fldChar w:fldCharType="end"/>
      </w:r>
      <w:r w:rsidRPr="00E52513">
        <w:t>: Location and number of CRSAs</w:t>
      </w:r>
    </w:p>
    <w:tbl>
      <w:tblPr>
        <w:tblStyle w:val="LightShading-Accent6"/>
        <w:tblW w:w="0" w:type="auto"/>
        <w:jc w:val="center"/>
        <w:tblLook w:val="0420" w:firstRow="1" w:lastRow="0" w:firstColumn="0" w:lastColumn="0" w:noHBand="0" w:noVBand="1"/>
        <w:tblCaption w:val="Table showing location of CRSA workers"/>
        <w:tblDescription w:val="WA 4.8 FTE (including 1 position sub-contracted each to Geraldton and Kimberley AMSs; NT 2.4 FTE; Qld 2 FTE (including 0.5 FTE Coordinator position); SA 1 FTE (including 0.5 community capacity building)"/>
      </w:tblPr>
      <w:tblGrid>
        <w:gridCol w:w="1842"/>
        <w:gridCol w:w="6785"/>
      </w:tblGrid>
      <w:tr w:rsidR="00E37787" w:rsidRPr="00E52513" w14:paraId="3F976C56"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1842" w:type="dxa"/>
          </w:tcPr>
          <w:p w14:paraId="0AB43514" w14:textId="2F23FD94" w:rsidR="00E37787" w:rsidRPr="00E52513" w:rsidRDefault="00E37787" w:rsidP="00B56633">
            <w:pPr>
              <w:jc w:val="center"/>
            </w:pPr>
            <w:r w:rsidRPr="00E52513">
              <w:t>STATE</w:t>
            </w:r>
          </w:p>
        </w:tc>
        <w:tc>
          <w:tcPr>
            <w:tcW w:w="6785" w:type="dxa"/>
          </w:tcPr>
          <w:p w14:paraId="3E64E44E" w14:textId="002370CE" w:rsidR="00E37787" w:rsidRPr="00E52513" w:rsidRDefault="00E37787" w:rsidP="00B56633">
            <w:r w:rsidRPr="00E52513">
              <w:t>Number of staff (FTE)</w:t>
            </w:r>
          </w:p>
        </w:tc>
      </w:tr>
      <w:tr w:rsidR="00E37787" w:rsidRPr="00E52513" w14:paraId="7906692C" w14:textId="77777777" w:rsidTr="00FD4A0E">
        <w:trPr>
          <w:cnfStyle w:val="000000100000" w:firstRow="0" w:lastRow="0" w:firstColumn="0" w:lastColumn="0" w:oddVBand="0" w:evenVBand="0" w:oddHBand="1" w:evenHBand="0" w:firstRowFirstColumn="0" w:firstRowLastColumn="0" w:lastRowFirstColumn="0" w:lastRowLastColumn="0"/>
          <w:jc w:val="center"/>
        </w:trPr>
        <w:tc>
          <w:tcPr>
            <w:tcW w:w="1842" w:type="dxa"/>
          </w:tcPr>
          <w:p w14:paraId="5908E8CB" w14:textId="15C27333" w:rsidR="00E37787" w:rsidRPr="00E52513" w:rsidRDefault="00E37787" w:rsidP="00B56633">
            <w:pPr>
              <w:jc w:val="center"/>
            </w:pPr>
            <w:r w:rsidRPr="00E52513">
              <w:t>WA</w:t>
            </w:r>
          </w:p>
        </w:tc>
        <w:tc>
          <w:tcPr>
            <w:tcW w:w="6785" w:type="dxa"/>
          </w:tcPr>
          <w:p w14:paraId="0B545F25" w14:textId="5EDB3D49" w:rsidR="00E37787" w:rsidRPr="00E52513" w:rsidRDefault="00B56633" w:rsidP="00B56633">
            <w:r w:rsidRPr="00E52513">
              <w:t>2.8</w:t>
            </w:r>
            <w:r w:rsidR="00E37787" w:rsidRPr="00E52513">
              <w:t xml:space="preserve"> FTE CRSA positions based in Perth</w:t>
            </w:r>
          </w:p>
          <w:p w14:paraId="3ED2D3FA" w14:textId="4AB2F203" w:rsidR="00E37787" w:rsidRPr="00E52513" w:rsidRDefault="00E37787" w:rsidP="00B56633">
            <w:r w:rsidRPr="00E52513">
              <w:t>1 FTE CRSA position based in Broome to service the Kimberley region</w:t>
            </w:r>
            <w:r w:rsidR="00BA2470" w:rsidRPr="00E52513">
              <w:t xml:space="preserve"> – sub-contracted position to Kimberley Aboriginal Medical Services and provided in conjunction with </w:t>
            </w:r>
            <w:proofErr w:type="spellStart"/>
            <w:r w:rsidR="00BA2470" w:rsidRPr="00E52513">
              <w:t>Stand</w:t>
            </w:r>
            <w:r w:rsidR="00E03911" w:rsidRPr="00E52513">
              <w:t>B</w:t>
            </w:r>
            <w:r w:rsidR="00BA2470" w:rsidRPr="00E52513">
              <w:t>y</w:t>
            </w:r>
            <w:proofErr w:type="spellEnd"/>
          </w:p>
          <w:p w14:paraId="45D78B43" w14:textId="75A22118" w:rsidR="00E37787" w:rsidRPr="00E52513" w:rsidRDefault="00CC5EB9" w:rsidP="007D12CA">
            <w:r w:rsidRPr="00E52513">
              <w:t xml:space="preserve">The equivalent of </w:t>
            </w:r>
            <w:r w:rsidR="00E37787" w:rsidRPr="00E52513">
              <w:t>1 FTE position based in Geraldton to service</w:t>
            </w:r>
            <w:r w:rsidRPr="00E52513">
              <w:t>. A sub-contract arrangement with G</w:t>
            </w:r>
            <w:r w:rsidR="007D12CA" w:rsidRPr="00E52513">
              <w:t>eraldton Regional Aboriginal Medical Service (G</w:t>
            </w:r>
            <w:r w:rsidRPr="00E52513">
              <w:t>RAMS</w:t>
            </w:r>
            <w:r w:rsidR="007D12CA" w:rsidRPr="00E52513">
              <w:t>)</w:t>
            </w:r>
            <w:r w:rsidRPr="00E52513">
              <w:t xml:space="preserve"> pays for that service to deliver a NICRS type</w:t>
            </w:r>
            <w:r w:rsidRPr="00E52513">
              <w:rPr>
                <w:rStyle w:val="FootnoteReference"/>
              </w:rPr>
              <w:footnoteReference w:id="3"/>
            </w:r>
            <w:r w:rsidRPr="00E52513">
              <w:t xml:space="preserve"> service in</w:t>
            </w:r>
            <w:r w:rsidR="00E37787" w:rsidRPr="00E52513">
              <w:t xml:space="preserve"> the Gascoigne-Murchison region</w:t>
            </w:r>
          </w:p>
        </w:tc>
      </w:tr>
      <w:tr w:rsidR="00E37787" w:rsidRPr="00E52513" w14:paraId="1F8C2BB9" w14:textId="77777777" w:rsidTr="00FD4A0E">
        <w:trPr>
          <w:jc w:val="center"/>
        </w:trPr>
        <w:tc>
          <w:tcPr>
            <w:tcW w:w="1842" w:type="dxa"/>
          </w:tcPr>
          <w:p w14:paraId="05FDA30A" w14:textId="5817FD09" w:rsidR="00E37787" w:rsidRPr="00E52513" w:rsidRDefault="00E37787" w:rsidP="00B56633">
            <w:pPr>
              <w:jc w:val="center"/>
            </w:pPr>
            <w:r w:rsidRPr="00E52513">
              <w:t>NT</w:t>
            </w:r>
          </w:p>
        </w:tc>
        <w:tc>
          <w:tcPr>
            <w:tcW w:w="6785" w:type="dxa"/>
          </w:tcPr>
          <w:p w14:paraId="13CD589F" w14:textId="270A1454" w:rsidR="00E37787" w:rsidRPr="00E52513" w:rsidRDefault="00E37787" w:rsidP="00B56633">
            <w:r w:rsidRPr="00E52513">
              <w:t>1.4</w:t>
            </w:r>
            <w:r w:rsidR="00B56633" w:rsidRPr="00E52513">
              <w:t xml:space="preserve"> FTE CRSA positions based in Darwin</w:t>
            </w:r>
          </w:p>
          <w:p w14:paraId="6E64793E" w14:textId="104053E0" w:rsidR="00E37787" w:rsidRPr="00E52513" w:rsidRDefault="00E37787" w:rsidP="00B56633">
            <w:r w:rsidRPr="00E52513">
              <w:t xml:space="preserve">1 FTE </w:t>
            </w:r>
            <w:proofErr w:type="spellStart"/>
            <w:r w:rsidR="00B56633" w:rsidRPr="00E52513">
              <w:t>StandBy</w:t>
            </w:r>
            <w:proofErr w:type="spellEnd"/>
            <w:r w:rsidR="00B56633" w:rsidRPr="00E52513">
              <w:t xml:space="preserve"> Coordinator </w:t>
            </w:r>
            <w:r w:rsidRPr="00E52513">
              <w:t xml:space="preserve">position based </w:t>
            </w:r>
            <w:r w:rsidR="00B56633" w:rsidRPr="00E52513">
              <w:t>in Darwin</w:t>
            </w:r>
          </w:p>
        </w:tc>
      </w:tr>
      <w:tr w:rsidR="00E37787" w:rsidRPr="00E52513" w14:paraId="536A2418" w14:textId="77777777" w:rsidTr="00FD4A0E">
        <w:trPr>
          <w:cnfStyle w:val="000000100000" w:firstRow="0" w:lastRow="0" w:firstColumn="0" w:lastColumn="0" w:oddVBand="0" w:evenVBand="0" w:oddHBand="1" w:evenHBand="0" w:firstRowFirstColumn="0" w:firstRowLastColumn="0" w:lastRowFirstColumn="0" w:lastRowLastColumn="0"/>
          <w:jc w:val="center"/>
        </w:trPr>
        <w:tc>
          <w:tcPr>
            <w:tcW w:w="1842" w:type="dxa"/>
          </w:tcPr>
          <w:p w14:paraId="5F7616C5" w14:textId="33CD5F5B" w:rsidR="00E37787" w:rsidRPr="00E52513" w:rsidRDefault="00E37787" w:rsidP="00B56633">
            <w:pPr>
              <w:jc w:val="center"/>
            </w:pPr>
            <w:r w:rsidRPr="00E52513">
              <w:t>QLD</w:t>
            </w:r>
          </w:p>
        </w:tc>
        <w:tc>
          <w:tcPr>
            <w:tcW w:w="6785" w:type="dxa"/>
          </w:tcPr>
          <w:p w14:paraId="4E9F8243" w14:textId="508468DD" w:rsidR="00E37787" w:rsidRPr="00E52513" w:rsidRDefault="00E37787" w:rsidP="00B56633">
            <w:r w:rsidRPr="00E52513">
              <w:t>1 FTE position based in Cairns</w:t>
            </w:r>
            <w:r w:rsidR="00B56633" w:rsidRPr="00E52513">
              <w:t xml:space="preserve"> </w:t>
            </w:r>
            <w:r w:rsidR="00BA2470" w:rsidRPr="00E52513">
              <w:t>– now combined Northern Coordinator / CRSA position</w:t>
            </w:r>
          </w:p>
          <w:p w14:paraId="5054771B" w14:textId="1D49B1ED" w:rsidR="00E37787" w:rsidRPr="00E52513" w:rsidRDefault="00E37787" w:rsidP="00B56633">
            <w:r w:rsidRPr="00E52513">
              <w:t>1 FTE position based in Brisbane.</w:t>
            </w:r>
          </w:p>
        </w:tc>
      </w:tr>
      <w:tr w:rsidR="00E37787" w:rsidRPr="00E52513" w14:paraId="2949F82C" w14:textId="77777777" w:rsidTr="00FD4A0E">
        <w:trPr>
          <w:jc w:val="center"/>
        </w:trPr>
        <w:tc>
          <w:tcPr>
            <w:tcW w:w="1842" w:type="dxa"/>
          </w:tcPr>
          <w:p w14:paraId="29F78C07" w14:textId="5E6EFC5B" w:rsidR="00E37787" w:rsidRPr="00E52513" w:rsidRDefault="00E37787" w:rsidP="00B56633">
            <w:pPr>
              <w:jc w:val="center"/>
            </w:pPr>
            <w:r w:rsidRPr="00E52513">
              <w:t>SA</w:t>
            </w:r>
          </w:p>
        </w:tc>
        <w:tc>
          <w:tcPr>
            <w:tcW w:w="6785" w:type="dxa"/>
          </w:tcPr>
          <w:p w14:paraId="18C3C42F" w14:textId="0741E07A" w:rsidR="00E37787" w:rsidRPr="00E52513" w:rsidRDefault="00E37787" w:rsidP="00B56633">
            <w:r w:rsidRPr="00E52513">
              <w:t xml:space="preserve">1 FTE position based in Adelaide (combined position with </w:t>
            </w:r>
            <w:r w:rsidR="00BA2470" w:rsidRPr="00E52513">
              <w:t xml:space="preserve">national </w:t>
            </w:r>
            <w:r w:rsidRPr="00E52513">
              <w:t>Community Capacity Building Coordinator role).</w:t>
            </w:r>
          </w:p>
        </w:tc>
      </w:tr>
    </w:tbl>
    <w:p w14:paraId="0D30509A" w14:textId="04FDB522" w:rsidR="00E37787" w:rsidRPr="00E52513" w:rsidRDefault="00E37787" w:rsidP="00E37787"/>
    <w:p w14:paraId="4C65F96D" w14:textId="77777777" w:rsidR="00E37787" w:rsidRPr="00E52513" w:rsidRDefault="00E37787" w:rsidP="00E37787">
      <w:pPr>
        <w:pStyle w:val="Heading3"/>
      </w:pPr>
      <w:bookmarkStart w:id="29" w:name="_Toc23519724"/>
      <w:bookmarkStart w:id="30" w:name="_Toc34916451"/>
      <w:bookmarkStart w:id="31" w:name="_Toc27548042"/>
      <w:r w:rsidRPr="00E52513">
        <w:t>Additional NICRS service provision arrangements</w:t>
      </w:r>
    </w:p>
    <w:p w14:paraId="7F1EB67E" w14:textId="78D7EFFD" w:rsidR="00E37787" w:rsidRPr="00E52513" w:rsidRDefault="00E37787" w:rsidP="00E37787">
      <w:r w:rsidRPr="00E52513">
        <w:t xml:space="preserve">In addition to its core NICRS service provision role in the NT, </w:t>
      </w:r>
      <w:proofErr w:type="spellStart"/>
      <w:r w:rsidRPr="00E52513">
        <w:t>Thirrili</w:t>
      </w:r>
      <w:proofErr w:type="spellEnd"/>
      <w:r w:rsidRPr="00E52513">
        <w:t xml:space="preserve"> delivers the </w:t>
      </w:r>
      <w:proofErr w:type="spellStart"/>
      <w:r w:rsidRPr="00E52513">
        <w:rPr>
          <w:i/>
          <w:iCs/>
        </w:rPr>
        <w:t>StandBy</w:t>
      </w:r>
      <w:proofErr w:type="spellEnd"/>
      <w:r w:rsidRPr="00E52513">
        <w:rPr>
          <w:i/>
          <w:iCs/>
        </w:rPr>
        <w:t xml:space="preserve"> - Support </w:t>
      </w:r>
      <w:proofErr w:type="gramStart"/>
      <w:r w:rsidRPr="00E52513">
        <w:rPr>
          <w:i/>
          <w:iCs/>
        </w:rPr>
        <w:t>After</w:t>
      </w:r>
      <w:proofErr w:type="gramEnd"/>
      <w:r w:rsidRPr="00E52513">
        <w:rPr>
          <w:i/>
          <w:iCs/>
        </w:rPr>
        <w:t xml:space="preserve"> Suicide</w:t>
      </w:r>
      <w:r w:rsidRPr="00E52513">
        <w:t xml:space="preserve"> (</w:t>
      </w:r>
      <w:proofErr w:type="spellStart"/>
      <w:r w:rsidRPr="00E52513">
        <w:t>Stand</w:t>
      </w:r>
      <w:r w:rsidR="00E03911" w:rsidRPr="00E52513">
        <w:t>B</w:t>
      </w:r>
      <w:r w:rsidRPr="00E52513">
        <w:t>y</w:t>
      </w:r>
      <w:proofErr w:type="spellEnd"/>
      <w:r w:rsidRPr="00E52513">
        <w:t xml:space="preserve">) program, which is a national whole-of-population suicide </w:t>
      </w:r>
      <w:proofErr w:type="spellStart"/>
      <w:r w:rsidRPr="00E52513">
        <w:t>postvention</w:t>
      </w:r>
      <w:proofErr w:type="spellEnd"/>
      <w:r w:rsidRPr="00E52513">
        <w:t xml:space="preserve"> support service that has a complementary service model to the NICRS.</w:t>
      </w:r>
    </w:p>
    <w:p w14:paraId="584BEF31" w14:textId="670A69AA" w:rsidR="00E37787" w:rsidRPr="00E52513" w:rsidRDefault="00E37787" w:rsidP="00E37787">
      <w:r w:rsidRPr="00E52513">
        <w:t xml:space="preserve">The </w:t>
      </w:r>
      <w:proofErr w:type="spellStart"/>
      <w:r w:rsidRPr="00E52513">
        <w:t>Stand</w:t>
      </w:r>
      <w:r w:rsidR="00E03911" w:rsidRPr="00E52513">
        <w:t>B</w:t>
      </w:r>
      <w:r w:rsidRPr="00E52513">
        <w:t>y</w:t>
      </w:r>
      <w:proofErr w:type="spellEnd"/>
      <w:r w:rsidRPr="00E52513">
        <w:t xml:space="preserve"> service delivery role is undertaken on a sub-contracting basis on behalf of the not-for-profit community and social services organisation, United Synergies. The NICRS and </w:t>
      </w:r>
      <w:proofErr w:type="spellStart"/>
      <w:r w:rsidRPr="00E52513">
        <w:t>Stand</w:t>
      </w:r>
      <w:r w:rsidR="00E03911" w:rsidRPr="00E52513">
        <w:t>B</w:t>
      </w:r>
      <w:r w:rsidRPr="00E52513">
        <w:t>y</w:t>
      </w:r>
      <w:proofErr w:type="spellEnd"/>
      <w:r w:rsidRPr="00E52513">
        <w:rPr>
          <w:i/>
          <w:iCs/>
        </w:rPr>
        <w:t xml:space="preserve"> </w:t>
      </w:r>
      <w:r w:rsidRPr="00E52513">
        <w:t xml:space="preserve">programs are delivered in an integrated way and share a common referral email for stakeholders to contact the service in the NT. </w:t>
      </w:r>
      <w:r w:rsidRPr="00E52513">
        <w:rPr>
          <w:iCs/>
        </w:rPr>
        <w:t>Standby</w:t>
      </w:r>
      <w:r w:rsidRPr="00E52513">
        <w:t xml:space="preserve"> was established in 2002 and has many resources, tools and programs that the NICRS team has available to them to draw upon in delivering </w:t>
      </w:r>
      <w:proofErr w:type="spellStart"/>
      <w:r w:rsidRPr="00E52513">
        <w:t>postvention</w:t>
      </w:r>
      <w:proofErr w:type="spellEnd"/>
      <w:r w:rsidRPr="00E52513">
        <w:t xml:space="preserve"> support.</w:t>
      </w:r>
    </w:p>
    <w:p w14:paraId="2A5380F7" w14:textId="0F1EC163" w:rsidR="007D12CA" w:rsidRPr="00E52513" w:rsidRDefault="00CC5EB9" w:rsidP="007D12CA">
      <w:r w:rsidRPr="00E52513">
        <w:t xml:space="preserve">As noted above, </w:t>
      </w:r>
      <w:r w:rsidR="001A4271" w:rsidRPr="00E52513">
        <w:t>a s</w:t>
      </w:r>
      <w:r w:rsidR="00E37787" w:rsidRPr="00E52513">
        <w:t>ub-contract service provision arrangement ha</w:t>
      </w:r>
      <w:r w:rsidR="001A4271" w:rsidRPr="00E52513">
        <w:t>s</w:t>
      </w:r>
      <w:r w:rsidR="00E37787" w:rsidRPr="00E52513">
        <w:t xml:space="preserve"> also been put in place with </w:t>
      </w:r>
      <w:r w:rsidR="001A4271" w:rsidRPr="00E52513">
        <w:t xml:space="preserve">a </w:t>
      </w:r>
      <w:r w:rsidR="00E37787" w:rsidRPr="00E52513">
        <w:t xml:space="preserve">local organisation in the Geraldton </w:t>
      </w:r>
      <w:r w:rsidR="002A5FFD" w:rsidRPr="00E52513">
        <w:t>region.</w:t>
      </w:r>
      <w:r w:rsidR="001A4271" w:rsidRPr="00E52513">
        <w:t xml:space="preserve"> This arrangement with GRAMS is worth $100,000</w:t>
      </w:r>
      <w:r w:rsidR="007D12CA" w:rsidRPr="00E52513">
        <w:t>.</w:t>
      </w:r>
    </w:p>
    <w:p w14:paraId="6B0224AD" w14:textId="29EDABD6" w:rsidR="00F32216" w:rsidRPr="00E52513" w:rsidRDefault="00F32216" w:rsidP="00152634">
      <w:pPr>
        <w:pStyle w:val="Heading2"/>
      </w:pPr>
      <w:bookmarkStart w:id="32" w:name="_Toc54966618"/>
      <w:r w:rsidRPr="00E52513">
        <w:lastRenderedPageBreak/>
        <w:t>Planned service roll</w:t>
      </w:r>
      <w:bookmarkEnd w:id="29"/>
      <w:r w:rsidR="00E179F6" w:rsidRPr="00E52513">
        <w:t>out</w:t>
      </w:r>
      <w:bookmarkEnd w:id="30"/>
      <w:bookmarkEnd w:id="31"/>
      <w:bookmarkEnd w:id="32"/>
    </w:p>
    <w:p w14:paraId="4C4603F9" w14:textId="5F404AC2" w:rsidR="00F32216" w:rsidRPr="00E52513" w:rsidRDefault="00F32216" w:rsidP="00F32216">
      <w:r w:rsidRPr="00E52513">
        <w:t>According to the NICRS funding contract, implementation of the service was expected to occur in three stages of roll</w:t>
      </w:r>
      <w:r w:rsidR="00E179F6" w:rsidRPr="00E52513">
        <w:t>out</w:t>
      </w:r>
      <w:r w:rsidRPr="00E52513">
        <w:t>, as follows:</w:t>
      </w:r>
    </w:p>
    <w:p w14:paraId="35133C5A" w14:textId="1DE6056A" w:rsidR="00F32216" w:rsidRPr="00E52513" w:rsidRDefault="00F32216" w:rsidP="00F32216">
      <w:pPr>
        <w:spacing w:after="0"/>
        <w:ind w:left="720"/>
      </w:pPr>
      <w:r w:rsidRPr="00E52513">
        <w:t>Year 1 (2017) – NT, SA, and WA</w:t>
      </w:r>
    </w:p>
    <w:p w14:paraId="3DFF1AD1" w14:textId="77777777" w:rsidR="00F32216" w:rsidRPr="00E52513" w:rsidRDefault="00F32216" w:rsidP="00F32216">
      <w:pPr>
        <w:spacing w:after="0"/>
        <w:ind w:left="720"/>
      </w:pPr>
      <w:r w:rsidRPr="00E52513">
        <w:t>Year 2 (2018) – Victoria and QLD</w:t>
      </w:r>
    </w:p>
    <w:p w14:paraId="7EB4A0C2" w14:textId="1C6A70BA" w:rsidR="00F32216" w:rsidRPr="00E52513" w:rsidRDefault="00F32216" w:rsidP="00F32216">
      <w:pPr>
        <w:spacing w:after="0"/>
        <w:ind w:left="720"/>
      </w:pPr>
      <w:r w:rsidRPr="00E52513">
        <w:t>Year 3 (2019) – NSW, ACT and Tasmania.</w:t>
      </w:r>
    </w:p>
    <w:p w14:paraId="728834B3" w14:textId="7FE7E8A1" w:rsidR="00F32216" w:rsidRPr="00E52513" w:rsidRDefault="00F32216" w:rsidP="00F32216">
      <w:pPr>
        <w:spacing w:before="240"/>
        <w:rPr>
          <w:noProof/>
          <w:lang w:eastAsia="en-AU"/>
        </w:rPr>
      </w:pPr>
      <w:r w:rsidRPr="00E52513">
        <w:t>The rollout has not fully proceeded according to th</w:t>
      </w:r>
      <w:r w:rsidR="002A5FFD" w:rsidRPr="00E52513">
        <w:t>e</w:t>
      </w:r>
      <w:r w:rsidRPr="00E52513">
        <w:t xml:space="preserve"> anticipated schedule, with Victoria</w:t>
      </w:r>
      <w:r w:rsidR="001A4271" w:rsidRPr="00E52513">
        <w:t xml:space="preserve"> only recently operationalised and</w:t>
      </w:r>
      <w:r w:rsidRPr="00E52513">
        <w:t xml:space="preserve"> NSW, ACT and Tasmania still </w:t>
      </w:r>
      <w:r w:rsidR="004C6A0B" w:rsidRPr="00E52513">
        <w:t>waiting</w:t>
      </w:r>
      <w:r w:rsidR="002A5FFD" w:rsidRPr="00E52513">
        <w:t xml:space="preserve"> </w:t>
      </w:r>
      <w:r w:rsidRPr="00E52513">
        <w:t>to be fully activated as at March 2020.</w:t>
      </w:r>
    </w:p>
    <w:bookmarkEnd w:id="28"/>
    <w:p w14:paraId="41E18445" w14:textId="77777777" w:rsidR="00B44144" w:rsidRPr="00E52513" w:rsidRDefault="00B44144">
      <w:pPr>
        <w:spacing w:line="276" w:lineRule="auto"/>
        <w:rPr>
          <w:rFonts w:eastAsiaTheme="majorEastAsia"/>
          <w:b/>
          <w:bCs/>
          <w:color w:val="0050B5"/>
          <w:sz w:val="40"/>
          <w:szCs w:val="28"/>
        </w:rPr>
      </w:pPr>
      <w:r w:rsidRPr="00E52513">
        <w:br w:type="page"/>
      </w:r>
    </w:p>
    <w:p w14:paraId="405FB2EF" w14:textId="0F762120" w:rsidR="009B0C5B" w:rsidRPr="00E52513" w:rsidRDefault="00B46BF4" w:rsidP="008D50E4">
      <w:pPr>
        <w:pStyle w:val="Heading1"/>
      </w:pPr>
      <w:bookmarkStart w:id="33" w:name="_Toc54966619"/>
      <w:r w:rsidRPr="00E52513">
        <w:lastRenderedPageBreak/>
        <w:t xml:space="preserve">Evaluation </w:t>
      </w:r>
      <w:r w:rsidR="009B0C5B" w:rsidRPr="00E52513">
        <w:t>of the NICRS</w:t>
      </w:r>
      <w:bookmarkEnd w:id="11"/>
      <w:bookmarkEnd w:id="33"/>
    </w:p>
    <w:p w14:paraId="71A1B90E" w14:textId="15CE23E5" w:rsidR="00410AEE" w:rsidRPr="00E52513" w:rsidRDefault="00410AEE" w:rsidP="00152634">
      <w:pPr>
        <w:pStyle w:val="Heading2"/>
      </w:pPr>
      <w:bookmarkStart w:id="34" w:name="_Toc35966328"/>
      <w:bookmarkStart w:id="35" w:name="_Toc54966620"/>
      <w:bookmarkEnd w:id="12"/>
      <w:r w:rsidRPr="00E52513">
        <w:t>Objectives</w:t>
      </w:r>
      <w:bookmarkEnd w:id="34"/>
      <w:bookmarkEnd w:id="35"/>
    </w:p>
    <w:p w14:paraId="4E226577" w14:textId="5921C0A0" w:rsidR="00083B30" w:rsidRDefault="00083B30" w:rsidP="00083B30">
      <w:r w:rsidRPr="00E52513">
        <w:t>The objectives of the evaluation were to:</w:t>
      </w:r>
    </w:p>
    <w:p w14:paraId="7EE7A0D9" w14:textId="2028D595" w:rsidR="00B04A07" w:rsidRDefault="00B04A07" w:rsidP="009437A5">
      <w:pPr>
        <w:pStyle w:val="ListParagraph"/>
        <w:numPr>
          <w:ilvl w:val="0"/>
          <w:numId w:val="51"/>
        </w:numPr>
        <w:shd w:val="clear" w:color="auto" w:fill="FABF8F" w:themeFill="accent6" w:themeFillTint="99"/>
        <w:tabs>
          <w:tab w:val="clear" w:pos="284"/>
          <w:tab w:val="left" w:pos="993"/>
        </w:tabs>
        <w:ind w:left="993" w:right="533" w:hanging="357"/>
      </w:pPr>
      <w:r w:rsidRPr="00E52513">
        <w:t>demonstrate NICRS accountability in response to IAS funding</w:t>
      </w:r>
    </w:p>
    <w:p w14:paraId="59966AA0" w14:textId="188549C3" w:rsidR="00B04A07" w:rsidRDefault="00B04A07" w:rsidP="009437A5">
      <w:pPr>
        <w:pStyle w:val="ListParagraph"/>
        <w:numPr>
          <w:ilvl w:val="0"/>
          <w:numId w:val="51"/>
        </w:numPr>
        <w:shd w:val="clear" w:color="auto" w:fill="FBD4B4" w:themeFill="accent6" w:themeFillTint="66"/>
        <w:tabs>
          <w:tab w:val="clear" w:pos="284"/>
          <w:tab w:val="left" w:pos="993"/>
        </w:tabs>
        <w:ind w:left="993" w:right="533" w:hanging="357"/>
      </w:pPr>
      <w:r w:rsidRPr="00E52513">
        <w:t>assess program quality, value and effectiveness</w:t>
      </w:r>
    </w:p>
    <w:p w14:paraId="4C6B7DE7" w14:textId="41F1CAA4" w:rsidR="00B04A07" w:rsidRDefault="00B04A07" w:rsidP="009437A5">
      <w:pPr>
        <w:pStyle w:val="ListParagraph"/>
        <w:numPr>
          <w:ilvl w:val="0"/>
          <w:numId w:val="51"/>
        </w:numPr>
        <w:shd w:val="clear" w:color="auto" w:fill="FABF8F" w:themeFill="accent6" w:themeFillTint="99"/>
        <w:tabs>
          <w:tab w:val="clear" w:pos="284"/>
          <w:tab w:val="left" w:pos="993"/>
        </w:tabs>
        <w:ind w:left="993" w:right="533" w:hanging="357"/>
      </w:pPr>
      <w:r w:rsidRPr="00E52513">
        <w:t>identify opportunities for program improvement and design</w:t>
      </w:r>
    </w:p>
    <w:p w14:paraId="356F75C2" w14:textId="4179C9E2" w:rsidR="006324D1" w:rsidRPr="00E52513" w:rsidRDefault="00B04A07" w:rsidP="009437A5">
      <w:pPr>
        <w:pStyle w:val="ListParagraph"/>
        <w:numPr>
          <w:ilvl w:val="0"/>
          <w:numId w:val="51"/>
        </w:numPr>
        <w:shd w:val="clear" w:color="auto" w:fill="FBD4B4" w:themeFill="accent6" w:themeFillTint="66"/>
        <w:tabs>
          <w:tab w:val="clear" w:pos="284"/>
          <w:tab w:val="left" w:pos="993"/>
        </w:tabs>
        <w:ind w:left="993" w:right="533" w:hanging="357"/>
      </w:pPr>
      <w:proofErr w:type="gramStart"/>
      <w:r w:rsidRPr="00E52513">
        <w:t>generate</w:t>
      </w:r>
      <w:proofErr w:type="gramEnd"/>
      <w:r w:rsidRPr="00E52513">
        <w:t xml:space="preserve"> evidence to inform decision-making in line with the IAS Evaluation Framework.</w:t>
      </w:r>
    </w:p>
    <w:p w14:paraId="1BE78E2A" w14:textId="5A01008F" w:rsidR="00083B30" w:rsidRPr="00E52513" w:rsidRDefault="00083B30" w:rsidP="00E755C1">
      <w:pPr>
        <w:pStyle w:val="Heading2"/>
        <w:spacing w:before="600"/>
        <w:ind w:left="578" w:hanging="578"/>
      </w:pPr>
      <w:bookmarkStart w:id="36" w:name="_Toc35966329"/>
      <w:bookmarkStart w:id="37" w:name="_Toc54966621"/>
      <w:r w:rsidRPr="00E52513">
        <w:t>Evaluation questions</w:t>
      </w:r>
      <w:bookmarkEnd w:id="36"/>
      <w:bookmarkEnd w:id="37"/>
    </w:p>
    <w:p w14:paraId="161C5E34" w14:textId="2FB5D2FD" w:rsidR="00410AEE" w:rsidRPr="00E52513" w:rsidRDefault="00083B30" w:rsidP="00410AEE">
      <w:r w:rsidRPr="00E52513">
        <w:t>T</w:t>
      </w:r>
      <w:r w:rsidR="00410AEE" w:rsidRPr="00E52513">
        <w:t xml:space="preserve">he </w:t>
      </w:r>
      <w:r w:rsidR="004E641F" w:rsidRPr="00E52513">
        <w:t xml:space="preserve">broad </w:t>
      </w:r>
      <w:r w:rsidR="00410AEE" w:rsidRPr="00E52513">
        <w:t xml:space="preserve">evaluation questions </w:t>
      </w:r>
      <w:r w:rsidRPr="00E52513">
        <w:t>that were explored were:</w:t>
      </w:r>
    </w:p>
    <w:p w14:paraId="59569C46" w14:textId="77777777" w:rsidR="00410AEE" w:rsidRPr="00E52513" w:rsidRDefault="00410AEE" w:rsidP="00CF21DA">
      <w:pPr>
        <w:numPr>
          <w:ilvl w:val="0"/>
          <w:numId w:val="2"/>
        </w:numPr>
      </w:pPr>
      <w:r w:rsidRPr="00E52513">
        <w:t>Relevance – is the program relevant to the needs of families and communities?</w:t>
      </w:r>
    </w:p>
    <w:p w14:paraId="6AB609C9" w14:textId="2AA46032" w:rsidR="00410AEE" w:rsidRPr="00E52513" w:rsidRDefault="00410AEE" w:rsidP="00CF21DA">
      <w:pPr>
        <w:numPr>
          <w:ilvl w:val="0"/>
          <w:numId w:val="2"/>
        </w:numPr>
      </w:pPr>
      <w:r w:rsidRPr="00E52513">
        <w:t>Effectiveness – are objectives of the Program being met (in particular</w:t>
      </w:r>
      <w:r w:rsidR="00425EFF" w:rsidRPr="00E52513">
        <w:t>,</w:t>
      </w:r>
      <w:r w:rsidRPr="00E52513">
        <w:t xml:space="preserve"> the effectiveness of family and community interactions and the relationships with service providers)?</w:t>
      </w:r>
    </w:p>
    <w:p w14:paraId="64A2547C" w14:textId="77777777" w:rsidR="00410AEE" w:rsidRPr="00E52513" w:rsidRDefault="00410AEE" w:rsidP="00CF21DA">
      <w:pPr>
        <w:numPr>
          <w:ilvl w:val="0"/>
          <w:numId w:val="2"/>
        </w:numPr>
      </w:pPr>
      <w:r w:rsidRPr="00E52513">
        <w:t>Efficiency – are resources being used efficiently?</w:t>
      </w:r>
    </w:p>
    <w:p w14:paraId="42900B8A" w14:textId="77777777" w:rsidR="00410AEE" w:rsidRPr="00E52513" w:rsidRDefault="00410AEE" w:rsidP="00CF21DA">
      <w:pPr>
        <w:numPr>
          <w:ilvl w:val="0"/>
          <w:numId w:val="2"/>
        </w:numPr>
      </w:pPr>
      <w:r w:rsidRPr="00E52513">
        <w:t>Impact – what difference does the service make? Can the effects be attributed to the service or would they have occurred anyway (although not in a comparative framework using a no-intervention control group or other normative benchmark, which would have allowed causality to be determined more precisely)?</w:t>
      </w:r>
    </w:p>
    <w:p w14:paraId="2B177597" w14:textId="77777777" w:rsidR="00410AEE" w:rsidRPr="00E52513" w:rsidRDefault="00410AEE" w:rsidP="00CF21DA">
      <w:pPr>
        <w:numPr>
          <w:ilvl w:val="0"/>
          <w:numId w:val="2"/>
        </w:numPr>
        <w:spacing w:after="240"/>
      </w:pPr>
      <w:r w:rsidRPr="00E52513">
        <w:t>Sustainability – are the observed outcomes likely to produce ongoing results?</w:t>
      </w:r>
    </w:p>
    <w:p w14:paraId="1E7E3453" w14:textId="3D24DC06" w:rsidR="00083B30" w:rsidRPr="00E52513" w:rsidRDefault="00893B05" w:rsidP="00083B30">
      <w:r>
        <w:t xml:space="preserve">Detailed evaluation </w:t>
      </w:r>
      <w:r w:rsidR="00083B30" w:rsidRPr="00E52513">
        <w:t xml:space="preserve">questions can be found in </w:t>
      </w:r>
      <w:r w:rsidR="007D12CA" w:rsidRPr="00E52513">
        <w:t>Appendix 6</w:t>
      </w:r>
      <w:r w:rsidR="00083B30" w:rsidRPr="00E52513">
        <w:t>.</w:t>
      </w:r>
    </w:p>
    <w:p w14:paraId="3E06EE22" w14:textId="0E929A1D" w:rsidR="00410AEE" w:rsidRPr="00E52513" w:rsidRDefault="00410AEE" w:rsidP="00152634">
      <w:pPr>
        <w:pStyle w:val="Heading2"/>
      </w:pPr>
      <w:bookmarkStart w:id="38" w:name="_Toc35966330"/>
      <w:bookmarkStart w:id="39" w:name="_Toc54966622"/>
      <w:r w:rsidRPr="00E52513">
        <w:t>Data collection and analysis</w:t>
      </w:r>
      <w:bookmarkEnd w:id="38"/>
      <w:r w:rsidR="0062454A" w:rsidRPr="00E52513">
        <w:t xml:space="preserve"> activities</w:t>
      </w:r>
      <w:bookmarkEnd w:id="39"/>
    </w:p>
    <w:p w14:paraId="0849ECCE" w14:textId="752D3A84" w:rsidR="00B600EF" w:rsidRPr="00E52513" w:rsidRDefault="00046612" w:rsidP="00B46BF4">
      <w:pPr>
        <w:rPr>
          <w:lang w:eastAsia="en-AU"/>
        </w:rPr>
      </w:pPr>
      <w:r w:rsidRPr="00E52513">
        <w:rPr>
          <w:lang w:eastAsia="en-AU"/>
        </w:rPr>
        <w:t>A</w:t>
      </w:r>
      <w:r w:rsidR="00B46BF4" w:rsidRPr="00E52513">
        <w:rPr>
          <w:lang w:eastAsia="en-AU"/>
        </w:rPr>
        <w:t xml:space="preserve"> mixed methods approach </w:t>
      </w:r>
      <w:r w:rsidRPr="00E52513">
        <w:rPr>
          <w:lang w:eastAsia="en-AU"/>
        </w:rPr>
        <w:t xml:space="preserve">was used for the evaluation </w:t>
      </w:r>
      <w:r w:rsidR="00B46BF4" w:rsidRPr="00E52513">
        <w:rPr>
          <w:lang w:eastAsia="en-AU"/>
        </w:rPr>
        <w:t>to provide</w:t>
      </w:r>
      <w:r w:rsidR="00160756" w:rsidRPr="00E52513">
        <w:rPr>
          <w:lang w:eastAsia="en-AU"/>
        </w:rPr>
        <w:t xml:space="preserve"> a</w:t>
      </w:r>
      <w:r w:rsidR="00B46BF4" w:rsidRPr="00E52513">
        <w:rPr>
          <w:lang w:eastAsia="en-AU"/>
        </w:rPr>
        <w:t xml:space="preserve"> comprehensive overview of the NICRS in relation to the outputs and intermediate outcomes detailed in the </w:t>
      </w:r>
      <w:r w:rsidR="00E03911" w:rsidRPr="00E52513">
        <w:rPr>
          <w:lang w:eastAsia="en-AU"/>
        </w:rPr>
        <w:t>p</w:t>
      </w:r>
      <w:r w:rsidR="00B46BF4" w:rsidRPr="00E52513">
        <w:rPr>
          <w:lang w:eastAsia="en-AU"/>
        </w:rPr>
        <w:t xml:space="preserve">rogram </w:t>
      </w:r>
      <w:r w:rsidR="00E03911" w:rsidRPr="00E52513">
        <w:rPr>
          <w:lang w:eastAsia="en-AU"/>
        </w:rPr>
        <w:t>l</w:t>
      </w:r>
      <w:r w:rsidR="00B46BF4" w:rsidRPr="00E52513">
        <w:rPr>
          <w:lang w:eastAsia="en-AU"/>
        </w:rPr>
        <w:t>ogic (</w:t>
      </w:r>
      <w:proofErr w:type="spellStart"/>
      <w:r w:rsidR="00445A97" w:rsidRPr="00E52513">
        <w:rPr>
          <w:lang w:eastAsia="en-AU"/>
        </w:rPr>
        <w:t>Thirrili</w:t>
      </w:r>
      <w:proofErr w:type="spellEnd"/>
      <w:r w:rsidR="00445A97" w:rsidRPr="00E52513">
        <w:rPr>
          <w:lang w:eastAsia="en-AU"/>
        </w:rPr>
        <w:t>, 2017</w:t>
      </w:r>
      <w:r w:rsidR="00B46BF4" w:rsidRPr="00E52513">
        <w:rPr>
          <w:lang w:eastAsia="en-AU"/>
        </w:rPr>
        <w:t>)</w:t>
      </w:r>
      <w:r w:rsidR="00BD5216" w:rsidRPr="00E52513">
        <w:rPr>
          <w:lang w:eastAsia="en-AU"/>
        </w:rPr>
        <w:t>.</w:t>
      </w:r>
    </w:p>
    <w:p w14:paraId="0668AC47" w14:textId="03A8C88D" w:rsidR="00B46BF4" w:rsidRPr="00E52513" w:rsidRDefault="00B46BF4" w:rsidP="00B46BF4">
      <w:pPr>
        <w:rPr>
          <w:lang w:eastAsia="en-AU"/>
        </w:rPr>
      </w:pPr>
      <w:r w:rsidRPr="00E52513">
        <w:rPr>
          <w:lang w:eastAsia="en-AU"/>
        </w:rPr>
        <w:t xml:space="preserve">Other aspects of the </w:t>
      </w:r>
      <w:r w:rsidR="00E03911" w:rsidRPr="00E52513">
        <w:rPr>
          <w:lang w:eastAsia="en-AU"/>
        </w:rPr>
        <w:t>p</w:t>
      </w:r>
      <w:r w:rsidRPr="00E52513">
        <w:rPr>
          <w:lang w:eastAsia="en-AU"/>
        </w:rPr>
        <w:t xml:space="preserve">rogram </w:t>
      </w:r>
      <w:r w:rsidR="00E03911" w:rsidRPr="00E52513">
        <w:rPr>
          <w:lang w:eastAsia="en-AU"/>
        </w:rPr>
        <w:t>l</w:t>
      </w:r>
      <w:r w:rsidRPr="00E52513">
        <w:rPr>
          <w:lang w:eastAsia="en-AU"/>
        </w:rPr>
        <w:t xml:space="preserve">ogic, </w:t>
      </w:r>
      <w:r w:rsidR="00425EFF" w:rsidRPr="00E52513">
        <w:rPr>
          <w:lang w:eastAsia="en-AU"/>
        </w:rPr>
        <w:t>the</w:t>
      </w:r>
      <w:r w:rsidRPr="00E52513">
        <w:rPr>
          <w:lang w:eastAsia="en-AU"/>
        </w:rPr>
        <w:t xml:space="preserve"> relevance of the program</w:t>
      </w:r>
      <w:r w:rsidR="002F4F51" w:rsidRPr="00E52513">
        <w:rPr>
          <w:lang w:eastAsia="en-AU"/>
        </w:rPr>
        <w:t xml:space="preserve"> and </w:t>
      </w:r>
      <w:r w:rsidRPr="00E52513">
        <w:rPr>
          <w:lang w:eastAsia="en-AU"/>
        </w:rPr>
        <w:t xml:space="preserve">the way the program has been implemented, </w:t>
      </w:r>
      <w:r w:rsidR="00046612" w:rsidRPr="00E52513">
        <w:rPr>
          <w:lang w:eastAsia="en-AU"/>
        </w:rPr>
        <w:t xml:space="preserve">were </w:t>
      </w:r>
      <w:r w:rsidR="00B600EF" w:rsidRPr="00E52513">
        <w:rPr>
          <w:lang w:eastAsia="en-AU"/>
        </w:rPr>
        <w:t xml:space="preserve">previously </w:t>
      </w:r>
      <w:r w:rsidRPr="00E52513">
        <w:rPr>
          <w:lang w:eastAsia="en-AU"/>
        </w:rPr>
        <w:t>addressed in the formative evaluation (Clear Horizons Consulting, 2018).</w:t>
      </w:r>
      <w:r w:rsidR="002F4F51" w:rsidRPr="00E52513">
        <w:rPr>
          <w:lang w:eastAsia="en-AU"/>
        </w:rPr>
        <w:t xml:space="preserve"> However, </w:t>
      </w:r>
      <w:r w:rsidR="00046612" w:rsidRPr="00E52513">
        <w:rPr>
          <w:lang w:eastAsia="en-AU"/>
        </w:rPr>
        <w:t xml:space="preserve">as </w:t>
      </w:r>
      <w:r w:rsidR="002F4F51" w:rsidRPr="00E52513">
        <w:rPr>
          <w:lang w:eastAsia="en-AU"/>
        </w:rPr>
        <w:t xml:space="preserve">the NICRS is still only </w:t>
      </w:r>
      <w:r w:rsidR="001A4271" w:rsidRPr="00E52513">
        <w:rPr>
          <w:lang w:eastAsia="en-AU"/>
        </w:rPr>
        <w:t xml:space="preserve">just over </w:t>
      </w:r>
      <w:r w:rsidR="00831F41" w:rsidRPr="00E52513">
        <w:rPr>
          <w:lang w:eastAsia="en-AU"/>
        </w:rPr>
        <w:t xml:space="preserve">three </w:t>
      </w:r>
      <w:r w:rsidR="002F4F51" w:rsidRPr="00E52513">
        <w:rPr>
          <w:lang w:eastAsia="en-AU"/>
        </w:rPr>
        <w:t>years old, some implementation issues remain relevant and so are covered again in this report.</w:t>
      </w:r>
    </w:p>
    <w:p w14:paraId="03B3F5CD" w14:textId="77777777" w:rsidR="00AD7328" w:rsidRPr="00E52513" w:rsidRDefault="00AD7328">
      <w:pPr>
        <w:spacing w:line="276" w:lineRule="auto"/>
      </w:pPr>
      <w:r w:rsidRPr="00E52513">
        <w:br w:type="page"/>
      </w:r>
    </w:p>
    <w:p w14:paraId="0B36E04C" w14:textId="1825F851" w:rsidR="00B46BF4" w:rsidRPr="00E52513" w:rsidRDefault="00B46BF4" w:rsidP="00B46BF4">
      <w:r w:rsidRPr="00E52513">
        <w:lastRenderedPageBreak/>
        <w:t xml:space="preserve">The </w:t>
      </w:r>
      <w:r w:rsidR="002F4F51" w:rsidRPr="00E52513">
        <w:t xml:space="preserve">specific </w:t>
      </w:r>
      <w:r w:rsidR="00445A97" w:rsidRPr="00E52513">
        <w:t xml:space="preserve">evaluation </w:t>
      </w:r>
      <w:r w:rsidRPr="00E52513">
        <w:t xml:space="preserve">methods employed </w:t>
      </w:r>
      <w:r w:rsidR="00617715" w:rsidRPr="00E52513">
        <w:t>we</w:t>
      </w:r>
      <w:r w:rsidRPr="00E52513">
        <w:t>re:</w:t>
      </w:r>
    </w:p>
    <w:p w14:paraId="53476D32" w14:textId="1C3F5FBA" w:rsidR="00B46BF4" w:rsidRPr="00E52513" w:rsidRDefault="00FA2033" w:rsidP="00CF21DA">
      <w:pPr>
        <w:pStyle w:val="ListParagraph"/>
        <w:numPr>
          <w:ilvl w:val="0"/>
          <w:numId w:val="4"/>
        </w:numPr>
        <w:tabs>
          <w:tab w:val="clear" w:pos="284"/>
        </w:tabs>
        <w:spacing w:before="0"/>
        <w:ind w:left="714" w:hanging="357"/>
      </w:pPr>
      <w:proofErr w:type="gramStart"/>
      <w:r w:rsidRPr="00E52513">
        <w:rPr>
          <w:i/>
        </w:rPr>
        <w:t>case</w:t>
      </w:r>
      <w:proofErr w:type="gramEnd"/>
      <w:r w:rsidR="00B46BF4" w:rsidRPr="00E52513">
        <w:rPr>
          <w:i/>
        </w:rPr>
        <w:t xml:space="preserve"> studies</w:t>
      </w:r>
      <w:r w:rsidR="00B46BF4" w:rsidRPr="00E52513">
        <w:t xml:space="preserve"> where a critical incident response has been initiated and followed through to at least Step 6 (that is</w:t>
      </w:r>
      <w:r w:rsidR="00445A97" w:rsidRPr="00E52513">
        <w:t>,</w:t>
      </w:r>
      <w:r w:rsidR="00B46BF4" w:rsidRPr="00E52513">
        <w:t xml:space="preserve"> the development of a </w:t>
      </w:r>
      <w:proofErr w:type="spellStart"/>
      <w:r w:rsidR="00B46BF4" w:rsidRPr="00E52513">
        <w:t>throughcare</w:t>
      </w:r>
      <w:proofErr w:type="spellEnd"/>
      <w:r w:rsidR="00B46BF4" w:rsidRPr="00E52513">
        <w:t xml:space="preserve"> support plan) of the NICRS </w:t>
      </w:r>
      <w:r w:rsidR="00855026" w:rsidRPr="00E52513">
        <w:t>m</w:t>
      </w:r>
      <w:r w:rsidR="00B46BF4" w:rsidRPr="00E52513">
        <w:t xml:space="preserve">odel of </w:t>
      </w:r>
      <w:r w:rsidR="00855026" w:rsidRPr="00E52513">
        <w:t>c</w:t>
      </w:r>
      <w:r w:rsidR="00B46BF4" w:rsidRPr="00E52513">
        <w:t xml:space="preserve">are (see </w:t>
      </w:r>
      <w:r w:rsidR="00B5244E" w:rsidRPr="00E52513">
        <w:t>Appendix</w:t>
      </w:r>
      <w:r w:rsidR="00B46BF4" w:rsidRPr="00E52513">
        <w:t xml:space="preserve"> </w:t>
      </w:r>
      <w:r w:rsidR="007D12CA" w:rsidRPr="00E52513">
        <w:t>3</w:t>
      </w:r>
      <w:r w:rsidR="00B46BF4" w:rsidRPr="00E52513">
        <w:t>)</w:t>
      </w:r>
      <w:r w:rsidR="00617715" w:rsidRPr="00E52513">
        <w:t>. This involved interviewing clients</w:t>
      </w:r>
      <w:r w:rsidR="004E641F" w:rsidRPr="00E52513">
        <w:t xml:space="preserve">, CRSAs, community members, local service providers and any </w:t>
      </w:r>
      <w:r w:rsidR="00617715" w:rsidRPr="00E52513">
        <w:t xml:space="preserve">other </w:t>
      </w:r>
      <w:r w:rsidR="004E641F" w:rsidRPr="00E52513">
        <w:t xml:space="preserve">relevant </w:t>
      </w:r>
      <w:r w:rsidR="00617715" w:rsidRPr="00E52513">
        <w:t xml:space="preserve">stakeholders </w:t>
      </w:r>
      <w:r w:rsidR="004E641F" w:rsidRPr="00E52513">
        <w:t xml:space="preserve">from </w:t>
      </w:r>
      <w:r w:rsidR="00445A97" w:rsidRPr="00E52513">
        <w:t>the local area</w:t>
      </w:r>
      <w:r w:rsidR="00046612" w:rsidRPr="00E52513">
        <w:t xml:space="preserve"> (see Appendix </w:t>
      </w:r>
      <w:r w:rsidR="0028506A" w:rsidRPr="00E52513">
        <w:t>7</w:t>
      </w:r>
      <w:r w:rsidR="00046612" w:rsidRPr="00E52513">
        <w:t>for number and type of interviews)</w:t>
      </w:r>
    </w:p>
    <w:p w14:paraId="7634E9BB" w14:textId="7621399E" w:rsidR="00B46BF4" w:rsidRPr="00E52513" w:rsidRDefault="00FA2033" w:rsidP="00CF21DA">
      <w:pPr>
        <w:pStyle w:val="ListParagraph"/>
        <w:numPr>
          <w:ilvl w:val="0"/>
          <w:numId w:val="4"/>
        </w:numPr>
        <w:tabs>
          <w:tab w:val="clear" w:pos="284"/>
        </w:tabs>
        <w:spacing w:before="0"/>
        <w:ind w:left="714" w:hanging="357"/>
      </w:pPr>
      <w:r w:rsidRPr="00E52513">
        <w:rPr>
          <w:i/>
        </w:rPr>
        <w:t>a</w:t>
      </w:r>
      <w:r w:rsidR="00B46BF4" w:rsidRPr="00E52513">
        <w:rPr>
          <w:i/>
        </w:rPr>
        <w:t>nalysis of ‘Most Significant Change’</w:t>
      </w:r>
      <w:r w:rsidR="00445A97" w:rsidRPr="00E52513">
        <w:rPr>
          <w:i/>
        </w:rPr>
        <w:t xml:space="preserve"> (MSC)</w:t>
      </w:r>
      <w:r w:rsidR="00B46BF4" w:rsidRPr="00E52513">
        <w:rPr>
          <w:i/>
        </w:rPr>
        <w:t xml:space="preserve"> stories</w:t>
      </w:r>
      <w:r w:rsidR="00B46BF4" w:rsidRPr="00E52513">
        <w:t xml:space="preserve"> </w:t>
      </w:r>
      <w:r w:rsidR="003842AF" w:rsidRPr="00E52513">
        <w:t xml:space="preserve">developed </w:t>
      </w:r>
      <w:r w:rsidR="00046612" w:rsidRPr="00E52513">
        <w:t xml:space="preserve">by </w:t>
      </w:r>
      <w:proofErr w:type="spellStart"/>
      <w:r w:rsidR="00046612" w:rsidRPr="00E52513">
        <w:t>Thirrili</w:t>
      </w:r>
      <w:proofErr w:type="spellEnd"/>
      <w:r w:rsidR="00046612" w:rsidRPr="00E52513">
        <w:t xml:space="preserve"> </w:t>
      </w:r>
      <w:r w:rsidR="003842AF" w:rsidRPr="00E52513">
        <w:t>to identify</w:t>
      </w:r>
      <w:r w:rsidR="00B46BF4" w:rsidRPr="00E52513">
        <w:t xml:space="preserve"> important elements of practice and response</w:t>
      </w:r>
      <w:r w:rsidR="00E72999" w:rsidRPr="00E52513">
        <w:t xml:space="preserve"> and discussed at monthly case conference meetings of CRSAs</w:t>
      </w:r>
    </w:p>
    <w:p w14:paraId="12CDFCD8" w14:textId="31CE9080" w:rsidR="00E72999" w:rsidRPr="00E52513" w:rsidRDefault="00E72999" w:rsidP="00CF21DA">
      <w:pPr>
        <w:pStyle w:val="ListParagraph"/>
        <w:numPr>
          <w:ilvl w:val="0"/>
          <w:numId w:val="4"/>
        </w:numPr>
      </w:pPr>
      <w:r w:rsidRPr="00E52513">
        <w:rPr>
          <w:i/>
        </w:rPr>
        <w:t>analysis of the Online Reporting System (ORS),</w:t>
      </w:r>
      <w:r w:rsidRPr="00E52513">
        <w:t xml:space="preserve"> </w:t>
      </w:r>
      <w:r w:rsidR="00B46BF4" w:rsidRPr="00E52513">
        <w:t>the NICRS program administrative data base</w:t>
      </w:r>
      <w:r w:rsidR="004E641F" w:rsidRPr="00E52513">
        <w:t xml:space="preserve"> collected by CRSAs</w:t>
      </w:r>
    </w:p>
    <w:p w14:paraId="113160E0" w14:textId="632AD8E1" w:rsidR="00410AEE" w:rsidRPr="00E52513" w:rsidRDefault="00410AEE" w:rsidP="00CF21DA">
      <w:pPr>
        <w:pStyle w:val="ListParagraph"/>
        <w:numPr>
          <w:ilvl w:val="0"/>
          <w:numId w:val="4"/>
        </w:numPr>
        <w:tabs>
          <w:tab w:val="clear" w:pos="284"/>
        </w:tabs>
        <w:spacing w:before="0"/>
        <w:ind w:left="714" w:hanging="357"/>
      </w:pPr>
      <w:proofErr w:type="gramStart"/>
      <w:r w:rsidRPr="00E52513">
        <w:t>document</w:t>
      </w:r>
      <w:proofErr w:type="gramEnd"/>
      <w:r w:rsidRPr="00E52513">
        <w:t xml:space="preserve"> review</w:t>
      </w:r>
      <w:r w:rsidR="005279F3" w:rsidRPr="00E52513">
        <w:t xml:space="preserve"> – </w:t>
      </w:r>
      <w:r w:rsidR="007D12CA" w:rsidRPr="00E52513">
        <w:t>review of program documents such as evaluation reports, plans, policies and position descriptions.</w:t>
      </w:r>
    </w:p>
    <w:p w14:paraId="3431C82F" w14:textId="7DCF2466" w:rsidR="00410AEE" w:rsidRPr="00E52513" w:rsidRDefault="004E641F" w:rsidP="00410AEE">
      <w:bookmarkStart w:id="40" w:name="_Toc13224105"/>
      <w:bookmarkEnd w:id="13"/>
      <w:r w:rsidRPr="00E52513">
        <w:t>M</w:t>
      </w:r>
      <w:r w:rsidR="00410AEE" w:rsidRPr="00E52513">
        <w:t>ore detailed description</w:t>
      </w:r>
      <w:r w:rsidRPr="00E52513">
        <w:t>s</w:t>
      </w:r>
      <w:r w:rsidR="00410AEE" w:rsidRPr="00E52513">
        <w:t xml:space="preserve"> of the </w:t>
      </w:r>
      <w:r w:rsidRPr="00E52513">
        <w:t xml:space="preserve">evaluation methods can be found in Appendix </w:t>
      </w:r>
      <w:r w:rsidR="0028506A" w:rsidRPr="00E52513">
        <w:t>7</w:t>
      </w:r>
      <w:r w:rsidRPr="00E52513">
        <w:t xml:space="preserve">. Further detail of the </w:t>
      </w:r>
      <w:r w:rsidR="00410AEE" w:rsidRPr="00E52513">
        <w:t xml:space="preserve">overall </w:t>
      </w:r>
      <w:r w:rsidRPr="00E52513">
        <w:t xml:space="preserve">evaluation design </w:t>
      </w:r>
      <w:r w:rsidR="005C2DA1" w:rsidRPr="00E52513">
        <w:t>is provided in</w:t>
      </w:r>
      <w:r w:rsidRPr="00E52513">
        <w:t xml:space="preserve"> the Evaluation Plan</w:t>
      </w:r>
      <w:r w:rsidR="005C2DA1" w:rsidRPr="00E52513">
        <w:t xml:space="preserve"> and the Evaluation Framework (</w:t>
      </w:r>
      <w:r w:rsidR="004527DA" w:rsidRPr="00E52513">
        <w:t>HCA, 2019)</w:t>
      </w:r>
      <w:r w:rsidR="00410AEE" w:rsidRPr="00E52513">
        <w:t>.</w:t>
      </w:r>
    </w:p>
    <w:bookmarkEnd w:id="40"/>
    <w:p w14:paraId="16E0B591" w14:textId="77777777" w:rsidR="0077690D" w:rsidRPr="00E52513" w:rsidRDefault="0077690D" w:rsidP="00B46BF4">
      <w:pPr>
        <w:rPr>
          <w:rFonts w:cs="Calibri"/>
        </w:rPr>
      </w:pPr>
    </w:p>
    <w:p w14:paraId="2A72D68C" w14:textId="77777777" w:rsidR="0077690D" w:rsidRPr="00E52513" w:rsidRDefault="0077690D">
      <w:pPr>
        <w:spacing w:line="276" w:lineRule="auto"/>
        <w:rPr>
          <w:rFonts w:ascii="Lato Medium" w:eastAsiaTheme="majorEastAsia" w:hAnsi="Lato Medium" w:cstheme="majorBidi"/>
          <w:bCs/>
          <w:color w:val="009CDA"/>
          <w:sz w:val="28"/>
        </w:rPr>
      </w:pPr>
      <w:r w:rsidRPr="00E52513">
        <w:br w:type="page"/>
      </w:r>
    </w:p>
    <w:p w14:paraId="0DF4484B" w14:textId="7695042A" w:rsidR="00540458" w:rsidRPr="00E52513" w:rsidRDefault="00540458" w:rsidP="00540458">
      <w:pPr>
        <w:pStyle w:val="Heading1"/>
      </w:pPr>
      <w:bookmarkStart w:id="41" w:name="_Toc36482256"/>
      <w:bookmarkStart w:id="42" w:name="_Toc54966623"/>
      <w:r w:rsidRPr="00E52513">
        <w:lastRenderedPageBreak/>
        <w:t>Profile of NICRS activity</w:t>
      </w:r>
      <w:bookmarkEnd w:id="41"/>
      <w:bookmarkEnd w:id="42"/>
    </w:p>
    <w:p w14:paraId="6F862203" w14:textId="70DE3BC7" w:rsidR="00540458" w:rsidRPr="00E52513" w:rsidRDefault="00540458" w:rsidP="00540458">
      <w:r w:rsidRPr="00E52513">
        <w:t xml:space="preserve">As noted in the methodology section, data from the ORS database was analysed to understand the NICRS service activity during its initial </w:t>
      </w:r>
      <w:r w:rsidR="00425EFF" w:rsidRPr="00E52513">
        <w:t>3-year</w:t>
      </w:r>
      <w:r w:rsidRPr="00E52513">
        <w:t xml:space="preserve"> period (January 2017 to June </w:t>
      </w:r>
      <w:r w:rsidR="00425EFF" w:rsidRPr="00E52513">
        <w:t>30,</w:t>
      </w:r>
      <w:r w:rsidRPr="00E52513">
        <w:t xml:space="preserve"> 2019). In the sections below the service activity is described in terms of:</w:t>
      </w:r>
    </w:p>
    <w:p w14:paraId="07D3B2D9" w14:textId="77777777" w:rsidR="00540458" w:rsidRPr="00E52513" w:rsidRDefault="00540458" w:rsidP="00BB0C58">
      <w:pPr>
        <w:pStyle w:val="ListParagraph"/>
        <w:numPr>
          <w:ilvl w:val="0"/>
          <w:numId w:val="12"/>
        </w:numPr>
      </w:pPr>
      <w:r w:rsidRPr="00E52513">
        <w:t>Total incidents notified to the service</w:t>
      </w:r>
    </w:p>
    <w:p w14:paraId="5F80D5B8" w14:textId="77777777" w:rsidR="00540458" w:rsidRPr="00E52513" w:rsidRDefault="00540458" w:rsidP="00BB0C58">
      <w:pPr>
        <w:pStyle w:val="ListParagraph"/>
        <w:numPr>
          <w:ilvl w:val="0"/>
          <w:numId w:val="12"/>
        </w:numPr>
      </w:pPr>
      <w:r w:rsidRPr="00E52513">
        <w:t>Distribution of incidents by location of incident and location of home</w:t>
      </w:r>
    </w:p>
    <w:p w14:paraId="6C93D818" w14:textId="77777777" w:rsidR="00540458" w:rsidRPr="00E52513" w:rsidRDefault="00540458" w:rsidP="00BB0C58">
      <w:pPr>
        <w:pStyle w:val="ListParagraph"/>
        <w:numPr>
          <w:ilvl w:val="0"/>
          <w:numId w:val="12"/>
        </w:numPr>
      </w:pPr>
      <w:r w:rsidRPr="00E52513">
        <w:t>Distribution of incidents by incident type</w:t>
      </w:r>
    </w:p>
    <w:p w14:paraId="7ED61244" w14:textId="77777777" w:rsidR="00540458" w:rsidRPr="00E52513" w:rsidRDefault="00540458" w:rsidP="00BB0C58">
      <w:pPr>
        <w:pStyle w:val="ListParagraph"/>
        <w:numPr>
          <w:ilvl w:val="0"/>
          <w:numId w:val="12"/>
        </w:numPr>
      </w:pPr>
      <w:r w:rsidRPr="00E52513">
        <w:t>Distribution of incidents by gender and age</w:t>
      </w:r>
    </w:p>
    <w:p w14:paraId="7587BD26" w14:textId="76CEE814" w:rsidR="00540458" w:rsidRPr="00E52513" w:rsidRDefault="00540458" w:rsidP="00BB0C58">
      <w:pPr>
        <w:pStyle w:val="ListParagraph"/>
        <w:numPr>
          <w:ilvl w:val="0"/>
          <w:numId w:val="12"/>
        </w:numPr>
      </w:pPr>
      <w:r w:rsidRPr="00E52513">
        <w:t>Proportion of incidents that converted into cases</w:t>
      </w:r>
      <w:r w:rsidR="00A40813">
        <w:t>.</w:t>
      </w:r>
    </w:p>
    <w:p w14:paraId="73706425" w14:textId="4BE72AFD" w:rsidR="00540458" w:rsidRPr="00E52513" w:rsidRDefault="00540458" w:rsidP="00152634">
      <w:pPr>
        <w:pStyle w:val="Heading2"/>
      </w:pPr>
      <w:bookmarkStart w:id="43" w:name="_Toc36482257"/>
      <w:bookmarkStart w:id="44" w:name="_Toc54966624"/>
      <w:r w:rsidRPr="00E52513">
        <w:t>Notified inciden</w:t>
      </w:r>
      <w:r w:rsidR="004527DA" w:rsidRPr="00E52513">
        <w:t>t</w:t>
      </w:r>
      <w:r w:rsidRPr="00E52513">
        <w:t>s</w:t>
      </w:r>
      <w:bookmarkEnd w:id="43"/>
      <w:bookmarkEnd w:id="44"/>
    </w:p>
    <w:p w14:paraId="39BEDDB2" w14:textId="4B451959" w:rsidR="00540458" w:rsidRDefault="00540458" w:rsidP="00540458">
      <w:r w:rsidRPr="00E52513">
        <w:t>The earliest incident responded to by the NICRS was in December 2014 (although a response associated with this incident was not commenced until April 2019). This and several other incidents (10) pre-date the formal commencement of the NICRS; therefore, it is assumed that either the wrong date was recorded, or they were part of the previous pilot project. Alternatively, they were eligible incidents which had never been addressed in the previous absence of a NICRS type service</w:t>
      </w:r>
      <w:r w:rsidRPr="00E52513">
        <w:rPr>
          <w:rStyle w:val="FootnoteReference"/>
          <w:rFonts w:eastAsiaTheme="majorEastAsia"/>
        </w:rPr>
        <w:footnoteReference w:id="4"/>
      </w:r>
      <w:r w:rsidRPr="00E52513">
        <w:t>. The first recorded notification of an incident for the NICRS was in January 2017.</w:t>
      </w:r>
    </w:p>
    <w:p w14:paraId="767B9207" w14:textId="2E463C07" w:rsidR="00DB2BEB" w:rsidRDefault="00EC05EF" w:rsidP="00A40813">
      <w:r>
        <w:rPr>
          <w:noProof/>
          <w:lang w:eastAsia="en-AU"/>
        </w:rPr>
        <w:lastRenderedPageBreak/>
        <w:drawing>
          <wp:inline distT="0" distB="0" distL="0" distR="0" wp14:anchorId="1BF2AA71" wp14:editId="45AF7B97">
            <wp:extent cx="3822700" cy="3721100"/>
            <wp:effectExtent l="0" t="0" r="6350" b="0"/>
            <wp:docPr id="174" name="Picture 174" descr="Chart, line chart showing number and annual patterns of incidents 2017-2019&#10;&#10;Line and bar graph to visually describe the data in the associated text." title="Figure 4: Distribution of NICRS notifications by year and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Chart, line chart showing number and annual patterns of incidents 2017-2019&#10;&#10;Line and bar graph to visually describe the data in the associated text."/>
                    <pic:cNvPicPr/>
                  </pic:nvPicPr>
                  <pic:blipFill>
                    <a:blip r:embed="rId17">
                      <a:extLst>
                        <a:ext uri="{28A0092B-C50C-407E-A947-70E740481C1C}">
                          <a14:useLocalDpi xmlns:a14="http://schemas.microsoft.com/office/drawing/2010/main" val="0"/>
                        </a:ext>
                      </a:extLst>
                    </a:blip>
                    <a:stretch>
                      <a:fillRect/>
                    </a:stretch>
                  </pic:blipFill>
                  <pic:spPr>
                    <a:xfrm>
                      <a:off x="0" y="0"/>
                      <a:ext cx="3822700" cy="3721100"/>
                    </a:xfrm>
                    <a:prstGeom prst="rect">
                      <a:avLst/>
                    </a:prstGeom>
                  </pic:spPr>
                </pic:pic>
              </a:graphicData>
            </a:graphic>
          </wp:inline>
        </w:drawing>
      </w:r>
    </w:p>
    <w:p w14:paraId="79C61523" w14:textId="0C09FEAB" w:rsidR="00540458" w:rsidRPr="00E52513" w:rsidRDefault="00540458" w:rsidP="00A40813">
      <w:r w:rsidRPr="00E52513">
        <w:t>Between commencement of the service and the last date of a reported incident in the ORS data supplied to the evaluation team (23</w:t>
      </w:r>
      <w:r w:rsidRPr="00E52513">
        <w:rPr>
          <w:vertAlign w:val="superscript"/>
        </w:rPr>
        <w:t>rd</w:t>
      </w:r>
      <w:r w:rsidRPr="00E52513">
        <w:t xml:space="preserve"> June 2019), there were 367 incidents (plus </w:t>
      </w:r>
      <w:r w:rsidR="00E179F6" w:rsidRPr="00E52513">
        <w:t>five</w:t>
      </w:r>
      <w:r w:rsidRPr="00E52513">
        <w:t xml:space="preserve"> others with no date and 10 pre-2017) notified to the NICRS (Figure </w:t>
      </w:r>
      <w:r w:rsidR="005B437D" w:rsidRPr="00E52513">
        <w:t>4</w:t>
      </w:r>
      <w:r w:rsidRPr="00E52513">
        <w:t>). The distribution of incidents was 91 in 2017, 183 in 2018 and 93 in 2019 (up until the end of June).</w:t>
      </w:r>
    </w:p>
    <w:p w14:paraId="273AB817" w14:textId="6B45ED9E" w:rsidR="00540458" w:rsidRDefault="00540458" w:rsidP="00540458">
      <w:r w:rsidRPr="00E52513">
        <w:t>Using only the service years for which complete data was available (2017 and 2018)</w:t>
      </w:r>
      <w:r w:rsidR="004C6A0B" w:rsidRPr="00E52513">
        <w:t>;</w:t>
      </w:r>
      <w:r w:rsidRPr="00E52513">
        <w:t xml:space="preserve"> the months with the most incidents notified to the NICRS were October, November and December. This partially validates the commonly held perception that suicides are most prevalent around the end of year period. The months of January and February 2017</w:t>
      </w:r>
      <w:r w:rsidR="004527DA" w:rsidRPr="00E52513">
        <w:t xml:space="preserve"> </w:t>
      </w:r>
      <w:r w:rsidRPr="00E52513">
        <w:t xml:space="preserve">would have been affected by low numbers during the ‘start-up’ period (Figure </w:t>
      </w:r>
      <w:r w:rsidR="005B437D" w:rsidRPr="00E52513">
        <w:t>5</w:t>
      </w:r>
      <w:r w:rsidRPr="00E52513">
        <w:t>).</w:t>
      </w:r>
    </w:p>
    <w:p w14:paraId="6F563275" w14:textId="1B24B9C0" w:rsidR="00EC05EF" w:rsidRPr="00EC05EF" w:rsidRDefault="00E17D44" w:rsidP="00EC05EF">
      <w:r>
        <w:rPr>
          <w:noProof/>
          <w:lang w:eastAsia="en-AU"/>
        </w:rPr>
        <w:lastRenderedPageBreak/>
        <w:drawing>
          <wp:inline distT="0" distB="0" distL="0" distR="0" wp14:anchorId="4017EA21" wp14:editId="15D07B44">
            <wp:extent cx="6172200" cy="3733800"/>
            <wp:effectExtent l="0" t="0" r="0" b="0"/>
            <wp:docPr id="196" name="Picture 196" descr="Chart, line chart&#10;&#10;Number of incidents per year&#10;&#10;Line chart depicting Distribution of incidents notified by month of the year (combined 2017 and 2018 data only) - commencing with 15 in January 2017 and ending with 33 in December 2018" title="Figure 5: Distribution of incidents notified by month of the year (combined 2017 and 2018 dat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 line chart&#10;&#10;Number of incidents per year&#10;&#10;Line chart depicting Distribution of incidents notified by month of the year (combined 2017 and 2018 data only) - commencing with 15 in January 2017 and ending with 33 in December 2018"/>
                    <pic:cNvPicPr/>
                  </pic:nvPicPr>
                  <pic:blipFill>
                    <a:blip r:embed="rId18">
                      <a:extLst>
                        <a:ext uri="{28A0092B-C50C-407E-A947-70E740481C1C}">
                          <a14:useLocalDpi xmlns:a14="http://schemas.microsoft.com/office/drawing/2010/main" val="0"/>
                        </a:ext>
                      </a:extLst>
                    </a:blip>
                    <a:stretch>
                      <a:fillRect/>
                    </a:stretch>
                  </pic:blipFill>
                  <pic:spPr>
                    <a:xfrm>
                      <a:off x="0" y="0"/>
                      <a:ext cx="6172200" cy="3733800"/>
                    </a:xfrm>
                    <a:prstGeom prst="rect">
                      <a:avLst/>
                    </a:prstGeom>
                  </pic:spPr>
                </pic:pic>
              </a:graphicData>
            </a:graphic>
          </wp:inline>
        </w:drawing>
      </w:r>
    </w:p>
    <w:p w14:paraId="1BE5F14D" w14:textId="06145FCB" w:rsidR="00540458" w:rsidRPr="00E52513" w:rsidRDefault="00540458" w:rsidP="00152634">
      <w:pPr>
        <w:pStyle w:val="Heading2"/>
      </w:pPr>
      <w:bookmarkStart w:id="45" w:name="_Toc36482258"/>
      <w:bookmarkStart w:id="46" w:name="_Toc54966625"/>
      <w:r w:rsidRPr="00E52513">
        <w:t>The nature &amp; location of notified incidents</w:t>
      </w:r>
      <w:bookmarkEnd w:id="45"/>
      <w:bookmarkEnd w:id="46"/>
    </w:p>
    <w:p w14:paraId="5F66D0BE" w14:textId="05D3B93F" w:rsidR="00540458" w:rsidRPr="00E52513" w:rsidRDefault="00540458" w:rsidP="00540458">
      <w:r w:rsidRPr="00E52513">
        <w:t xml:space="preserve">The majority of incidents notified to NICRS resulted from a completed (57%) or attempted (16%) suicide. Just under one-fifth of the incidents (17%) involved a trauma resulting in death (Table </w:t>
      </w:r>
      <w:r w:rsidR="000F66D0" w:rsidRPr="00E52513">
        <w:t>3</w:t>
      </w:r>
      <w:r w:rsidRPr="00E52513">
        <w:t xml:space="preserve">). These results are </w:t>
      </w:r>
      <w:r w:rsidR="00121F86" w:rsidRPr="00E52513">
        <w:t>similar</w:t>
      </w:r>
      <w:r w:rsidRPr="00E52513">
        <w:t xml:space="preserve"> to the findings by HMA (2020).</w:t>
      </w:r>
      <w:r w:rsidR="00C761DD">
        <w:rPr>
          <w:rStyle w:val="FootnoteReference"/>
        </w:rPr>
        <w:footnoteReference w:id="5"/>
      </w:r>
    </w:p>
    <w:p w14:paraId="0662E497" w14:textId="7BFE4E1B" w:rsidR="00540458" w:rsidRPr="00E52513" w:rsidRDefault="00540458" w:rsidP="00540458">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3</w:t>
      </w:r>
      <w:r w:rsidR="00D97F39">
        <w:rPr>
          <w:noProof/>
        </w:rPr>
        <w:fldChar w:fldCharType="end"/>
      </w:r>
      <w:r w:rsidRPr="00E52513">
        <w:t>: Distribution of notified incidents to NICRS by incident type (n = 367)</w:t>
      </w:r>
    </w:p>
    <w:tbl>
      <w:tblPr>
        <w:tblStyle w:val="MediumGrid2-Accent6"/>
        <w:tblW w:w="0" w:type="auto"/>
        <w:jc w:val="center"/>
        <w:tblLook w:val="0420" w:firstRow="1" w:lastRow="0" w:firstColumn="0" w:lastColumn="0" w:noHBand="0" w:noVBand="1"/>
        <w:tblCaption w:val="Distribution by incident type"/>
        <w:tblDescription w:val="Table shows incident type by attempted suicide (15.8%), completed suicide (56.9%), other trauma involving a death (17.4%) and other trauma not involving a death (9.8%) - total 367 incidents"/>
      </w:tblPr>
      <w:tblGrid>
        <w:gridCol w:w="4020"/>
        <w:gridCol w:w="1504"/>
        <w:gridCol w:w="2537"/>
      </w:tblGrid>
      <w:tr w:rsidR="00540458" w:rsidRPr="00E52513" w14:paraId="3AE9C99C"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4020" w:type="dxa"/>
            <w:hideMark/>
          </w:tcPr>
          <w:p w14:paraId="1AE826FC" w14:textId="77777777" w:rsidR="00540458" w:rsidRPr="00E52513" w:rsidRDefault="00540458" w:rsidP="005425A0">
            <w:pPr>
              <w:spacing w:before="0"/>
              <w:rPr>
                <w:rFonts w:ascii="Times New Roman" w:eastAsia="Times New Roman" w:hAnsi="Times New Roman"/>
                <w:sz w:val="24"/>
                <w:szCs w:val="24"/>
                <w:lang w:eastAsia="en-AU"/>
              </w:rPr>
            </w:pPr>
            <w:r w:rsidRPr="00E52513">
              <w:rPr>
                <w:rFonts w:eastAsia="Times New Roman"/>
                <w:lang w:eastAsia="en-AU"/>
              </w:rPr>
              <w:t>Incident type</w:t>
            </w:r>
          </w:p>
        </w:tc>
        <w:tc>
          <w:tcPr>
            <w:tcW w:w="1504" w:type="dxa"/>
            <w:hideMark/>
          </w:tcPr>
          <w:p w14:paraId="572C58E1" w14:textId="77777777" w:rsidR="00540458" w:rsidRPr="00E52513" w:rsidRDefault="00540458" w:rsidP="005425A0">
            <w:pPr>
              <w:spacing w:before="0"/>
              <w:jc w:val="center"/>
              <w:rPr>
                <w:rFonts w:ascii="Times New Roman" w:eastAsia="Times New Roman" w:hAnsi="Times New Roman"/>
                <w:sz w:val="24"/>
                <w:szCs w:val="24"/>
                <w:lang w:eastAsia="en-AU"/>
              </w:rPr>
            </w:pPr>
            <w:r w:rsidRPr="00E52513">
              <w:rPr>
                <w:rFonts w:eastAsia="Times New Roman"/>
                <w:bCs w:val="0"/>
                <w:lang w:eastAsia="en-AU"/>
              </w:rPr>
              <w:t>Number</w:t>
            </w:r>
          </w:p>
        </w:tc>
        <w:tc>
          <w:tcPr>
            <w:tcW w:w="2537" w:type="dxa"/>
            <w:hideMark/>
          </w:tcPr>
          <w:p w14:paraId="5B5A8694" w14:textId="77777777" w:rsidR="00540458" w:rsidRPr="00E52513" w:rsidRDefault="00540458" w:rsidP="005425A0">
            <w:pPr>
              <w:spacing w:before="0"/>
              <w:jc w:val="center"/>
              <w:rPr>
                <w:rFonts w:eastAsia="Times New Roman"/>
                <w:bCs w:val="0"/>
                <w:szCs w:val="22"/>
                <w:lang w:eastAsia="en-AU"/>
              </w:rPr>
            </w:pPr>
            <w:r w:rsidRPr="00E52513">
              <w:rPr>
                <w:rFonts w:eastAsia="Times New Roman"/>
                <w:bCs w:val="0"/>
                <w:lang w:eastAsia="en-AU"/>
              </w:rPr>
              <w:t>Proportion (%) of total incidents</w:t>
            </w:r>
          </w:p>
        </w:tc>
      </w:tr>
      <w:tr w:rsidR="00540458" w:rsidRPr="00E52513" w14:paraId="33D38EC4"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020" w:type="dxa"/>
            <w:hideMark/>
          </w:tcPr>
          <w:p w14:paraId="35E84A74" w14:textId="77777777" w:rsidR="00540458" w:rsidRPr="00E52513" w:rsidRDefault="00540458" w:rsidP="005425A0">
            <w:pPr>
              <w:spacing w:before="0"/>
              <w:rPr>
                <w:rFonts w:ascii="Times New Roman" w:eastAsia="Times New Roman" w:hAnsi="Times New Roman"/>
                <w:sz w:val="24"/>
                <w:szCs w:val="24"/>
                <w:lang w:eastAsia="en-AU"/>
              </w:rPr>
            </w:pPr>
            <w:r w:rsidRPr="00E52513">
              <w:rPr>
                <w:rFonts w:eastAsia="Times New Roman"/>
                <w:lang w:eastAsia="en-AU"/>
              </w:rPr>
              <w:t>Attempted suicide</w:t>
            </w:r>
          </w:p>
        </w:tc>
        <w:tc>
          <w:tcPr>
            <w:tcW w:w="1504" w:type="dxa"/>
            <w:hideMark/>
          </w:tcPr>
          <w:p w14:paraId="2B7D0362" w14:textId="77777777" w:rsidR="00540458" w:rsidRPr="00E52513" w:rsidRDefault="00540458" w:rsidP="005425A0">
            <w:pPr>
              <w:spacing w:before="0"/>
              <w:jc w:val="center"/>
              <w:rPr>
                <w:rFonts w:ascii="Times New Roman" w:eastAsia="Times New Roman" w:hAnsi="Times New Roman"/>
                <w:sz w:val="24"/>
                <w:szCs w:val="24"/>
                <w:lang w:eastAsia="en-AU"/>
              </w:rPr>
            </w:pPr>
            <w:r w:rsidRPr="00E52513">
              <w:rPr>
                <w:rFonts w:eastAsia="Times New Roman"/>
                <w:lang w:eastAsia="en-AU"/>
              </w:rPr>
              <w:t>58</w:t>
            </w:r>
          </w:p>
        </w:tc>
        <w:tc>
          <w:tcPr>
            <w:tcW w:w="2537" w:type="dxa"/>
            <w:hideMark/>
          </w:tcPr>
          <w:p w14:paraId="75F785C3" w14:textId="77777777" w:rsidR="00540458" w:rsidRPr="00E52513" w:rsidRDefault="00540458" w:rsidP="005425A0">
            <w:pPr>
              <w:spacing w:before="0"/>
              <w:jc w:val="center"/>
              <w:rPr>
                <w:rFonts w:eastAsia="Times New Roman"/>
                <w:szCs w:val="22"/>
                <w:lang w:eastAsia="en-AU"/>
              </w:rPr>
            </w:pPr>
            <w:r w:rsidRPr="00E52513">
              <w:rPr>
                <w:rFonts w:eastAsia="Times New Roman"/>
                <w:lang w:eastAsia="en-AU"/>
              </w:rPr>
              <w:t>15.8</w:t>
            </w:r>
          </w:p>
        </w:tc>
      </w:tr>
      <w:tr w:rsidR="00540458" w:rsidRPr="00E52513" w14:paraId="03A00F56" w14:textId="77777777" w:rsidTr="0050723C">
        <w:trPr>
          <w:jc w:val="center"/>
        </w:trPr>
        <w:tc>
          <w:tcPr>
            <w:tcW w:w="4020" w:type="dxa"/>
            <w:hideMark/>
          </w:tcPr>
          <w:p w14:paraId="5618B1AB" w14:textId="77777777" w:rsidR="00540458" w:rsidRPr="00E52513" w:rsidRDefault="00540458" w:rsidP="005425A0">
            <w:pPr>
              <w:spacing w:before="0"/>
              <w:rPr>
                <w:rFonts w:ascii="Times New Roman" w:eastAsia="Times New Roman" w:hAnsi="Times New Roman"/>
                <w:sz w:val="24"/>
                <w:szCs w:val="24"/>
                <w:lang w:eastAsia="en-AU"/>
              </w:rPr>
            </w:pPr>
            <w:r w:rsidRPr="00E52513">
              <w:rPr>
                <w:rFonts w:eastAsia="Times New Roman"/>
                <w:lang w:eastAsia="en-AU"/>
              </w:rPr>
              <w:t>Completed suicide</w:t>
            </w:r>
          </w:p>
        </w:tc>
        <w:tc>
          <w:tcPr>
            <w:tcW w:w="1504" w:type="dxa"/>
            <w:hideMark/>
          </w:tcPr>
          <w:p w14:paraId="0C64DD5E" w14:textId="77777777" w:rsidR="00540458" w:rsidRPr="00E52513" w:rsidRDefault="00540458" w:rsidP="005425A0">
            <w:pPr>
              <w:spacing w:before="0"/>
              <w:jc w:val="center"/>
              <w:rPr>
                <w:rFonts w:ascii="Times New Roman" w:eastAsia="Times New Roman" w:hAnsi="Times New Roman"/>
                <w:sz w:val="24"/>
                <w:szCs w:val="24"/>
                <w:lang w:eastAsia="en-AU"/>
              </w:rPr>
            </w:pPr>
            <w:r w:rsidRPr="00E52513">
              <w:rPr>
                <w:rFonts w:eastAsia="Times New Roman"/>
                <w:lang w:eastAsia="en-AU"/>
              </w:rPr>
              <w:t>209</w:t>
            </w:r>
          </w:p>
        </w:tc>
        <w:tc>
          <w:tcPr>
            <w:tcW w:w="2537" w:type="dxa"/>
            <w:hideMark/>
          </w:tcPr>
          <w:p w14:paraId="148D1660" w14:textId="77777777" w:rsidR="00540458" w:rsidRPr="00E52513" w:rsidRDefault="00540458" w:rsidP="005425A0">
            <w:pPr>
              <w:spacing w:before="0"/>
              <w:jc w:val="center"/>
              <w:rPr>
                <w:rFonts w:eastAsia="Times New Roman"/>
                <w:szCs w:val="22"/>
                <w:lang w:eastAsia="en-AU"/>
              </w:rPr>
            </w:pPr>
            <w:r w:rsidRPr="00E52513">
              <w:rPr>
                <w:rFonts w:eastAsia="Times New Roman"/>
                <w:lang w:eastAsia="en-AU"/>
              </w:rPr>
              <w:t>56.9</w:t>
            </w:r>
          </w:p>
        </w:tc>
      </w:tr>
      <w:tr w:rsidR="00540458" w:rsidRPr="00E52513" w14:paraId="6A5CC486"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020" w:type="dxa"/>
            <w:hideMark/>
          </w:tcPr>
          <w:p w14:paraId="2E78FB09" w14:textId="77777777" w:rsidR="00540458" w:rsidRPr="00E52513" w:rsidRDefault="00540458" w:rsidP="005425A0">
            <w:pPr>
              <w:spacing w:before="0"/>
              <w:rPr>
                <w:rFonts w:ascii="Times New Roman" w:eastAsia="Times New Roman" w:hAnsi="Times New Roman"/>
                <w:sz w:val="24"/>
                <w:szCs w:val="24"/>
                <w:lang w:eastAsia="en-AU"/>
              </w:rPr>
            </w:pPr>
            <w:r w:rsidRPr="00E52513">
              <w:rPr>
                <w:rFonts w:eastAsia="Times New Roman"/>
                <w:lang w:eastAsia="en-AU"/>
              </w:rPr>
              <w:t>Other trauma involving a death</w:t>
            </w:r>
          </w:p>
        </w:tc>
        <w:tc>
          <w:tcPr>
            <w:tcW w:w="1504" w:type="dxa"/>
            <w:hideMark/>
          </w:tcPr>
          <w:p w14:paraId="724342DC" w14:textId="77777777" w:rsidR="00540458" w:rsidRPr="00E52513" w:rsidRDefault="00540458" w:rsidP="005425A0">
            <w:pPr>
              <w:spacing w:before="0"/>
              <w:jc w:val="center"/>
              <w:rPr>
                <w:rFonts w:ascii="Times New Roman" w:eastAsia="Times New Roman" w:hAnsi="Times New Roman"/>
                <w:sz w:val="24"/>
                <w:szCs w:val="24"/>
                <w:lang w:eastAsia="en-AU"/>
              </w:rPr>
            </w:pPr>
            <w:r w:rsidRPr="00E52513">
              <w:rPr>
                <w:rFonts w:eastAsia="Times New Roman"/>
                <w:lang w:eastAsia="en-AU"/>
              </w:rPr>
              <w:t>64</w:t>
            </w:r>
          </w:p>
        </w:tc>
        <w:tc>
          <w:tcPr>
            <w:tcW w:w="2537" w:type="dxa"/>
            <w:hideMark/>
          </w:tcPr>
          <w:p w14:paraId="1968F3C6" w14:textId="77777777" w:rsidR="00540458" w:rsidRPr="00E52513" w:rsidRDefault="00540458" w:rsidP="005425A0">
            <w:pPr>
              <w:spacing w:before="0"/>
              <w:jc w:val="center"/>
              <w:rPr>
                <w:rFonts w:eastAsia="Times New Roman"/>
                <w:lang w:eastAsia="en-AU"/>
              </w:rPr>
            </w:pPr>
            <w:r w:rsidRPr="00E52513">
              <w:rPr>
                <w:rFonts w:eastAsia="Times New Roman"/>
                <w:lang w:eastAsia="en-AU"/>
              </w:rPr>
              <w:t>17.4</w:t>
            </w:r>
          </w:p>
        </w:tc>
      </w:tr>
      <w:tr w:rsidR="00540458" w:rsidRPr="00E52513" w14:paraId="667E33F0" w14:textId="77777777" w:rsidTr="0050723C">
        <w:trPr>
          <w:jc w:val="center"/>
        </w:trPr>
        <w:tc>
          <w:tcPr>
            <w:tcW w:w="4020" w:type="dxa"/>
            <w:hideMark/>
          </w:tcPr>
          <w:p w14:paraId="03EC4178" w14:textId="77777777" w:rsidR="00540458" w:rsidRPr="00E52513" w:rsidRDefault="00540458" w:rsidP="005425A0">
            <w:pPr>
              <w:spacing w:before="0"/>
              <w:rPr>
                <w:rFonts w:ascii="Times New Roman" w:eastAsia="Times New Roman" w:hAnsi="Times New Roman"/>
                <w:sz w:val="24"/>
                <w:szCs w:val="24"/>
                <w:lang w:eastAsia="en-AU"/>
              </w:rPr>
            </w:pPr>
            <w:r w:rsidRPr="00E52513">
              <w:rPr>
                <w:rFonts w:eastAsia="Times New Roman"/>
                <w:lang w:eastAsia="en-AU"/>
              </w:rPr>
              <w:t>Other trauma not involving a death</w:t>
            </w:r>
          </w:p>
        </w:tc>
        <w:tc>
          <w:tcPr>
            <w:tcW w:w="1504" w:type="dxa"/>
            <w:hideMark/>
          </w:tcPr>
          <w:p w14:paraId="19984494" w14:textId="77777777" w:rsidR="00540458" w:rsidRPr="00E52513" w:rsidRDefault="00540458" w:rsidP="005425A0">
            <w:pPr>
              <w:spacing w:before="0"/>
              <w:jc w:val="center"/>
              <w:rPr>
                <w:rFonts w:ascii="Times New Roman" w:eastAsia="Times New Roman" w:hAnsi="Times New Roman"/>
                <w:sz w:val="24"/>
                <w:szCs w:val="24"/>
                <w:lang w:eastAsia="en-AU"/>
              </w:rPr>
            </w:pPr>
            <w:r w:rsidRPr="00E52513">
              <w:rPr>
                <w:rFonts w:eastAsia="Times New Roman"/>
                <w:lang w:eastAsia="en-AU"/>
              </w:rPr>
              <w:t>36</w:t>
            </w:r>
          </w:p>
        </w:tc>
        <w:tc>
          <w:tcPr>
            <w:tcW w:w="2537" w:type="dxa"/>
            <w:hideMark/>
          </w:tcPr>
          <w:p w14:paraId="018BAD26" w14:textId="77777777" w:rsidR="00540458" w:rsidRPr="00E52513" w:rsidRDefault="00540458" w:rsidP="005425A0">
            <w:pPr>
              <w:spacing w:before="0"/>
              <w:jc w:val="center"/>
              <w:rPr>
                <w:rFonts w:eastAsia="Times New Roman"/>
                <w:szCs w:val="22"/>
                <w:lang w:eastAsia="en-AU"/>
              </w:rPr>
            </w:pPr>
            <w:r w:rsidRPr="00E52513">
              <w:rPr>
                <w:rFonts w:eastAsia="Times New Roman"/>
                <w:lang w:eastAsia="en-AU"/>
              </w:rPr>
              <w:t>9.8</w:t>
            </w:r>
          </w:p>
        </w:tc>
      </w:tr>
      <w:tr w:rsidR="00540458" w:rsidRPr="00E52513" w14:paraId="1AD54FE8"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020" w:type="dxa"/>
          </w:tcPr>
          <w:p w14:paraId="129B73AE" w14:textId="77777777" w:rsidR="00540458" w:rsidRPr="00E52513" w:rsidRDefault="00540458" w:rsidP="005425A0">
            <w:pPr>
              <w:spacing w:before="0"/>
              <w:jc w:val="right"/>
              <w:rPr>
                <w:b/>
                <w:lang w:eastAsia="en-AU"/>
              </w:rPr>
            </w:pPr>
            <w:r w:rsidRPr="00E52513">
              <w:rPr>
                <w:b/>
                <w:lang w:eastAsia="en-AU"/>
              </w:rPr>
              <w:t>Total</w:t>
            </w:r>
          </w:p>
        </w:tc>
        <w:tc>
          <w:tcPr>
            <w:tcW w:w="1504" w:type="dxa"/>
          </w:tcPr>
          <w:p w14:paraId="70B191F4" w14:textId="77777777" w:rsidR="00540458" w:rsidRPr="00E52513" w:rsidRDefault="00540458" w:rsidP="005425A0">
            <w:pPr>
              <w:spacing w:before="0"/>
              <w:jc w:val="center"/>
              <w:rPr>
                <w:b/>
                <w:lang w:eastAsia="en-AU"/>
              </w:rPr>
            </w:pPr>
            <w:r w:rsidRPr="00E52513">
              <w:rPr>
                <w:b/>
                <w:lang w:eastAsia="en-AU"/>
              </w:rPr>
              <w:fldChar w:fldCharType="begin"/>
            </w:r>
            <w:r w:rsidRPr="00E52513">
              <w:rPr>
                <w:b/>
                <w:lang w:eastAsia="en-AU"/>
              </w:rPr>
              <w:instrText xml:space="preserve"> =SUM(ABOVE) </w:instrText>
            </w:r>
            <w:r w:rsidRPr="00E52513">
              <w:rPr>
                <w:b/>
                <w:lang w:eastAsia="en-AU"/>
              </w:rPr>
              <w:fldChar w:fldCharType="separate"/>
            </w:r>
            <w:r w:rsidRPr="00E52513">
              <w:rPr>
                <w:b/>
                <w:noProof/>
                <w:lang w:eastAsia="en-AU"/>
              </w:rPr>
              <w:t>367</w:t>
            </w:r>
            <w:r w:rsidRPr="00E52513">
              <w:rPr>
                <w:b/>
                <w:lang w:eastAsia="en-AU"/>
              </w:rPr>
              <w:fldChar w:fldCharType="end"/>
            </w:r>
          </w:p>
        </w:tc>
        <w:tc>
          <w:tcPr>
            <w:tcW w:w="2537" w:type="dxa"/>
          </w:tcPr>
          <w:p w14:paraId="6739433C" w14:textId="4DE9E6AE" w:rsidR="00540458" w:rsidRPr="00E52513" w:rsidRDefault="00893B05" w:rsidP="005425A0">
            <w:pPr>
              <w:spacing w:before="0"/>
              <w:jc w:val="center"/>
              <w:rPr>
                <w:b/>
                <w:lang w:eastAsia="en-AU"/>
              </w:rPr>
            </w:pPr>
            <w:r>
              <w:rPr>
                <w:b/>
                <w:lang w:eastAsia="en-AU"/>
              </w:rPr>
              <w:t>100</w:t>
            </w:r>
            <w:r w:rsidR="00540458" w:rsidRPr="00E52513">
              <w:rPr>
                <w:b/>
                <w:lang w:eastAsia="en-AU"/>
              </w:rPr>
              <w:fldChar w:fldCharType="begin"/>
            </w:r>
            <w:r w:rsidR="00540458" w:rsidRPr="00E52513">
              <w:rPr>
                <w:b/>
                <w:lang w:eastAsia="en-AU"/>
              </w:rPr>
              <w:instrText xml:space="preserve"> =SUM(ABOVE) </w:instrText>
            </w:r>
            <w:r w:rsidR="00540458" w:rsidRPr="00E52513">
              <w:rPr>
                <w:b/>
                <w:lang w:eastAsia="en-AU"/>
              </w:rPr>
              <w:fldChar w:fldCharType="end"/>
            </w:r>
          </w:p>
        </w:tc>
      </w:tr>
    </w:tbl>
    <w:p w14:paraId="04673B78" w14:textId="6AF6AC46" w:rsidR="00540458" w:rsidRDefault="00540458" w:rsidP="00540458">
      <w:pPr>
        <w:rPr>
          <w:rFonts w:asciiTheme="minorHAnsi" w:eastAsiaTheme="minorHAnsi" w:hAnsiTheme="minorHAnsi" w:cstheme="minorBidi"/>
          <w:szCs w:val="22"/>
        </w:rPr>
      </w:pPr>
    </w:p>
    <w:p w14:paraId="7EDAC03D" w14:textId="3746893C" w:rsidR="00BB0116" w:rsidRPr="00E17D44" w:rsidRDefault="00E17D44" w:rsidP="00E17D44">
      <w:pPr>
        <w:jc w:val="center"/>
        <w:rPr>
          <w:rFonts w:asciiTheme="minorHAnsi" w:eastAsiaTheme="minorHAnsi" w:hAnsiTheme="minorHAnsi" w:cstheme="minorBidi"/>
          <w:szCs w:val="22"/>
        </w:rPr>
      </w:pPr>
      <w:r>
        <w:rPr>
          <w:rFonts w:asciiTheme="minorHAnsi" w:eastAsiaTheme="minorHAnsi" w:hAnsiTheme="minorHAnsi" w:cstheme="minorBidi"/>
          <w:noProof/>
          <w:szCs w:val="22"/>
          <w:lang w:eastAsia="en-AU"/>
        </w:rPr>
        <w:lastRenderedPageBreak/>
        <w:drawing>
          <wp:inline distT="0" distB="0" distL="0" distR="0" wp14:anchorId="5BBC0274" wp14:editId="510D7EBA">
            <wp:extent cx="3314700" cy="3695700"/>
            <wp:effectExtent l="0" t="0" r="0" b="0"/>
            <wp:docPr id="197" name="Picture 197" descr="Chart, bar chart&#10;&#10;Figure visually describes the pattern of male versus female-related incidents as per the text." title="Figure 6: Proportional distribution of types of incidence by gender (n=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Chart, bar chart&#10;&#10;Figure 6: Proportional distribution of types of incidence by gender (n=360)&#10;&#10;Figure visually describes the pattern of male versus female-related incidents as per the text."/>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314700" cy="3695700"/>
                    </a:xfrm>
                    <a:prstGeom prst="rect">
                      <a:avLst/>
                    </a:prstGeom>
                    <a:ln>
                      <a:noFill/>
                    </a:ln>
                    <a:extLst>
                      <a:ext uri="{53640926-AAD7-44D8-BBD7-CCE9431645EC}">
                        <a14:shadowObscured xmlns:a14="http://schemas.microsoft.com/office/drawing/2010/main"/>
                      </a:ext>
                    </a:extLst>
                  </pic:spPr>
                </pic:pic>
              </a:graphicData>
            </a:graphic>
          </wp:inline>
        </w:drawing>
      </w:r>
    </w:p>
    <w:p w14:paraId="07612950" w14:textId="539B10A7" w:rsidR="00540458" w:rsidRPr="00E52513" w:rsidRDefault="00540458" w:rsidP="00540458">
      <w:r w:rsidRPr="00E52513">
        <w:t>Most of the total incidents (64.7%, n = 360, five missing values) involved males</w:t>
      </w:r>
      <w:r w:rsidRPr="00E52513">
        <w:rPr>
          <w:rStyle w:val="FootnoteReference"/>
          <w:rFonts w:eastAsiaTheme="majorEastAsia"/>
        </w:rPr>
        <w:footnoteReference w:id="6"/>
      </w:r>
      <w:r w:rsidRPr="00E52513">
        <w:t xml:space="preserve"> but for each of the different incident types, the proportion varied. Completed suicides were proportionally much more undertaken by males (73%) whereas attempted suicides were more likely to be undertaken by females (60%). A similar pattern was observed for trauma incidences (see Figure 6).</w:t>
      </w:r>
    </w:p>
    <w:p w14:paraId="6A1DE05D" w14:textId="5315CC00" w:rsidR="00540458" w:rsidRDefault="00540458" w:rsidP="00B97E9E">
      <w:pPr>
        <w:spacing w:after="120"/>
      </w:pPr>
      <w:r w:rsidRPr="00E52513">
        <w:t xml:space="preserve">Most incidents (70%, n = 306, 66 missing values) involved persons younger than 31 </w:t>
      </w:r>
      <w:r w:rsidRPr="00E52513">
        <w:br/>
        <w:t>(Figure 7). Just over one-fifth of the incidents (20.5%) involved persons in the 31 to 40 age group.</w:t>
      </w:r>
    </w:p>
    <w:p w14:paraId="1F136252" w14:textId="2182EFFF" w:rsidR="00BB0116" w:rsidRDefault="00B97E9E" w:rsidP="00C90E4C">
      <w:pPr>
        <w:spacing w:after="360"/>
        <w:jc w:val="center"/>
      </w:pPr>
      <w:r>
        <w:rPr>
          <w:noProof/>
          <w:lang w:eastAsia="en-AU"/>
        </w:rPr>
        <w:lastRenderedPageBreak/>
        <w:drawing>
          <wp:inline distT="0" distB="0" distL="0" distR="0" wp14:anchorId="623C9C60" wp14:editId="65CC7561">
            <wp:extent cx="3048000" cy="3695700"/>
            <wp:effectExtent l="0" t="0" r="0" b="0"/>
            <wp:docPr id="198" name="Picture 198" descr="Chart, bar chart&#10;&#10;This graph indicates age groupings - 0-10yrs: 9; 11-20yrs: 99; 21-30yrs: 106; 31-40yrs: 63; 41-50yrs: 18; &gt;50yrs: 11" title="Figure 7: Distribution of incidents by age of person involved in the incident (n =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bar chart&#10;Figure 7: Distribution of incidents by age of person involved in the incident (n = 306)&#10;&#10;This graph indicates age groupings - 0-10yrs: 9; 11-20yrs: 99; 21-30yrs: 106; 31-40yrs: 63; 41-50yrs: 18; &gt;50yrs: 11"/>
                    <pic:cNvPicPr/>
                  </pic:nvPicPr>
                  <pic:blipFill>
                    <a:blip r:embed="rId20">
                      <a:extLst>
                        <a:ext uri="{28A0092B-C50C-407E-A947-70E740481C1C}">
                          <a14:useLocalDpi xmlns:a14="http://schemas.microsoft.com/office/drawing/2010/main" val="0"/>
                        </a:ext>
                      </a:extLst>
                    </a:blip>
                    <a:stretch>
                      <a:fillRect/>
                    </a:stretch>
                  </pic:blipFill>
                  <pic:spPr>
                    <a:xfrm>
                      <a:off x="0" y="0"/>
                      <a:ext cx="3048000" cy="3695700"/>
                    </a:xfrm>
                    <a:prstGeom prst="rect">
                      <a:avLst/>
                    </a:prstGeom>
                  </pic:spPr>
                </pic:pic>
              </a:graphicData>
            </a:graphic>
          </wp:inline>
        </w:drawing>
      </w:r>
    </w:p>
    <w:p w14:paraId="728137A2" w14:textId="721808B8" w:rsidR="00540458" w:rsidRPr="00E52513" w:rsidRDefault="00540458" w:rsidP="00540458">
      <w:r w:rsidRPr="00E52513">
        <w:t>The largest proportion of total incidents notified (by place of incident) to the NICRS occurred</w:t>
      </w:r>
      <w:r w:rsidRPr="00E52513">
        <w:rPr>
          <w:rStyle w:val="FootnoteReference"/>
          <w:rFonts w:eastAsiaTheme="majorEastAsia"/>
        </w:rPr>
        <w:footnoteReference w:id="7"/>
      </w:r>
      <w:r w:rsidRPr="00E52513">
        <w:t xml:space="preserve"> in WA (40.5%, n = 363). This may be a result of the history of the NICRS having been developed first in that state, including the running of the pilot project. Other prominent states/territories in this analysis were the NT (26.4%) and QLD (23.1%), with SA (5.0%), NSW (3.0%) and Victoria (1.9%) presenting smaller numbers. </w:t>
      </w:r>
      <w:r w:rsidR="004527DA" w:rsidRPr="00E52513">
        <w:t>It is unclear w</w:t>
      </w:r>
      <w:r w:rsidRPr="00E52513">
        <w:t>hy NSW and Victorian incidents were notified to the NICRS, and recorded even in small numbers, before July 2019 when there w</w:t>
      </w:r>
      <w:r w:rsidR="004527DA" w:rsidRPr="00E52513">
        <w:t>ere</w:t>
      </w:r>
      <w:r w:rsidRPr="00E52513">
        <w:t xml:space="preserve"> no CRSA resources yet deployed in those jurisdictions. The place of the incident did not always coincide with the state/territory of residence of the person involved in the incident, although comparative analysis with the latter showed </w:t>
      </w:r>
      <w:r w:rsidR="006736B7" w:rsidRPr="00E52513">
        <w:t>little</w:t>
      </w:r>
      <w:r w:rsidRPr="00E52513">
        <w:t xml:space="preserve"> difference.</w:t>
      </w:r>
    </w:p>
    <w:p w14:paraId="24731D1A" w14:textId="373DCBA6" w:rsidR="002746EC" w:rsidRDefault="00540458" w:rsidP="00E654C2">
      <w:r w:rsidRPr="00E52513">
        <w:t xml:space="preserve">The map at Figure </w:t>
      </w:r>
      <w:r w:rsidR="006736B7" w:rsidRPr="00E52513">
        <w:t>8</w:t>
      </w:r>
      <w:r w:rsidRPr="00E52513">
        <w:t xml:space="preserve"> below provides an insight into the concentration of suicide incidents (so called ‘hot spots’) as recorded in the ORS (n = 210). Suicides represent approximately 60% of all NICRS incidents. By focusing on suicides only, a useful point of comparison with other available data sources is possible (see later section on ‘Reach’). Of course, the distribution of suicide incidents according to ORS data will be strongly influenced by the process of staggered jurisdictional implementation.</w:t>
      </w:r>
    </w:p>
    <w:p w14:paraId="6236D1EA" w14:textId="76013E64" w:rsidR="00540458" w:rsidRDefault="00B97E9E" w:rsidP="00540458">
      <w:r>
        <w:rPr>
          <w:noProof/>
          <w:lang w:eastAsia="en-AU"/>
        </w:rPr>
        <w:lastRenderedPageBreak/>
        <w:drawing>
          <wp:inline distT="0" distB="0" distL="0" distR="0" wp14:anchorId="00D593F7" wp14:editId="323118D5">
            <wp:extent cx="6188710" cy="6744335"/>
            <wp:effectExtent l="0" t="0" r="2540" b="0"/>
            <wp:docPr id="199" name="Picture 199" descr="Map of Australia&#10;&#10;Very major hub: Perth 26.&#10;Major hub: Darwin 14; Arnhem Land 14; Alice Springs 11; Brisbane 12; Kimberley 11; Kalgoorlie 7; Pilbara 7; Geraldton 5; Albany area 6.&#10;Moderate hub: Katherine 4; Tennant Creek 4; Mt Isa 4; Cairns 8; Toowoomba 3; Mildura 3; Adelaide 3" title="Figure 8: NICRS suicide ≥3 incidents by location and CRSA location  (Source: based on OR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Map of Australia&#10;&#10;Figure 8: NICRS suicide ≥3 incidents by location and CRSA location  (Source: based on ORS data)&#10;Very major hub: Perth 26.&#10;Major hub: Darwin 14; Arnhem Land 14; Alice Springs 11; Brisbane 12; Kimberley 11; Kalgoorlie 7; Pilbara 7; Geraldton 5; Albany area 6.&#10;Moderate hub: Katherine 4; Tennant Creek 4; Mt Isa 4; Cairns 8; Toowoomba 3; Mildura 3; Adelaide 3"/>
                    <pic:cNvPicPr/>
                  </pic:nvPicPr>
                  <pic:blipFill>
                    <a:blip r:embed="rId21">
                      <a:extLst>
                        <a:ext uri="{28A0092B-C50C-407E-A947-70E740481C1C}">
                          <a14:useLocalDpi xmlns:a14="http://schemas.microsoft.com/office/drawing/2010/main" val="0"/>
                        </a:ext>
                      </a:extLst>
                    </a:blip>
                    <a:stretch>
                      <a:fillRect/>
                    </a:stretch>
                  </pic:blipFill>
                  <pic:spPr>
                    <a:xfrm>
                      <a:off x="0" y="0"/>
                      <a:ext cx="6188710" cy="6744335"/>
                    </a:xfrm>
                    <a:prstGeom prst="rect">
                      <a:avLst/>
                    </a:prstGeom>
                  </pic:spPr>
                </pic:pic>
              </a:graphicData>
            </a:graphic>
          </wp:inline>
        </w:drawing>
      </w:r>
    </w:p>
    <w:p w14:paraId="553447EE" w14:textId="72F7FD8E" w:rsidR="00BB0116" w:rsidRDefault="00B97E9E" w:rsidP="00B97E9E">
      <w:pPr>
        <w:jc w:val="center"/>
      </w:pPr>
      <w:r>
        <w:rPr>
          <w:noProof/>
          <w:lang w:eastAsia="en-AU"/>
        </w:rPr>
        <w:lastRenderedPageBreak/>
        <w:drawing>
          <wp:inline distT="0" distB="0" distL="0" distR="0" wp14:anchorId="2CC7D6EA" wp14:editId="2BCC817A">
            <wp:extent cx="3073400" cy="3733800"/>
            <wp:effectExtent l="0" t="0" r="0" b="0"/>
            <wp:docPr id="200" name="Picture 200" descr="Chart - Notification of incidents by source.&#10;Community member - 37; Family member - 67; PM&amp;C/NIAA - 71; Service provider - 112; Standby - 19; NICRS staff - 14; State government - 11; Journalist/media - 5; Other - 14" title="Figure 9: Distribution of notifications of an incident by source of the notification (n=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 - Notification of incidents by source.&#10;Community member - 37; Family member - 67; PM&amp;C/NIAA - 71; Service provider - 112; Standby - 19; NICRS staff - 14; State government - 11; Journalist/media - 5; Other - 14"/>
                    <pic:cNvPicPr/>
                  </pic:nvPicPr>
                  <pic:blipFill>
                    <a:blip r:embed="rId22">
                      <a:extLst>
                        <a:ext uri="{28A0092B-C50C-407E-A947-70E740481C1C}">
                          <a14:useLocalDpi xmlns:a14="http://schemas.microsoft.com/office/drawing/2010/main" val="0"/>
                        </a:ext>
                      </a:extLst>
                    </a:blip>
                    <a:stretch>
                      <a:fillRect/>
                    </a:stretch>
                  </pic:blipFill>
                  <pic:spPr>
                    <a:xfrm>
                      <a:off x="0" y="0"/>
                      <a:ext cx="3073400" cy="3733800"/>
                    </a:xfrm>
                    <a:prstGeom prst="rect">
                      <a:avLst/>
                    </a:prstGeom>
                  </pic:spPr>
                </pic:pic>
              </a:graphicData>
            </a:graphic>
          </wp:inline>
        </w:drawing>
      </w:r>
      <w:bookmarkStart w:id="47" w:name="_Toc37021209"/>
      <w:bookmarkStart w:id="48" w:name="_Toc37021210"/>
      <w:bookmarkStart w:id="49" w:name="_Toc36482259"/>
      <w:bookmarkEnd w:id="47"/>
      <w:bookmarkEnd w:id="48"/>
    </w:p>
    <w:p w14:paraId="05173B68" w14:textId="527B09D0" w:rsidR="00540458" w:rsidRPr="00E52513" w:rsidRDefault="00540458" w:rsidP="00152634">
      <w:pPr>
        <w:pStyle w:val="Heading2"/>
      </w:pPr>
      <w:bookmarkStart w:id="50" w:name="_Toc54966626"/>
      <w:r w:rsidRPr="00E52513">
        <w:t>Source of notifications</w:t>
      </w:r>
      <w:bookmarkEnd w:id="49"/>
      <w:bookmarkEnd w:id="50"/>
    </w:p>
    <w:p w14:paraId="674EBA94" w14:textId="22F1A514" w:rsidR="00540458" w:rsidRPr="00E52513" w:rsidRDefault="00540458" w:rsidP="00540458">
      <w:r w:rsidRPr="00E52513">
        <w:t>The source of notifications varied but the most common source was service providers (30.2%, n = 362), PM&amp;C</w:t>
      </w:r>
      <w:r w:rsidR="008759E9" w:rsidRPr="00E52513">
        <w:t>/NIAA</w:t>
      </w:r>
      <w:r w:rsidRPr="00E52513">
        <w:t xml:space="preserve"> (19.9%) and family members (17.9%</w:t>
      </w:r>
      <w:r w:rsidR="004527DA" w:rsidRPr="00E52513">
        <w:t xml:space="preserve">, </w:t>
      </w:r>
      <w:r w:rsidRPr="00E52513">
        <w:t xml:space="preserve">see Figure </w:t>
      </w:r>
      <w:r w:rsidR="006736B7" w:rsidRPr="00E52513">
        <w:t>9</w:t>
      </w:r>
      <w:r w:rsidRPr="00E52513">
        <w:t xml:space="preserve">). In the ORS Manual, the term ‘informant’ is used in lieu of ‘notifier’ or ‘source of notification’ and is defined </w:t>
      </w:r>
      <w:r w:rsidR="00271C54">
        <w:t xml:space="preserve">as </w:t>
      </w:r>
      <w:r w:rsidRPr="00E52513">
        <w:t>(p. 2):</w:t>
      </w:r>
    </w:p>
    <w:p w14:paraId="5258A9A3" w14:textId="1D9CBC28" w:rsidR="00540458" w:rsidRPr="00E52513" w:rsidRDefault="00540458" w:rsidP="00540458">
      <w:pPr>
        <w:ind w:left="284" w:right="284"/>
        <w:rPr>
          <w:i/>
        </w:rPr>
      </w:pPr>
      <w:r w:rsidRPr="00E52513">
        <w:rPr>
          <w:i/>
        </w:rPr>
        <w:t xml:space="preserve">“… </w:t>
      </w:r>
      <w:proofErr w:type="gramStart"/>
      <w:r w:rsidRPr="00E52513">
        <w:rPr>
          <w:i/>
        </w:rPr>
        <w:t>the</w:t>
      </w:r>
      <w:proofErr w:type="gramEnd"/>
      <w:r w:rsidRPr="00E52513">
        <w:rPr>
          <w:i/>
        </w:rPr>
        <w:t xml:space="preserve"> person who reports an incident to NICRS, or it may be someone we speak with in the community who is able to provide us with information about the deceased, the incident or the family of the deceased. They may be a police officer, a member of the community or a family member.”</w:t>
      </w:r>
    </w:p>
    <w:p w14:paraId="2E70C54E" w14:textId="2EC723D4" w:rsidR="00540458" w:rsidRDefault="00540458" w:rsidP="00540458">
      <w:r w:rsidRPr="00E52513">
        <w:t>Under this definition an informant could be a reporter of an incident, a provider of information or maybe even the source of a request for assistance.</w:t>
      </w:r>
    </w:p>
    <w:p w14:paraId="0034A9A3" w14:textId="2608BFB7" w:rsidR="00BB0116" w:rsidRDefault="00B97E9E" w:rsidP="00B97E9E">
      <w:pPr>
        <w:jc w:val="center"/>
      </w:pPr>
      <w:r>
        <w:rPr>
          <w:noProof/>
          <w:lang w:eastAsia="en-AU"/>
        </w:rPr>
        <w:lastRenderedPageBreak/>
        <w:drawing>
          <wp:inline distT="0" distB="0" distL="0" distR="0" wp14:anchorId="6FBB7F41" wp14:editId="44E37D24">
            <wp:extent cx="3022600" cy="3937000"/>
            <wp:effectExtent l="0" t="0" r="6350" b="6350"/>
            <wp:docPr id="201" name="Picture 201" descr="Chart, bar chart of incidents by request for assistance&#10;&#10;Community member (49); family member (201), other (41), PM&amp;C/NIAA (47), service provider (125), State government (12)" title="Figure 10: Distribution of incident by source of request for assistance (n=318) - incidents with no request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 bar chart of incidents by request for assistance&#10;&#10;Community member (49); family member (201), other (41), PM&amp;C/NIAA (47), service provider (125), State government (12)"/>
                    <pic:cNvPicPr/>
                  </pic:nvPicPr>
                  <pic:blipFill>
                    <a:blip r:embed="rId23">
                      <a:extLst>
                        <a:ext uri="{28A0092B-C50C-407E-A947-70E740481C1C}">
                          <a14:useLocalDpi xmlns:a14="http://schemas.microsoft.com/office/drawing/2010/main" val="0"/>
                        </a:ext>
                      </a:extLst>
                    </a:blip>
                    <a:stretch>
                      <a:fillRect/>
                    </a:stretch>
                  </pic:blipFill>
                  <pic:spPr>
                    <a:xfrm>
                      <a:off x="0" y="0"/>
                      <a:ext cx="3022600" cy="3937000"/>
                    </a:xfrm>
                    <a:prstGeom prst="rect">
                      <a:avLst/>
                    </a:prstGeom>
                  </pic:spPr>
                </pic:pic>
              </a:graphicData>
            </a:graphic>
          </wp:inline>
        </w:drawing>
      </w:r>
    </w:p>
    <w:p w14:paraId="374E1B2D" w14:textId="7C771A30" w:rsidR="00540458" w:rsidRPr="00E52513" w:rsidRDefault="00540458" w:rsidP="00540458">
      <w:r w:rsidRPr="00E52513">
        <w:t>It is not precisely clear from the data dictionary how the source of notification or ‘informant’ is distinguished from another separate ORS data variable which identifies the source from which assistance was sought. For this variable, the more prominent source is a family member. NICRS management advised verbally that the latter variable captures data on actual requests for support.</w:t>
      </w:r>
    </w:p>
    <w:p w14:paraId="02EC1F84" w14:textId="7D58164C" w:rsidR="00540458" w:rsidRPr="00E52513" w:rsidRDefault="00540458" w:rsidP="00540458">
      <w:r w:rsidRPr="00E52513">
        <w:t xml:space="preserve">The ‘informant’ source from which assistance was sought can often be the same as for notification but seems to be frequently different. This is to be expected as, following notification, enquiries are made by an allocated CRSA, both to validate an incident and to assess the need for assistance. In Figure </w:t>
      </w:r>
      <w:r w:rsidR="006736B7" w:rsidRPr="00E52513">
        <w:t>10</w:t>
      </w:r>
      <w:r w:rsidRPr="00E52513">
        <w:t xml:space="preserve">, the main sources of request for assistance are identified. It should be noted in relation to this data that: a) 45 (12.4%) of the 363 notifications during the period January 2017 to end of June 2019 did </w:t>
      </w:r>
      <w:r w:rsidRPr="00E52513">
        <w:rPr>
          <w:u w:val="single"/>
        </w:rPr>
        <w:t>not</w:t>
      </w:r>
      <w:r w:rsidRPr="00E52513">
        <w:t xml:space="preserve"> request assistance, and b) for many incident notifications, a request for assistance was received from more than one source, meaning more than one notification for a single incident is included.</w:t>
      </w:r>
      <w:r w:rsidR="00BB0116">
        <w:t xml:space="preserve"> </w:t>
      </w:r>
      <w:r w:rsidRPr="00E52513">
        <w:t>The most frequent ‘informant’ source of request for assistance was the family (63%), followed by service providers (39%) and community members (15%).</w:t>
      </w:r>
    </w:p>
    <w:p w14:paraId="3781B4FD" w14:textId="088FE114" w:rsidR="00540458" w:rsidRPr="00E52513" w:rsidRDefault="00540458" w:rsidP="00152634">
      <w:pPr>
        <w:pStyle w:val="Heading2"/>
      </w:pPr>
      <w:bookmarkStart w:id="51" w:name="_Toc36482260"/>
      <w:bookmarkStart w:id="52" w:name="_Toc54966627"/>
      <w:r w:rsidRPr="00E52513">
        <w:t>Response to notifications</w:t>
      </w:r>
      <w:bookmarkEnd w:id="51"/>
      <w:bookmarkEnd w:id="52"/>
    </w:p>
    <w:p w14:paraId="060923EF" w14:textId="143615DC" w:rsidR="00540458" w:rsidRPr="00E52513" w:rsidRDefault="00540458" w:rsidP="00540458">
      <w:pPr>
        <w:rPr>
          <w:b/>
          <w:bCs/>
          <w:color w:val="009CDA"/>
          <w:sz w:val="20"/>
          <w:szCs w:val="18"/>
        </w:rPr>
      </w:pPr>
      <w:r w:rsidRPr="00E52513">
        <w:t xml:space="preserve">As noted above, not all notifications involved seeking assistance. Additionally, not </w:t>
      </w:r>
      <w:r w:rsidR="006324D1" w:rsidRPr="00E52513">
        <w:t>all</w:t>
      </w:r>
      <w:r w:rsidRPr="00E52513">
        <w:t xml:space="preserve"> the incidents were responded to with an initial offer for assistance, as the matrix at Table 4 demonstrates. In 12.4% of cases an incident notification </w:t>
      </w:r>
      <w:r w:rsidRPr="00E52513">
        <w:rPr>
          <w:b/>
          <w:bCs/>
          <w:i/>
          <w:iCs/>
        </w:rPr>
        <w:t>was not</w:t>
      </w:r>
      <w:r w:rsidRPr="00E52513">
        <w:t xml:space="preserve"> accompanied by a request for assistance (although </w:t>
      </w:r>
      <w:r w:rsidR="00315C77" w:rsidRPr="00E52513">
        <w:t>a small</w:t>
      </w:r>
      <w:r w:rsidRPr="00E52513">
        <w:t xml:space="preserve"> proportion of these </w:t>
      </w:r>
      <w:r w:rsidR="00425EFF" w:rsidRPr="00E52513">
        <w:t>did</w:t>
      </w:r>
      <w:r w:rsidRPr="00E52513">
        <w:t xml:space="preserve"> subsequently receive support). In a further 12.4% of cases a request for assistance </w:t>
      </w:r>
      <w:r w:rsidRPr="00E52513">
        <w:rPr>
          <w:b/>
          <w:bCs/>
          <w:i/>
          <w:iCs/>
        </w:rPr>
        <w:t>was not</w:t>
      </w:r>
      <w:r w:rsidRPr="00E52513">
        <w:t xml:space="preserve"> responded to positively </w:t>
      </w:r>
      <w:r w:rsidR="00E179F6" w:rsidRPr="00E52513">
        <w:t>that is</w:t>
      </w:r>
      <w:r w:rsidRPr="00E52513">
        <w:t xml:space="preserve"> no assistance was offered.</w:t>
      </w:r>
    </w:p>
    <w:p w14:paraId="27B44006" w14:textId="3783C059" w:rsidR="00540458" w:rsidRPr="00E52513" w:rsidRDefault="00540458" w:rsidP="00540458">
      <w:pPr>
        <w:pStyle w:val="Caption"/>
        <w:keepNext/>
      </w:pPr>
      <w:r w:rsidRPr="00E52513">
        <w:lastRenderedPageBreak/>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4</w:t>
      </w:r>
      <w:r w:rsidR="00D97F39">
        <w:rPr>
          <w:noProof/>
        </w:rPr>
        <w:fldChar w:fldCharType="end"/>
      </w:r>
      <w:r w:rsidRPr="00E52513">
        <w:t>: Matrix of notifications vs assistance provided (n = 362)</w:t>
      </w:r>
    </w:p>
    <w:tbl>
      <w:tblPr>
        <w:tblStyle w:val="MediumGrid2-Accent6"/>
        <w:tblW w:w="0" w:type="auto"/>
        <w:jc w:val="center"/>
        <w:tblLook w:val="04A0" w:firstRow="1" w:lastRow="0" w:firstColumn="1" w:lastColumn="0" w:noHBand="0" w:noVBand="1"/>
        <w:tblCaption w:val="Matrix of notifications versus assistance provided"/>
        <w:tblDescription w:val="Assistance provided/requested 273;  Assistance provided/not requested 2; Assistance not provided/not requested 42; Assistance not provided/ requested 42"/>
      </w:tblPr>
      <w:tblGrid>
        <w:gridCol w:w="2552"/>
        <w:gridCol w:w="2618"/>
        <w:gridCol w:w="2618"/>
      </w:tblGrid>
      <w:tr w:rsidR="00540458" w:rsidRPr="00E52513" w14:paraId="7809B3E1"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552" w:type="dxa"/>
            <w:hideMark/>
          </w:tcPr>
          <w:p w14:paraId="4908E27F" w14:textId="77777777" w:rsidR="00540458" w:rsidRPr="00E52513" w:rsidRDefault="00540458" w:rsidP="005425A0">
            <w:pPr>
              <w:rPr>
                <w:rFonts w:cs="Segoe UI"/>
                <w:szCs w:val="22"/>
              </w:rPr>
            </w:pPr>
          </w:p>
        </w:tc>
        <w:tc>
          <w:tcPr>
            <w:tcW w:w="2618" w:type="dxa"/>
            <w:hideMark/>
          </w:tcPr>
          <w:p w14:paraId="74E60471" w14:textId="77777777" w:rsidR="00540458" w:rsidRPr="00E52513" w:rsidRDefault="00540458" w:rsidP="005425A0">
            <w:pPr>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szCs w:val="22"/>
                <w:lang w:eastAsia="en-AU"/>
              </w:rPr>
            </w:pPr>
            <w:r w:rsidRPr="00E52513">
              <w:rPr>
                <w:rFonts w:cs="Segoe UI"/>
                <w:szCs w:val="22"/>
                <w:lang w:eastAsia="en-AU"/>
              </w:rPr>
              <w:t>Assistance PROVIDED</w:t>
            </w:r>
          </w:p>
        </w:tc>
        <w:tc>
          <w:tcPr>
            <w:tcW w:w="2618" w:type="dxa"/>
            <w:hideMark/>
          </w:tcPr>
          <w:p w14:paraId="374548E1" w14:textId="77777777" w:rsidR="00540458" w:rsidRPr="00E52513" w:rsidRDefault="00540458" w:rsidP="005425A0">
            <w:pPr>
              <w:jc w:val="center"/>
              <w:cnfStyle w:val="100000000000" w:firstRow="1" w:lastRow="0" w:firstColumn="0" w:lastColumn="0" w:oddVBand="0" w:evenVBand="0" w:oddHBand="0" w:evenHBand="0" w:firstRowFirstColumn="0" w:firstRowLastColumn="0" w:lastRowFirstColumn="0" w:lastRowLastColumn="0"/>
              <w:rPr>
                <w:rFonts w:eastAsia="Times New Roman" w:cs="Segoe UI"/>
                <w:bCs w:val="0"/>
                <w:szCs w:val="22"/>
                <w:lang w:eastAsia="en-AU"/>
              </w:rPr>
            </w:pPr>
            <w:r w:rsidRPr="00E52513">
              <w:rPr>
                <w:rFonts w:cs="Segoe UI"/>
                <w:szCs w:val="22"/>
                <w:lang w:eastAsia="en-AU"/>
              </w:rPr>
              <w:t>Assistance NOT provided</w:t>
            </w:r>
          </w:p>
        </w:tc>
      </w:tr>
      <w:tr w:rsidR="00540458" w:rsidRPr="00E52513" w14:paraId="4B3C4043" w14:textId="77777777" w:rsidTr="000473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hideMark/>
          </w:tcPr>
          <w:p w14:paraId="2746BE45" w14:textId="77777777" w:rsidR="00540458" w:rsidRPr="00E52513" w:rsidRDefault="00540458" w:rsidP="005425A0">
            <w:pPr>
              <w:rPr>
                <w:rFonts w:eastAsia="Times New Roman" w:cs="Segoe UI"/>
                <w:bCs w:val="0"/>
                <w:color w:val="auto"/>
                <w:szCs w:val="22"/>
                <w:lang w:eastAsia="en-AU"/>
              </w:rPr>
            </w:pPr>
            <w:r w:rsidRPr="00E52513">
              <w:rPr>
                <w:rFonts w:cs="Segoe UI"/>
                <w:szCs w:val="22"/>
                <w:lang w:eastAsia="en-AU"/>
              </w:rPr>
              <w:t>Advocate assistance NOT requested</w:t>
            </w:r>
          </w:p>
        </w:tc>
        <w:tc>
          <w:tcPr>
            <w:tcW w:w="2618" w:type="dxa"/>
            <w:hideMark/>
          </w:tcPr>
          <w:p w14:paraId="5FFE1689" w14:textId="77777777" w:rsidR="00540458" w:rsidRPr="00E52513" w:rsidRDefault="00540458" w:rsidP="005425A0">
            <w:pPr>
              <w:jc w:val="center"/>
              <w:cnfStyle w:val="000000100000" w:firstRow="0" w:lastRow="0" w:firstColumn="0" w:lastColumn="0" w:oddVBand="0" w:evenVBand="0" w:oddHBand="1" w:evenHBand="0" w:firstRowFirstColumn="0" w:firstRowLastColumn="0" w:lastRowFirstColumn="0" w:lastRowLastColumn="0"/>
              <w:rPr>
                <w:rFonts w:eastAsia="Times New Roman" w:cs="Segoe UI"/>
                <w:color w:val="auto"/>
                <w:szCs w:val="22"/>
                <w:lang w:eastAsia="en-AU"/>
              </w:rPr>
            </w:pPr>
            <w:r w:rsidRPr="00E52513">
              <w:rPr>
                <w:rFonts w:cs="Segoe UI"/>
                <w:szCs w:val="22"/>
                <w:lang w:eastAsia="en-AU"/>
              </w:rPr>
              <w:t>2 (0.5%)</w:t>
            </w:r>
          </w:p>
        </w:tc>
        <w:tc>
          <w:tcPr>
            <w:tcW w:w="2618" w:type="dxa"/>
            <w:hideMark/>
          </w:tcPr>
          <w:p w14:paraId="31B36BD3" w14:textId="77777777" w:rsidR="00540458" w:rsidRPr="00E52513" w:rsidRDefault="00540458" w:rsidP="005425A0">
            <w:pPr>
              <w:jc w:val="center"/>
              <w:cnfStyle w:val="000000100000" w:firstRow="0" w:lastRow="0" w:firstColumn="0" w:lastColumn="0" w:oddVBand="0" w:evenVBand="0" w:oddHBand="1" w:evenHBand="0" w:firstRowFirstColumn="0" w:firstRowLastColumn="0" w:lastRowFirstColumn="0" w:lastRowLastColumn="0"/>
              <w:rPr>
                <w:rFonts w:eastAsia="Times New Roman" w:cs="Segoe UI"/>
                <w:color w:val="auto"/>
                <w:szCs w:val="22"/>
                <w:lang w:eastAsia="en-AU"/>
              </w:rPr>
            </w:pPr>
            <w:r w:rsidRPr="00E52513">
              <w:rPr>
                <w:rFonts w:cs="Segoe UI"/>
                <w:szCs w:val="22"/>
                <w:lang w:eastAsia="en-AU"/>
              </w:rPr>
              <w:t>42 (11.6%)</w:t>
            </w:r>
          </w:p>
        </w:tc>
      </w:tr>
      <w:tr w:rsidR="00540458" w:rsidRPr="00E52513" w14:paraId="4BC6A22D" w14:textId="77777777" w:rsidTr="0004737F">
        <w:trPr>
          <w:jc w:val="center"/>
        </w:trPr>
        <w:tc>
          <w:tcPr>
            <w:cnfStyle w:val="001000000000" w:firstRow="0" w:lastRow="0" w:firstColumn="1" w:lastColumn="0" w:oddVBand="0" w:evenVBand="0" w:oddHBand="0" w:evenHBand="0" w:firstRowFirstColumn="0" w:firstRowLastColumn="0" w:lastRowFirstColumn="0" w:lastRowLastColumn="0"/>
            <w:tcW w:w="2552" w:type="dxa"/>
            <w:hideMark/>
          </w:tcPr>
          <w:p w14:paraId="617A3689" w14:textId="77777777" w:rsidR="00540458" w:rsidRPr="00E52513" w:rsidRDefault="00540458" w:rsidP="005425A0">
            <w:pPr>
              <w:rPr>
                <w:rFonts w:eastAsia="Times New Roman" w:cs="Segoe UI"/>
                <w:color w:val="auto"/>
                <w:szCs w:val="22"/>
                <w:lang w:eastAsia="en-AU"/>
              </w:rPr>
            </w:pPr>
            <w:r w:rsidRPr="00E52513">
              <w:rPr>
                <w:rFonts w:cs="Segoe UI"/>
                <w:szCs w:val="22"/>
                <w:lang w:eastAsia="en-AU"/>
              </w:rPr>
              <w:t>Advocate assistance REQUESTED</w:t>
            </w:r>
          </w:p>
        </w:tc>
        <w:tc>
          <w:tcPr>
            <w:tcW w:w="2618" w:type="dxa"/>
            <w:hideMark/>
          </w:tcPr>
          <w:p w14:paraId="288B0AB3" w14:textId="77777777" w:rsidR="00540458" w:rsidRPr="00E52513" w:rsidRDefault="00540458" w:rsidP="005425A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auto"/>
                <w:szCs w:val="22"/>
                <w:lang w:eastAsia="en-AU"/>
              </w:rPr>
            </w:pPr>
            <w:r w:rsidRPr="00E52513">
              <w:rPr>
                <w:rFonts w:cs="Segoe UI"/>
                <w:szCs w:val="22"/>
                <w:lang w:eastAsia="en-AU"/>
              </w:rPr>
              <w:t>273 (75.4%)</w:t>
            </w:r>
          </w:p>
        </w:tc>
        <w:tc>
          <w:tcPr>
            <w:tcW w:w="2618" w:type="dxa"/>
            <w:hideMark/>
          </w:tcPr>
          <w:p w14:paraId="79264233" w14:textId="77777777" w:rsidR="00540458" w:rsidRPr="00E52513" w:rsidRDefault="00540458" w:rsidP="005425A0">
            <w:pPr>
              <w:jc w:val="center"/>
              <w:cnfStyle w:val="000000000000" w:firstRow="0" w:lastRow="0" w:firstColumn="0" w:lastColumn="0" w:oddVBand="0" w:evenVBand="0" w:oddHBand="0" w:evenHBand="0" w:firstRowFirstColumn="0" w:firstRowLastColumn="0" w:lastRowFirstColumn="0" w:lastRowLastColumn="0"/>
              <w:rPr>
                <w:rFonts w:eastAsia="Times New Roman" w:cs="Segoe UI"/>
                <w:color w:val="auto"/>
                <w:szCs w:val="22"/>
                <w:lang w:eastAsia="en-AU"/>
              </w:rPr>
            </w:pPr>
            <w:r w:rsidRPr="00E52513">
              <w:rPr>
                <w:rFonts w:cs="Segoe UI"/>
                <w:szCs w:val="22"/>
                <w:lang w:eastAsia="en-AU"/>
              </w:rPr>
              <w:t>45 (12.4%)</w:t>
            </w:r>
          </w:p>
        </w:tc>
      </w:tr>
    </w:tbl>
    <w:p w14:paraId="1E4877BC" w14:textId="77777777" w:rsidR="00540458" w:rsidRPr="00E52513" w:rsidRDefault="00540458" w:rsidP="00540458">
      <w:pPr>
        <w:rPr>
          <w:rFonts w:asciiTheme="minorHAnsi" w:eastAsiaTheme="minorHAnsi" w:hAnsiTheme="minorHAnsi" w:cstheme="minorBidi"/>
          <w:szCs w:val="22"/>
        </w:rPr>
      </w:pPr>
    </w:p>
    <w:p w14:paraId="6586B03C" w14:textId="7412DEE8" w:rsidR="00AD7328" w:rsidRPr="00E52513" w:rsidRDefault="00540458" w:rsidP="00540458">
      <w:pPr>
        <w:rPr>
          <w:rFonts w:eastAsiaTheme="minorHAnsi"/>
        </w:rPr>
      </w:pPr>
      <w:r w:rsidRPr="00E52513">
        <w:rPr>
          <w:rFonts w:eastAsiaTheme="minorHAnsi"/>
        </w:rPr>
        <w:t>In order to determine whether a response to requested assistance is provided or not, each incident is classified according to whether it lies within the scope of NICRS practice.</w:t>
      </w:r>
    </w:p>
    <w:p w14:paraId="5D26238A" w14:textId="7B23D040" w:rsidR="00540458" w:rsidRPr="00E52513" w:rsidRDefault="00540458" w:rsidP="00540458">
      <w:pPr>
        <w:rPr>
          <w:rFonts w:eastAsiaTheme="minorHAnsi"/>
        </w:rPr>
      </w:pPr>
      <w:r w:rsidRPr="00E52513">
        <w:rPr>
          <w:rFonts w:eastAsiaTheme="minorHAnsi"/>
        </w:rPr>
        <w:t>Inclusion criteria include (HMA, 2020):</w:t>
      </w:r>
    </w:p>
    <w:p w14:paraId="1B2E4079" w14:textId="402F5AB1" w:rsidR="00540458" w:rsidRPr="00E52513" w:rsidRDefault="00540458" w:rsidP="00BB0C58">
      <w:pPr>
        <w:pStyle w:val="ListParagraph"/>
        <w:numPr>
          <w:ilvl w:val="0"/>
          <w:numId w:val="15"/>
        </w:numPr>
        <w:rPr>
          <w:rFonts w:eastAsiaTheme="minorHAnsi"/>
        </w:rPr>
      </w:pPr>
      <w:r w:rsidRPr="00E52513">
        <w:rPr>
          <w:rFonts w:eastAsiaTheme="minorHAnsi"/>
        </w:rPr>
        <w:t>concerns family members may be at height</w:t>
      </w:r>
      <w:r w:rsidR="004527DA" w:rsidRPr="00E52513">
        <w:rPr>
          <w:rFonts w:eastAsiaTheme="minorHAnsi"/>
        </w:rPr>
        <w:t>en</w:t>
      </w:r>
      <w:r w:rsidRPr="00E52513">
        <w:rPr>
          <w:rFonts w:eastAsiaTheme="minorHAnsi"/>
        </w:rPr>
        <w:t>ed risk of suicide, e.g. they have lost family to suicide previously or suffer from mental illness</w:t>
      </w:r>
    </w:p>
    <w:p w14:paraId="586C258B" w14:textId="77777777" w:rsidR="00540458" w:rsidRPr="00E52513" w:rsidRDefault="00540458" w:rsidP="00BB0C58">
      <w:pPr>
        <w:pStyle w:val="ListParagraph"/>
        <w:numPr>
          <w:ilvl w:val="0"/>
          <w:numId w:val="15"/>
        </w:numPr>
        <w:rPr>
          <w:rFonts w:eastAsiaTheme="minorHAnsi"/>
        </w:rPr>
      </w:pPr>
      <w:r w:rsidRPr="00E52513">
        <w:rPr>
          <w:rFonts w:eastAsiaTheme="minorHAnsi"/>
        </w:rPr>
        <w:t>the event involves the accidental or sudden death of a child under the age of 18</w:t>
      </w:r>
    </w:p>
    <w:p w14:paraId="47E91931" w14:textId="77777777" w:rsidR="00540458" w:rsidRPr="00E52513" w:rsidRDefault="00540458" w:rsidP="00BB0C58">
      <w:pPr>
        <w:pStyle w:val="ListParagraph"/>
        <w:numPr>
          <w:ilvl w:val="0"/>
          <w:numId w:val="15"/>
        </w:numPr>
        <w:rPr>
          <w:rFonts w:eastAsiaTheme="minorHAnsi"/>
        </w:rPr>
      </w:pPr>
      <w:r w:rsidRPr="00E52513">
        <w:rPr>
          <w:rFonts w:eastAsiaTheme="minorHAnsi"/>
        </w:rPr>
        <w:t>there is a lack of services in the community able to provide support to individuals or family</w:t>
      </w:r>
    </w:p>
    <w:p w14:paraId="54784285" w14:textId="566E6BF6" w:rsidR="00540458" w:rsidRPr="00E52513" w:rsidRDefault="00540458" w:rsidP="00BB0C58">
      <w:pPr>
        <w:pStyle w:val="ListParagraph"/>
        <w:numPr>
          <w:ilvl w:val="0"/>
          <w:numId w:val="15"/>
        </w:numPr>
        <w:rPr>
          <w:rFonts w:eastAsiaTheme="minorHAnsi"/>
        </w:rPr>
      </w:pPr>
      <w:r w:rsidRPr="00E52513">
        <w:rPr>
          <w:rFonts w:eastAsiaTheme="minorHAnsi"/>
        </w:rPr>
        <w:t>there is significant media interest in the event, which may place significant pressure on the family, and cause “shame” to the family, which may heighten the risk of suicide</w:t>
      </w:r>
    </w:p>
    <w:p w14:paraId="249CBA5D" w14:textId="76E6DB4D" w:rsidR="00540458" w:rsidRPr="00E52513" w:rsidRDefault="00540458" w:rsidP="00C63DDF">
      <w:pPr>
        <w:pStyle w:val="ListParagraph"/>
        <w:numPr>
          <w:ilvl w:val="0"/>
          <w:numId w:val="15"/>
        </w:numPr>
        <w:spacing w:after="240"/>
        <w:rPr>
          <w:rFonts w:eastAsiaTheme="minorHAnsi"/>
        </w:rPr>
      </w:pPr>
      <w:proofErr w:type="gramStart"/>
      <w:r w:rsidRPr="00E52513">
        <w:rPr>
          <w:rFonts w:eastAsiaTheme="minorHAnsi"/>
        </w:rPr>
        <w:t>there</w:t>
      </w:r>
      <w:proofErr w:type="gramEnd"/>
      <w:r w:rsidRPr="00E52513">
        <w:rPr>
          <w:rFonts w:eastAsiaTheme="minorHAnsi"/>
        </w:rPr>
        <w:t xml:space="preserve"> is a high risk of vicarious trauma given the suicide or event occurred in a public place</w:t>
      </w:r>
      <w:r w:rsidR="004527DA" w:rsidRPr="00E52513">
        <w:rPr>
          <w:rFonts w:eastAsiaTheme="minorHAnsi"/>
        </w:rPr>
        <w:t>.</w:t>
      </w:r>
    </w:p>
    <w:p w14:paraId="2BA657A8" w14:textId="77777777" w:rsidR="00540458" w:rsidRPr="00E52513" w:rsidRDefault="00540458" w:rsidP="00540458">
      <w:pPr>
        <w:rPr>
          <w:rFonts w:eastAsiaTheme="minorHAnsi"/>
        </w:rPr>
      </w:pPr>
      <w:r w:rsidRPr="00E52513">
        <w:rPr>
          <w:rFonts w:eastAsiaTheme="minorHAnsi"/>
        </w:rPr>
        <w:t>Incidents may be considered out of scope if:</w:t>
      </w:r>
    </w:p>
    <w:p w14:paraId="277D81A7" w14:textId="68F45037" w:rsidR="00540458" w:rsidRPr="00E52513" w:rsidRDefault="00ED7281" w:rsidP="00BB0C58">
      <w:pPr>
        <w:pStyle w:val="ListParagraph"/>
        <w:numPr>
          <w:ilvl w:val="0"/>
          <w:numId w:val="14"/>
        </w:numPr>
        <w:rPr>
          <w:rFonts w:eastAsiaTheme="minorHAnsi"/>
        </w:rPr>
      </w:pPr>
      <w:r w:rsidRPr="00E52513">
        <w:rPr>
          <w:rFonts w:eastAsiaTheme="minorHAnsi"/>
        </w:rPr>
        <w:t>t</w:t>
      </w:r>
      <w:r w:rsidR="00540458" w:rsidRPr="00E52513">
        <w:rPr>
          <w:rFonts w:eastAsiaTheme="minorHAnsi"/>
        </w:rPr>
        <w:t xml:space="preserve">he incident was not a suicide or a </w:t>
      </w:r>
      <w:r w:rsidR="00C63DDF">
        <w:rPr>
          <w:rFonts w:eastAsiaTheme="minorHAnsi"/>
        </w:rPr>
        <w:t xml:space="preserve">non-fatal </w:t>
      </w:r>
      <w:r w:rsidR="00540458" w:rsidRPr="00E52513">
        <w:rPr>
          <w:rFonts w:eastAsiaTheme="minorHAnsi"/>
        </w:rPr>
        <w:t>traumatic event</w:t>
      </w:r>
      <w:r w:rsidR="00C63DDF">
        <w:rPr>
          <w:rStyle w:val="FootnoteReference"/>
          <w:rFonts w:eastAsiaTheme="minorHAnsi"/>
        </w:rPr>
        <w:footnoteReference w:id="8"/>
      </w:r>
    </w:p>
    <w:p w14:paraId="14E3B14C" w14:textId="7C887091" w:rsidR="00540458" w:rsidRPr="00E52513" w:rsidRDefault="00ED7281" w:rsidP="00BB0C58">
      <w:pPr>
        <w:pStyle w:val="ListParagraph"/>
        <w:numPr>
          <w:ilvl w:val="0"/>
          <w:numId w:val="14"/>
        </w:numPr>
        <w:rPr>
          <w:rFonts w:eastAsiaTheme="minorHAnsi"/>
        </w:rPr>
      </w:pPr>
      <w:r w:rsidRPr="00E52513">
        <w:rPr>
          <w:rFonts w:eastAsiaTheme="minorHAnsi"/>
        </w:rPr>
        <w:t>n</w:t>
      </w:r>
      <w:r w:rsidR="00540458" w:rsidRPr="00E52513">
        <w:rPr>
          <w:rFonts w:eastAsiaTheme="minorHAnsi"/>
        </w:rPr>
        <w:t>either the deceased or any of the potential clients</w:t>
      </w:r>
      <w:r w:rsidR="004527DA" w:rsidRPr="00E52513">
        <w:rPr>
          <w:rFonts w:eastAsiaTheme="minorHAnsi"/>
        </w:rPr>
        <w:t>,</w:t>
      </w:r>
      <w:r w:rsidR="00540458" w:rsidRPr="00E52513">
        <w:rPr>
          <w:rFonts w:eastAsiaTheme="minorHAnsi"/>
        </w:rPr>
        <w:t xml:space="preserve"> including their children</w:t>
      </w:r>
      <w:r w:rsidR="004527DA" w:rsidRPr="00E52513">
        <w:rPr>
          <w:rFonts w:eastAsiaTheme="minorHAnsi"/>
        </w:rPr>
        <w:t>,</w:t>
      </w:r>
      <w:r w:rsidR="00540458" w:rsidRPr="00E52513">
        <w:rPr>
          <w:rFonts w:eastAsiaTheme="minorHAnsi"/>
        </w:rPr>
        <w:t xml:space="preserve"> identify as an Aboriginal and</w:t>
      </w:r>
      <w:r w:rsidR="00B319AC" w:rsidRPr="00E52513">
        <w:rPr>
          <w:rFonts w:eastAsiaTheme="minorHAnsi"/>
        </w:rPr>
        <w:t>/or</w:t>
      </w:r>
      <w:r w:rsidR="00540458" w:rsidRPr="00E52513">
        <w:rPr>
          <w:rFonts w:eastAsiaTheme="minorHAnsi"/>
        </w:rPr>
        <w:t xml:space="preserve"> Torres Strait Islander person</w:t>
      </w:r>
    </w:p>
    <w:p w14:paraId="7E156AFA" w14:textId="703E970C" w:rsidR="00540458" w:rsidRPr="00E52513" w:rsidRDefault="00ED7281" w:rsidP="00C63DDF">
      <w:pPr>
        <w:pStyle w:val="ListParagraph"/>
        <w:numPr>
          <w:ilvl w:val="0"/>
          <w:numId w:val="14"/>
        </w:numPr>
        <w:spacing w:after="240"/>
        <w:rPr>
          <w:rFonts w:eastAsiaTheme="minorHAnsi"/>
        </w:rPr>
      </w:pPr>
      <w:proofErr w:type="gramStart"/>
      <w:r w:rsidRPr="00E52513">
        <w:rPr>
          <w:rFonts w:eastAsiaTheme="minorHAnsi"/>
        </w:rPr>
        <w:t>t</w:t>
      </w:r>
      <w:r w:rsidR="00540458" w:rsidRPr="00E52513">
        <w:rPr>
          <w:rFonts w:eastAsiaTheme="minorHAnsi"/>
        </w:rPr>
        <w:t>he</w:t>
      </w:r>
      <w:proofErr w:type="gramEnd"/>
      <w:r w:rsidR="00540458" w:rsidRPr="00E52513">
        <w:rPr>
          <w:rFonts w:eastAsiaTheme="minorHAnsi"/>
        </w:rPr>
        <w:t xml:space="preserve"> incident relates to a murder, domestic violence or sexual assault as other services are available to support family members</w:t>
      </w:r>
      <w:r w:rsidR="004527DA" w:rsidRPr="00E52513">
        <w:rPr>
          <w:rFonts w:eastAsiaTheme="minorHAnsi"/>
        </w:rPr>
        <w:t>.</w:t>
      </w:r>
    </w:p>
    <w:p w14:paraId="16B5E5C5" w14:textId="52A7E487" w:rsidR="00540458" w:rsidRPr="00E52513" w:rsidRDefault="00540458" w:rsidP="00540458">
      <w:r w:rsidRPr="00E52513">
        <w:t xml:space="preserve">As noted in Table </w:t>
      </w:r>
      <w:r w:rsidR="000F66D0" w:rsidRPr="00E52513">
        <w:t>4</w:t>
      </w:r>
      <w:r w:rsidRPr="00E52513">
        <w:t xml:space="preserve"> above, 76% of incidents received a service </w:t>
      </w:r>
      <w:r w:rsidR="006324D1" w:rsidRPr="00E52513">
        <w:t>and, had</w:t>
      </w:r>
      <w:r w:rsidRPr="00E52513">
        <w:t xml:space="preserve"> therefore been considered ‘in</w:t>
      </w:r>
      <w:r w:rsidR="00D73661" w:rsidRPr="00E52513">
        <w:t>-</w:t>
      </w:r>
      <w:r w:rsidRPr="00E52513">
        <w:t>scope’</w:t>
      </w:r>
      <w:r w:rsidR="00BD6C0F">
        <w:rPr>
          <w:rStyle w:val="FootnoteReference"/>
        </w:rPr>
        <w:footnoteReference w:id="9"/>
      </w:r>
      <w:r w:rsidRPr="00E52513">
        <w:t xml:space="preserve"> </w:t>
      </w:r>
      <w:r w:rsidRPr="00E52513">
        <w:rPr>
          <w:rFonts w:eastAsiaTheme="majorEastAsia"/>
        </w:rPr>
        <w:t xml:space="preserve">by NICRS staff. </w:t>
      </w:r>
      <w:r w:rsidR="004527DA" w:rsidRPr="00E52513">
        <w:t>A</w:t>
      </w:r>
      <w:r w:rsidRPr="00E52513">
        <w:t>n analysis of ‘cleaned’ 2018 NICRS ORS data</w:t>
      </w:r>
      <w:r w:rsidR="004527DA" w:rsidRPr="00E52513">
        <w:t xml:space="preserve"> (</w:t>
      </w:r>
      <w:r w:rsidRPr="00E52513">
        <w:t>HMA</w:t>
      </w:r>
      <w:r w:rsidR="004527DA" w:rsidRPr="00E52513">
        <w:t xml:space="preserve">, </w:t>
      </w:r>
      <w:r w:rsidRPr="00E52513">
        <w:t xml:space="preserve">2020) found </w:t>
      </w:r>
      <w:r w:rsidR="007247D5" w:rsidRPr="00E52513">
        <w:t xml:space="preserve">that </w:t>
      </w:r>
      <w:r w:rsidRPr="00E52513">
        <w:t>the proportion of ‘in</w:t>
      </w:r>
      <w:r w:rsidR="00D73661" w:rsidRPr="00E52513">
        <w:t>-</w:t>
      </w:r>
      <w:r w:rsidRPr="00E52513">
        <w:t xml:space="preserve">scope’ incidents </w:t>
      </w:r>
      <w:r w:rsidR="007247D5" w:rsidRPr="00E52513">
        <w:t>was</w:t>
      </w:r>
      <w:r w:rsidRPr="00E52513">
        <w:t xml:space="preserve"> 69%. The authors noted, though, that a number (indeed 17%) </w:t>
      </w:r>
      <w:r w:rsidRPr="00E52513">
        <w:lastRenderedPageBreak/>
        <w:t>of cases (namely, those incidents for which a service is eventually provided – see further detail below) involved incidents that had previously been designated ‘out of scope’ in the ORS.</w:t>
      </w:r>
    </w:p>
    <w:p w14:paraId="5B3C6E3D" w14:textId="368EB9F6" w:rsidR="00540458" w:rsidRPr="00E52513" w:rsidRDefault="00540458" w:rsidP="00E654C2">
      <w:pPr>
        <w:spacing w:after="360"/>
      </w:pPr>
      <w:r w:rsidRPr="00E52513">
        <w:t xml:space="preserve">Table </w:t>
      </w:r>
      <w:r w:rsidR="00AD7328" w:rsidRPr="00E52513">
        <w:t>5</w:t>
      </w:r>
      <w:r w:rsidRPr="00E52513">
        <w:t xml:space="preserve"> shows that incidents of completed suicide were those most likely to be </w:t>
      </w:r>
      <w:r w:rsidR="00425EFF" w:rsidRPr="00E52513">
        <w:t>aided</w:t>
      </w:r>
      <w:r w:rsidRPr="00E52513">
        <w:t xml:space="preserve"> (i.e. in nine out of every </w:t>
      </w:r>
      <w:r w:rsidR="00E179F6" w:rsidRPr="00E52513">
        <w:t>10</w:t>
      </w:r>
      <w:r w:rsidRPr="00E52513">
        <w:t xml:space="preserve"> cases), while other types of incident were slightly less likely to receive assistance.</w:t>
      </w:r>
    </w:p>
    <w:p w14:paraId="072A1864" w14:textId="348031D4" w:rsidR="00540458" w:rsidRPr="00E52513" w:rsidRDefault="00540458" w:rsidP="00E654C2">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5</w:t>
      </w:r>
      <w:r w:rsidR="00D97F39">
        <w:rPr>
          <w:noProof/>
        </w:rPr>
        <w:fldChar w:fldCharType="end"/>
      </w:r>
      <w:r w:rsidRPr="00E52513">
        <w:t>: Distribution of advocate assistance provided by type of incident</w:t>
      </w:r>
    </w:p>
    <w:tbl>
      <w:tblPr>
        <w:tblStyle w:val="MediumGrid2-Accent6"/>
        <w:tblW w:w="8886" w:type="dxa"/>
        <w:jc w:val="center"/>
        <w:tblLook w:val="0420" w:firstRow="1" w:lastRow="0" w:firstColumn="0" w:lastColumn="0" w:noHBand="0" w:noVBand="1"/>
        <w:tblCaption w:val="Distribution of advocate assistance"/>
        <w:tblDescription w:val="Attempted suicide - provided 36, not prov 9; compelted suicide - provided 172, not prov 21; other trauma involving death - provided 41, not prov 11; other trauma not involving death - provided 24, not prov 4."/>
      </w:tblPr>
      <w:tblGrid>
        <w:gridCol w:w="1822"/>
        <w:gridCol w:w="1537"/>
        <w:gridCol w:w="1564"/>
        <w:gridCol w:w="1908"/>
        <w:gridCol w:w="2055"/>
      </w:tblGrid>
      <w:tr w:rsidR="00C90E4C" w:rsidRPr="00E52513" w14:paraId="6702D806"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1822" w:type="dxa"/>
            <w:tcBorders>
              <w:bottom w:val="single" w:sz="4" w:space="0" w:color="E36C0A" w:themeColor="accent6" w:themeShade="BF"/>
            </w:tcBorders>
            <w:hideMark/>
          </w:tcPr>
          <w:p w14:paraId="74F6712B" w14:textId="5E89E00B" w:rsidR="00C90E4C" w:rsidRPr="00E52513" w:rsidRDefault="00C90E4C" w:rsidP="005425A0">
            <w:pPr>
              <w:rPr>
                <w:rFonts w:eastAsia="Times New Roman"/>
                <w:bCs w:val="0"/>
                <w:lang w:eastAsia="en-AU"/>
              </w:rPr>
            </w:pPr>
            <w:r w:rsidRPr="00E52513">
              <w:rPr>
                <w:lang w:eastAsia="en-AU"/>
              </w:rPr>
              <w:t xml:space="preserve">CRSA assistance </w:t>
            </w:r>
          </w:p>
        </w:tc>
        <w:tc>
          <w:tcPr>
            <w:tcW w:w="0" w:type="auto"/>
            <w:tcBorders>
              <w:right w:val="single" w:sz="4" w:space="0" w:color="E36C0A" w:themeColor="accent6" w:themeShade="BF"/>
            </w:tcBorders>
            <w:hideMark/>
          </w:tcPr>
          <w:p w14:paraId="1C2684AB" w14:textId="477BC988" w:rsidR="00C90E4C" w:rsidRPr="00E52513" w:rsidRDefault="00C90E4C" w:rsidP="005425A0">
            <w:pPr>
              <w:jc w:val="center"/>
              <w:rPr>
                <w:b w:val="0"/>
                <w:lang w:eastAsia="en-AU"/>
              </w:rPr>
            </w:pPr>
          </w:p>
        </w:tc>
        <w:tc>
          <w:tcPr>
            <w:tcW w:w="0" w:type="auto"/>
            <w:tcBorders>
              <w:left w:val="single" w:sz="4" w:space="0" w:color="E36C0A" w:themeColor="accent6" w:themeShade="BF"/>
              <w:right w:val="single" w:sz="4" w:space="0" w:color="E36C0A" w:themeColor="accent6" w:themeShade="BF"/>
            </w:tcBorders>
          </w:tcPr>
          <w:p w14:paraId="0CBC504B" w14:textId="72EF384D" w:rsidR="00C90E4C" w:rsidRPr="00E52513" w:rsidRDefault="00C90E4C" w:rsidP="005425A0">
            <w:pPr>
              <w:jc w:val="center"/>
              <w:rPr>
                <w:b w:val="0"/>
                <w:lang w:eastAsia="en-AU"/>
              </w:rPr>
            </w:pPr>
            <w:r w:rsidRPr="00E52513">
              <w:rPr>
                <w:lang w:eastAsia="en-AU"/>
              </w:rPr>
              <w:t>Type of incident</w:t>
            </w:r>
          </w:p>
        </w:tc>
        <w:tc>
          <w:tcPr>
            <w:tcW w:w="0" w:type="auto"/>
            <w:tcBorders>
              <w:left w:val="single" w:sz="4" w:space="0" w:color="E36C0A" w:themeColor="accent6" w:themeShade="BF"/>
              <w:right w:val="single" w:sz="4" w:space="0" w:color="E36C0A" w:themeColor="accent6" w:themeShade="BF"/>
            </w:tcBorders>
          </w:tcPr>
          <w:p w14:paraId="2F60FB41" w14:textId="77777777" w:rsidR="00C90E4C" w:rsidRPr="00E52513" w:rsidRDefault="00C90E4C" w:rsidP="005425A0">
            <w:pPr>
              <w:jc w:val="center"/>
              <w:rPr>
                <w:b w:val="0"/>
                <w:lang w:eastAsia="en-AU"/>
              </w:rPr>
            </w:pPr>
          </w:p>
        </w:tc>
        <w:tc>
          <w:tcPr>
            <w:tcW w:w="0" w:type="auto"/>
            <w:tcBorders>
              <w:left w:val="single" w:sz="4" w:space="0" w:color="E36C0A" w:themeColor="accent6" w:themeShade="BF"/>
            </w:tcBorders>
          </w:tcPr>
          <w:p w14:paraId="2D606B58" w14:textId="2A5864FA" w:rsidR="00C90E4C" w:rsidRPr="00E52513" w:rsidRDefault="00C90E4C" w:rsidP="005425A0">
            <w:pPr>
              <w:jc w:val="center"/>
              <w:rPr>
                <w:rFonts w:eastAsia="Times New Roman"/>
                <w:bCs w:val="0"/>
                <w:lang w:eastAsia="en-AU"/>
              </w:rPr>
            </w:pPr>
          </w:p>
        </w:tc>
      </w:tr>
      <w:tr w:rsidR="00540458" w:rsidRPr="00E52513" w14:paraId="50F32211" w14:textId="77777777" w:rsidTr="00C90E4C">
        <w:trPr>
          <w:cnfStyle w:val="000000100000" w:firstRow="0" w:lastRow="0" w:firstColumn="0" w:lastColumn="0" w:oddVBand="0" w:evenVBand="0" w:oddHBand="1" w:evenHBand="0" w:firstRowFirstColumn="0" w:firstRowLastColumn="0" w:lastRowFirstColumn="0" w:lastRowLastColumn="0"/>
          <w:jc w:val="center"/>
        </w:trPr>
        <w:tc>
          <w:tcPr>
            <w:tcW w:w="1822" w:type="dxa"/>
            <w:tcBorders>
              <w:top w:val="single" w:sz="4" w:space="0" w:color="E36C0A" w:themeColor="accent6" w:themeShade="BF"/>
            </w:tcBorders>
            <w:shd w:val="clear" w:color="auto" w:fill="E46C0A"/>
            <w:hideMark/>
          </w:tcPr>
          <w:p w14:paraId="73263BD6" w14:textId="77777777" w:rsidR="00540458" w:rsidRPr="00E52513" w:rsidRDefault="00540458" w:rsidP="005425A0">
            <w:pPr>
              <w:rPr>
                <w:rFonts w:eastAsia="Times New Roman"/>
                <w:szCs w:val="22"/>
                <w:lang w:eastAsia="en-AU"/>
              </w:rPr>
            </w:pPr>
          </w:p>
        </w:tc>
        <w:tc>
          <w:tcPr>
            <w:tcW w:w="0" w:type="auto"/>
            <w:hideMark/>
          </w:tcPr>
          <w:p w14:paraId="1CD282E5"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Attempted suicide</w:t>
            </w:r>
          </w:p>
        </w:tc>
        <w:tc>
          <w:tcPr>
            <w:tcW w:w="0" w:type="auto"/>
            <w:hideMark/>
          </w:tcPr>
          <w:p w14:paraId="52F4524C"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Completed suicide</w:t>
            </w:r>
          </w:p>
        </w:tc>
        <w:tc>
          <w:tcPr>
            <w:tcW w:w="0" w:type="auto"/>
            <w:hideMark/>
          </w:tcPr>
          <w:p w14:paraId="020615EA"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Other trauma involving a death</w:t>
            </w:r>
          </w:p>
        </w:tc>
        <w:tc>
          <w:tcPr>
            <w:tcW w:w="0" w:type="auto"/>
            <w:hideMark/>
          </w:tcPr>
          <w:p w14:paraId="3E835F7D"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Other trauma not involving a death</w:t>
            </w:r>
          </w:p>
        </w:tc>
      </w:tr>
      <w:tr w:rsidR="00540458" w:rsidRPr="00E52513" w14:paraId="7EC4F701" w14:textId="77777777" w:rsidTr="00C90E4C">
        <w:trPr>
          <w:jc w:val="center"/>
        </w:trPr>
        <w:tc>
          <w:tcPr>
            <w:tcW w:w="1822" w:type="dxa"/>
            <w:hideMark/>
          </w:tcPr>
          <w:p w14:paraId="1A6EC6FC" w14:textId="77777777" w:rsidR="00540458" w:rsidRPr="00E52513" w:rsidRDefault="00540458" w:rsidP="005425A0">
            <w:pPr>
              <w:rPr>
                <w:rFonts w:eastAsia="Times New Roman"/>
                <w:b/>
                <w:szCs w:val="22"/>
                <w:lang w:eastAsia="en-AU"/>
              </w:rPr>
            </w:pPr>
            <w:r w:rsidRPr="00E52513">
              <w:rPr>
                <w:b/>
                <w:lang w:eastAsia="en-AU"/>
              </w:rPr>
              <w:t xml:space="preserve">PROVIDED </w:t>
            </w:r>
          </w:p>
        </w:tc>
        <w:tc>
          <w:tcPr>
            <w:tcW w:w="0" w:type="auto"/>
            <w:hideMark/>
          </w:tcPr>
          <w:p w14:paraId="26D47F19"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36 (80.0%)</w:t>
            </w:r>
          </w:p>
        </w:tc>
        <w:tc>
          <w:tcPr>
            <w:tcW w:w="0" w:type="auto"/>
            <w:hideMark/>
          </w:tcPr>
          <w:p w14:paraId="411CBBD9"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172 (89.1%)</w:t>
            </w:r>
          </w:p>
        </w:tc>
        <w:tc>
          <w:tcPr>
            <w:tcW w:w="0" w:type="auto"/>
            <w:hideMark/>
          </w:tcPr>
          <w:p w14:paraId="065F3E8A"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41 (78.8%)</w:t>
            </w:r>
          </w:p>
        </w:tc>
        <w:tc>
          <w:tcPr>
            <w:tcW w:w="0" w:type="auto"/>
            <w:hideMark/>
          </w:tcPr>
          <w:p w14:paraId="0EEEEB49"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24 (85.7%)</w:t>
            </w:r>
          </w:p>
        </w:tc>
      </w:tr>
      <w:tr w:rsidR="00540458" w:rsidRPr="00E52513" w14:paraId="0244192D" w14:textId="77777777" w:rsidTr="00C90E4C">
        <w:trPr>
          <w:cnfStyle w:val="000000100000" w:firstRow="0" w:lastRow="0" w:firstColumn="0" w:lastColumn="0" w:oddVBand="0" w:evenVBand="0" w:oddHBand="1" w:evenHBand="0" w:firstRowFirstColumn="0" w:firstRowLastColumn="0" w:lastRowFirstColumn="0" w:lastRowLastColumn="0"/>
          <w:jc w:val="center"/>
        </w:trPr>
        <w:tc>
          <w:tcPr>
            <w:tcW w:w="1822" w:type="dxa"/>
          </w:tcPr>
          <w:p w14:paraId="6544D700" w14:textId="77777777" w:rsidR="00540458" w:rsidRPr="00E52513" w:rsidRDefault="00540458" w:rsidP="005425A0">
            <w:pPr>
              <w:rPr>
                <w:rFonts w:eastAsia="Times New Roman"/>
                <w:b/>
                <w:lang w:eastAsia="en-AU"/>
              </w:rPr>
            </w:pPr>
            <w:r w:rsidRPr="00E52513">
              <w:rPr>
                <w:b/>
                <w:lang w:eastAsia="en-AU"/>
              </w:rPr>
              <w:t>NOT Provided</w:t>
            </w:r>
          </w:p>
        </w:tc>
        <w:tc>
          <w:tcPr>
            <w:tcW w:w="0" w:type="auto"/>
            <w:hideMark/>
          </w:tcPr>
          <w:p w14:paraId="1CF8FBBC"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9 (20.0%)</w:t>
            </w:r>
          </w:p>
        </w:tc>
        <w:tc>
          <w:tcPr>
            <w:tcW w:w="0" w:type="auto"/>
            <w:hideMark/>
          </w:tcPr>
          <w:p w14:paraId="16DE21E2"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21 (10.9%)</w:t>
            </w:r>
          </w:p>
        </w:tc>
        <w:tc>
          <w:tcPr>
            <w:tcW w:w="0" w:type="auto"/>
            <w:hideMark/>
          </w:tcPr>
          <w:p w14:paraId="62C6929F"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11 (21.2%)</w:t>
            </w:r>
          </w:p>
        </w:tc>
        <w:tc>
          <w:tcPr>
            <w:tcW w:w="0" w:type="auto"/>
            <w:hideMark/>
          </w:tcPr>
          <w:p w14:paraId="76F3CE73" w14:textId="77777777" w:rsidR="00540458" w:rsidRPr="00E52513" w:rsidRDefault="00540458" w:rsidP="005425A0">
            <w:pPr>
              <w:jc w:val="center"/>
              <w:rPr>
                <w:rFonts w:ascii="Times New Roman" w:eastAsia="Times New Roman" w:hAnsi="Times New Roman"/>
                <w:sz w:val="24"/>
                <w:szCs w:val="24"/>
                <w:lang w:eastAsia="en-AU"/>
              </w:rPr>
            </w:pPr>
            <w:r w:rsidRPr="00E52513">
              <w:rPr>
                <w:lang w:eastAsia="en-AU"/>
              </w:rPr>
              <w:t>4 (14.3%)</w:t>
            </w:r>
          </w:p>
        </w:tc>
      </w:tr>
    </w:tbl>
    <w:p w14:paraId="09868F85" w14:textId="77777777" w:rsidR="00540458" w:rsidRPr="00E52513" w:rsidRDefault="00540458" w:rsidP="00540458"/>
    <w:p w14:paraId="0A3C8F54" w14:textId="11C7BBF5" w:rsidR="00540458" w:rsidRPr="00E52513" w:rsidRDefault="00540458" w:rsidP="00152634">
      <w:pPr>
        <w:pStyle w:val="Heading2"/>
      </w:pPr>
      <w:bookmarkStart w:id="53" w:name="_Toc36482261"/>
      <w:bookmarkStart w:id="54" w:name="_Toc54966628"/>
      <w:r w:rsidRPr="00E52513">
        <w:t>Incidents translated into cases and clients</w:t>
      </w:r>
      <w:bookmarkEnd w:id="53"/>
      <w:bookmarkEnd w:id="54"/>
    </w:p>
    <w:p w14:paraId="505341DA" w14:textId="0D2D040B" w:rsidR="00540458" w:rsidRPr="00E52513" w:rsidRDefault="00540458" w:rsidP="00540458">
      <w:r w:rsidRPr="00E52513">
        <w:t>The process of deciding to provide a service in response to an incident creates NICRS ‘cases’ and ‘clients’. The ORS Manual makes a clear distinction between a ‘case’ and a ‘client’. A case is described as follows (p. 2):</w:t>
      </w:r>
    </w:p>
    <w:p w14:paraId="2512298F" w14:textId="77777777" w:rsidR="00540458" w:rsidRPr="00E52513" w:rsidRDefault="00540458" w:rsidP="00540458">
      <w:pPr>
        <w:ind w:left="284" w:right="284"/>
        <w:rPr>
          <w:i/>
        </w:rPr>
      </w:pPr>
      <w:r w:rsidRPr="00E52513">
        <w:rPr>
          <w:i/>
          <w:lang w:eastAsia="en-AU"/>
        </w:rPr>
        <w:t>“For each incident there can be one of more cases opened. Sometimes we can be supporting different parts of the family, and within each case there can be one or more family members (clients) we are supporting”</w:t>
      </w:r>
    </w:p>
    <w:p w14:paraId="44D10BF8" w14:textId="7393C2BD" w:rsidR="00540458" w:rsidRPr="00E52513" w:rsidRDefault="00540458" w:rsidP="00540458">
      <w:r w:rsidRPr="00E52513">
        <w:t xml:space="preserve">A client is a subset of a case and is </w:t>
      </w:r>
      <w:r w:rsidRPr="00E52513">
        <w:rPr>
          <w:i/>
        </w:rPr>
        <w:t>“… the person or family we are supporting affected by a suicide or a traumatic incident.”</w:t>
      </w:r>
      <w:r w:rsidRPr="00E52513">
        <w:t xml:space="preserve"> Just as there can be more than one case per incident, there can be more than one client per case. In the example provided in the ORS </w:t>
      </w:r>
      <w:r w:rsidR="00425EFF" w:rsidRPr="00E52513">
        <w:t>Manual, a</w:t>
      </w:r>
      <w:r w:rsidRPr="00E52513">
        <w:t xml:space="preserve"> suicide </w:t>
      </w:r>
      <w:r w:rsidRPr="00E52513">
        <w:rPr>
          <w:u w:val="single"/>
        </w:rPr>
        <w:t>incident</w:t>
      </w:r>
      <w:r w:rsidRPr="00E52513">
        <w:t xml:space="preserve"> leads to two cases - one </w:t>
      </w:r>
      <w:r w:rsidRPr="00E52513">
        <w:rPr>
          <w:u w:val="single"/>
        </w:rPr>
        <w:t>case</w:t>
      </w:r>
      <w:r w:rsidRPr="00E52513">
        <w:t xml:space="preserve"> has three </w:t>
      </w:r>
      <w:r w:rsidRPr="00E52513">
        <w:rPr>
          <w:u w:val="single"/>
        </w:rPr>
        <w:t>clients</w:t>
      </w:r>
      <w:r w:rsidRPr="00E52513">
        <w:t xml:space="preserve"> (the mother and sisters of the deceased), and a second </w:t>
      </w:r>
      <w:r w:rsidRPr="00E52513">
        <w:rPr>
          <w:u w:val="single"/>
        </w:rPr>
        <w:t>case</w:t>
      </w:r>
      <w:r w:rsidRPr="00E52513">
        <w:t xml:space="preserve"> has one client </w:t>
      </w:r>
      <w:r w:rsidR="00E179F6" w:rsidRPr="00E52513">
        <w:t>that is</w:t>
      </w:r>
      <w:r w:rsidRPr="00E52513">
        <w:t xml:space="preserve"> the estranged father of the deceased.</w:t>
      </w:r>
    </w:p>
    <w:p w14:paraId="22C50BB4" w14:textId="77777777" w:rsidR="00540458" w:rsidRPr="00E52513" w:rsidRDefault="00540458" w:rsidP="00540458">
      <w:r w:rsidRPr="00E52513">
        <w:t xml:space="preserve">Of the 275 incidents where a response to an assistance request was indicated as provided, the following number of </w:t>
      </w:r>
      <w:r w:rsidRPr="00E52513">
        <w:rPr>
          <w:u w:val="single"/>
        </w:rPr>
        <w:t>cases</w:t>
      </w:r>
      <w:r w:rsidRPr="00E52513">
        <w:t xml:space="preserve"> were associated with the incidents:</w:t>
      </w:r>
    </w:p>
    <w:p w14:paraId="7C5EAD5D" w14:textId="77777777" w:rsidR="00540458" w:rsidRPr="00E52513" w:rsidRDefault="00540458" w:rsidP="00CF21DA">
      <w:pPr>
        <w:pStyle w:val="ListParagraph"/>
        <w:numPr>
          <w:ilvl w:val="0"/>
          <w:numId w:val="3"/>
        </w:numPr>
        <w:tabs>
          <w:tab w:val="clear" w:pos="284"/>
        </w:tabs>
        <w:spacing w:before="0" w:after="160" w:line="256" w:lineRule="auto"/>
        <w:contextualSpacing/>
      </w:pPr>
      <w:r w:rsidRPr="00E52513">
        <w:t>174 incidents had one case (63%)</w:t>
      </w:r>
    </w:p>
    <w:p w14:paraId="572DB2BC" w14:textId="77777777" w:rsidR="00540458" w:rsidRPr="00E52513" w:rsidRDefault="00540458" w:rsidP="00CF21DA">
      <w:pPr>
        <w:pStyle w:val="ListParagraph"/>
        <w:numPr>
          <w:ilvl w:val="0"/>
          <w:numId w:val="3"/>
        </w:numPr>
        <w:tabs>
          <w:tab w:val="clear" w:pos="284"/>
        </w:tabs>
        <w:spacing w:before="0" w:after="160" w:line="256" w:lineRule="auto"/>
        <w:contextualSpacing/>
      </w:pPr>
      <w:r w:rsidRPr="00E52513">
        <w:t>27 incidents created two cases each (10%)</w:t>
      </w:r>
    </w:p>
    <w:p w14:paraId="0F2EAA25" w14:textId="77777777" w:rsidR="00540458" w:rsidRPr="00E52513" w:rsidRDefault="00540458" w:rsidP="00CF21DA">
      <w:pPr>
        <w:pStyle w:val="ListParagraph"/>
        <w:numPr>
          <w:ilvl w:val="0"/>
          <w:numId w:val="3"/>
        </w:numPr>
        <w:tabs>
          <w:tab w:val="clear" w:pos="284"/>
        </w:tabs>
        <w:spacing w:before="0" w:after="160" w:line="256" w:lineRule="auto"/>
        <w:contextualSpacing/>
      </w:pPr>
      <w:r w:rsidRPr="00E52513">
        <w:t>6 incidents created three or more cases (2%)</w:t>
      </w:r>
    </w:p>
    <w:p w14:paraId="0C420ABC" w14:textId="77777777" w:rsidR="00540458" w:rsidRPr="00E52513" w:rsidRDefault="00540458" w:rsidP="00540458">
      <w:r w:rsidRPr="00E52513">
        <w:t>There were 68 incidents (24%) associated with no cases and no clients. However, responses to other variables suggested at least one family member was being assisted in some cases. It may be that CRSAs completed this field poorly</w:t>
      </w:r>
      <w:r w:rsidRPr="00E52513">
        <w:rPr>
          <w:rStyle w:val="FootnoteReference"/>
          <w:rFonts w:eastAsiaTheme="majorEastAsia"/>
        </w:rPr>
        <w:footnoteReference w:id="10"/>
      </w:r>
      <w:r w:rsidRPr="00E52513">
        <w:t>.</w:t>
      </w:r>
    </w:p>
    <w:p w14:paraId="5CA2981A" w14:textId="1300DDA9" w:rsidR="00540458" w:rsidRPr="00E52513" w:rsidRDefault="00540458" w:rsidP="00540458">
      <w:r w:rsidRPr="00E52513">
        <w:lastRenderedPageBreak/>
        <w:t>The 174 incidents that had one case resulted in the provision of assistance for 187 clients, or on average 1.2 clients per case. All other cases – namely, those incidents with two or more cases per incident (33) - involved provision of assistance to 95 clients, or 2.9 clients per case.</w:t>
      </w:r>
    </w:p>
    <w:p w14:paraId="64B1F40F" w14:textId="09B4394E" w:rsidR="00540458" w:rsidRPr="00E52513" w:rsidRDefault="00540458" w:rsidP="00540458">
      <w:r w:rsidRPr="00E52513">
        <w:t xml:space="preserve">A total of 1,001 family members </w:t>
      </w:r>
      <w:r w:rsidR="00121F86" w:rsidRPr="00E52513">
        <w:t>were associated with</w:t>
      </w:r>
      <w:r w:rsidR="0085052D" w:rsidRPr="00E52513">
        <w:t xml:space="preserve"> </w:t>
      </w:r>
      <w:r w:rsidR="004A61DD" w:rsidRPr="00E52513">
        <w:t>the 275</w:t>
      </w:r>
      <w:r w:rsidR="0085052D" w:rsidRPr="00E52513">
        <w:t xml:space="preserve"> </w:t>
      </w:r>
      <w:r w:rsidRPr="00E52513">
        <w:t xml:space="preserve">recorded </w:t>
      </w:r>
      <w:r w:rsidR="00425EFF" w:rsidRPr="00E52513">
        <w:t xml:space="preserve">cases </w:t>
      </w:r>
      <w:r w:rsidRPr="00E52513">
        <w:t>where NICRS assistance and support was provided</w:t>
      </w:r>
      <w:r w:rsidR="0085052D" w:rsidRPr="00E52513">
        <w:t xml:space="preserve"> (up to June 2019)</w:t>
      </w:r>
      <w:r w:rsidRPr="00E52513">
        <w:t>. There is, however, some suggestion by CRSAs and NICRS management that this data represents under-reporting of total client numbers.</w:t>
      </w:r>
    </w:p>
    <w:p w14:paraId="19ECE2C1" w14:textId="3D045868" w:rsidR="00540458" w:rsidRPr="00E52513" w:rsidRDefault="00540458" w:rsidP="00540458">
      <w:r w:rsidRPr="00E52513">
        <w:t xml:space="preserve">When assistance was provided, it was most often directed to families (see Table </w:t>
      </w:r>
      <w:r w:rsidR="000F66D0" w:rsidRPr="00E52513">
        <w:t>6</w:t>
      </w:r>
      <w:r w:rsidRPr="00E52513">
        <w:t>) either ‘directly’ (58%, n = 275) or ‘indirectly’ (1.8%). In almost one-third of incidents (28%), assistance was directed towards the service provider, either alone or in conjunction with the client.</w:t>
      </w:r>
    </w:p>
    <w:p w14:paraId="2FC3D0E5" w14:textId="4D259CFB" w:rsidR="00540458" w:rsidRPr="00E52513" w:rsidRDefault="00540458" w:rsidP="00540458">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6</w:t>
      </w:r>
      <w:r w:rsidR="00D97F39">
        <w:rPr>
          <w:noProof/>
        </w:rPr>
        <w:fldChar w:fldCharType="end"/>
      </w:r>
      <w:r w:rsidRPr="00E52513">
        <w:t>: Distribution of assistance from NICRS according to the recipient of the assistance (n = 275)</w:t>
      </w:r>
    </w:p>
    <w:tbl>
      <w:tblPr>
        <w:tblStyle w:val="MediumGrid2-Accent6"/>
        <w:tblW w:w="0" w:type="auto"/>
        <w:jc w:val="center"/>
        <w:tblLook w:val="0420" w:firstRow="1" w:lastRow="0" w:firstColumn="0" w:lastColumn="0" w:noHBand="0" w:noVBand="1"/>
        <w:tblCaption w:val="Distribution of assistance by recipient type"/>
        <w:tblDescription w:val="Direct to family - 160; direct to family and community - 23; direct to family and service providers - 33; direct to others - 4; direct to service provider only - 46; indirect to family - 5; indirect to others - 4."/>
      </w:tblPr>
      <w:tblGrid>
        <w:gridCol w:w="4155"/>
        <w:gridCol w:w="1233"/>
        <w:gridCol w:w="3280"/>
      </w:tblGrid>
      <w:tr w:rsidR="00540458" w:rsidRPr="00E52513" w14:paraId="129037BC"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4155" w:type="dxa"/>
            <w:hideMark/>
          </w:tcPr>
          <w:p w14:paraId="06319F50"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Recipient of assistance</w:t>
            </w:r>
          </w:p>
        </w:tc>
        <w:tc>
          <w:tcPr>
            <w:tcW w:w="1233" w:type="dxa"/>
            <w:hideMark/>
          </w:tcPr>
          <w:p w14:paraId="38B9636E"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Number</w:t>
            </w:r>
          </w:p>
        </w:tc>
        <w:tc>
          <w:tcPr>
            <w:tcW w:w="3280" w:type="dxa"/>
            <w:hideMark/>
          </w:tcPr>
          <w:p w14:paraId="3B28429C" w14:textId="77777777" w:rsidR="00540458" w:rsidRPr="00E52513" w:rsidRDefault="00540458" w:rsidP="004A61DD">
            <w:pPr>
              <w:spacing w:after="0"/>
              <w:jc w:val="center"/>
              <w:rPr>
                <w:rFonts w:eastAsia="Times New Roman"/>
                <w:bCs w:val="0"/>
                <w:szCs w:val="22"/>
                <w:lang w:eastAsia="en-AU"/>
              </w:rPr>
            </w:pPr>
            <w:r w:rsidRPr="00E52513">
              <w:rPr>
                <w:lang w:eastAsia="en-AU"/>
              </w:rPr>
              <w:t>Proportion of total client incidents where assistance provided (%)</w:t>
            </w:r>
          </w:p>
        </w:tc>
      </w:tr>
      <w:tr w:rsidR="00540458" w:rsidRPr="00E52513" w14:paraId="04140F85"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155" w:type="dxa"/>
            <w:hideMark/>
          </w:tcPr>
          <w:p w14:paraId="41B6F1B3"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Direct to family</w:t>
            </w:r>
          </w:p>
        </w:tc>
        <w:tc>
          <w:tcPr>
            <w:tcW w:w="1233" w:type="dxa"/>
            <w:hideMark/>
          </w:tcPr>
          <w:p w14:paraId="22634808"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160</w:t>
            </w:r>
          </w:p>
        </w:tc>
        <w:tc>
          <w:tcPr>
            <w:tcW w:w="3280" w:type="dxa"/>
            <w:hideMark/>
          </w:tcPr>
          <w:p w14:paraId="55CF12E0" w14:textId="77777777" w:rsidR="00540458" w:rsidRPr="00E52513" w:rsidRDefault="00540458" w:rsidP="004A61DD">
            <w:pPr>
              <w:spacing w:after="0"/>
              <w:jc w:val="center"/>
              <w:rPr>
                <w:rFonts w:eastAsia="Times New Roman"/>
                <w:szCs w:val="22"/>
                <w:lang w:eastAsia="en-AU"/>
              </w:rPr>
            </w:pPr>
            <w:r w:rsidRPr="00E52513">
              <w:rPr>
                <w:lang w:eastAsia="en-AU"/>
              </w:rPr>
              <w:t>58.2</w:t>
            </w:r>
          </w:p>
        </w:tc>
      </w:tr>
      <w:tr w:rsidR="00540458" w:rsidRPr="00E52513" w14:paraId="7D2FEC30" w14:textId="77777777" w:rsidTr="0050723C">
        <w:trPr>
          <w:jc w:val="center"/>
        </w:trPr>
        <w:tc>
          <w:tcPr>
            <w:tcW w:w="4155" w:type="dxa"/>
            <w:hideMark/>
          </w:tcPr>
          <w:p w14:paraId="10A40343"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Direct to family and community</w:t>
            </w:r>
          </w:p>
        </w:tc>
        <w:tc>
          <w:tcPr>
            <w:tcW w:w="1233" w:type="dxa"/>
            <w:hideMark/>
          </w:tcPr>
          <w:p w14:paraId="7F1DDFAD"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23</w:t>
            </w:r>
          </w:p>
        </w:tc>
        <w:tc>
          <w:tcPr>
            <w:tcW w:w="3280" w:type="dxa"/>
            <w:hideMark/>
          </w:tcPr>
          <w:p w14:paraId="381AF4D9" w14:textId="77777777" w:rsidR="00540458" w:rsidRPr="00E52513" w:rsidRDefault="00540458" w:rsidP="004A61DD">
            <w:pPr>
              <w:spacing w:after="0"/>
              <w:jc w:val="center"/>
              <w:rPr>
                <w:rFonts w:eastAsia="Times New Roman"/>
                <w:szCs w:val="22"/>
                <w:lang w:eastAsia="en-AU"/>
              </w:rPr>
            </w:pPr>
            <w:r w:rsidRPr="00E52513">
              <w:rPr>
                <w:lang w:eastAsia="en-AU"/>
              </w:rPr>
              <w:t>8.3</w:t>
            </w:r>
          </w:p>
        </w:tc>
      </w:tr>
      <w:tr w:rsidR="00540458" w:rsidRPr="00E52513" w14:paraId="092A2235"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155" w:type="dxa"/>
            <w:hideMark/>
          </w:tcPr>
          <w:p w14:paraId="3284F8F5"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Direct to family and service provider/s</w:t>
            </w:r>
          </w:p>
        </w:tc>
        <w:tc>
          <w:tcPr>
            <w:tcW w:w="1233" w:type="dxa"/>
            <w:hideMark/>
          </w:tcPr>
          <w:p w14:paraId="324F8ADF"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33</w:t>
            </w:r>
          </w:p>
        </w:tc>
        <w:tc>
          <w:tcPr>
            <w:tcW w:w="3280" w:type="dxa"/>
            <w:hideMark/>
          </w:tcPr>
          <w:p w14:paraId="308F6BDF" w14:textId="77777777" w:rsidR="00540458" w:rsidRPr="00E52513" w:rsidRDefault="00540458" w:rsidP="004A61DD">
            <w:pPr>
              <w:spacing w:after="0"/>
              <w:jc w:val="center"/>
              <w:rPr>
                <w:rFonts w:eastAsia="Times New Roman"/>
                <w:szCs w:val="22"/>
                <w:lang w:eastAsia="en-AU"/>
              </w:rPr>
            </w:pPr>
            <w:r w:rsidRPr="00E52513">
              <w:rPr>
                <w:lang w:eastAsia="en-AU"/>
              </w:rPr>
              <w:t>12.0</w:t>
            </w:r>
          </w:p>
        </w:tc>
      </w:tr>
      <w:tr w:rsidR="00540458" w:rsidRPr="00E52513" w14:paraId="5695C78E" w14:textId="77777777" w:rsidTr="0050723C">
        <w:trPr>
          <w:jc w:val="center"/>
        </w:trPr>
        <w:tc>
          <w:tcPr>
            <w:tcW w:w="4155" w:type="dxa"/>
            <w:hideMark/>
          </w:tcPr>
          <w:p w14:paraId="306EF6B7"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Direct to others</w:t>
            </w:r>
          </w:p>
        </w:tc>
        <w:tc>
          <w:tcPr>
            <w:tcW w:w="1233" w:type="dxa"/>
            <w:hideMark/>
          </w:tcPr>
          <w:p w14:paraId="2BFB8B72" w14:textId="77777777" w:rsidR="00540458" w:rsidRPr="00E52513" w:rsidRDefault="00540458" w:rsidP="004A61DD">
            <w:pPr>
              <w:spacing w:after="0"/>
              <w:jc w:val="center"/>
              <w:rPr>
                <w:rFonts w:ascii="Times New Roman" w:eastAsia="Times New Roman" w:hAnsi="Times New Roman"/>
                <w:szCs w:val="22"/>
                <w:lang w:eastAsia="en-AU"/>
              </w:rPr>
            </w:pPr>
            <w:r w:rsidRPr="00E52513">
              <w:rPr>
                <w:szCs w:val="22"/>
                <w:lang w:eastAsia="en-AU"/>
              </w:rPr>
              <w:t>4</w:t>
            </w:r>
          </w:p>
        </w:tc>
        <w:tc>
          <w:tcPr>
            <w:tcW w:w="3280" w:type="dxa"/>
            <w:hideMark/>
          </w:tcPr>
          <w:p w14:paraId="6C215A65" w14:textId="77777777" w:rsidR="00540458" w:rsidRPr="00E52513" w:rsidRDefault="00540458" w:rsidP="004A61DD">
            <w:pPr>
              <w:spacing w:after="0"/>
              <w:jc w:val="center"/>
              <w:rPr>
                <w:rFonts w:eastAsia="Times New Roman"/>
                <w:szCs w:val="22"/>
                <w:lang w:eastAsia="en-AU"/>
              </w:rPr>
            </w:pPr>
            <w:r w:rsidRPr="00E52513">
              <w:rPr>
                <w:lang w:eastAsia="en-AU"/>
              </w:rPr>
              <w:t>1.5</w:t>
            </w:r>
          </w:p>
        </w:tc>
      </w:tr>
      <w:tr w:rsidR="00540458" w:rsidRPr="00E52513" w14:paraId="07E5D12E"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155" w:type="dxa"/>
            <w:hideMark/>
          </w:tcPr>
          <w:p w14:paraId="4B157DF5"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Direct to service provider/s only</w:t>
            </w:r>
          </w:p>
        </w:tc>
        <w:tc>
          <w:tcPr>
            <w:tcW w:w="1233" w:type="dxa"/>
            <w:hideMark/>
          </w:tcPr>
          <w:p w14:paraId="128E0503"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46</w:t>
            </w:r>
          </w:p>
        </w:tc>
        <w:tc>
          <w:tcPr>
            <w:tcW w:w="3280" w:type="dxa"/>
            <w:hideMark/>
          </w:tcPr>
          <w:p w14:paraId="6D62F1DE" w14:textId="77777777" w:rsidR="00540458" w:rsidRPr="00E52513" w:rsidRDefault="00540458" w:rsidP="004A61DD">
            <w:pPr>
              <w:spacing w:after="0"/>
              <w:jc w:val="center"/>
              <w:rPr>
                <w:rFonts w:eastAsia="Times New Roman"/>
                <w:szCs w:val="22"/>
                <w:lang w:eastAsia="en-AU"/>
              </w:rPr>
            </w:pPr>
            <w:r w:rsidRPr="00E52513">
              <w:rPr>
                <w:lang w:eastAsia="en-AU"/>
              </w:rPr>
              <w:t>16.7</w:t>
            </w:r>
          </w:p>
        </w:tc>
      </w:tr>
      <w:tr w:rsidR="00540458" w:rsidRPr="00E52513" w14:paraId="6D9465C2" w14:textId="77777777" w:rsidTr="0050723C">
        <w:trPr>
          <w:jc w:val="center"/>
        </w:trPr>
        <w:tc>
          <w:tcPr>
            <w:tcW w:w="4155" w:type="dxa"/>
            <w:hideMark/>
          </w:tcPr>
          <w:p w14:paraId="16968B2F"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Indirect to family</w:t>
            </w:r>
          </w:p>
        </w:tc>
        <w:tc>
          <w:tcPr>
            <w:tcW w:w="1233" w:type="dxa"/>
            <w:hideMark/>
          </w:tcPr>
          <w:p w14:paraId="286649C4"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5</w:t>
            </w:r>
          </w:p>
        </w:tc>
        <w:tc>
          <w:tcPr>
            <w:tcW w:w="3280" w:type="dxa"/>
            <w:hideMark/>
          </w:tcPr>
          <w:p w14:paraId="7728A6D0" w14:textId="77777777" w:rsidR="00540458" w:rsidRPr="00E52513" w:rsidRDefault="00540458" w:rsidP="004A61DD">
            <w:pPr>
              <w:spacing w:after="0"/>
              <w:jc w:val="center"/>
              <w:rPr>
                <w:rFonts w:eastAsia="Times New Roman"/>
                <w:szCs w:val="22"/>
                <w:lang w:eastAsia="en-AU"/>
              </w:rPr>
            </w:pPr>
            <w:r w:rsidRPr="00E52513">
              <w:rPr>
                <w:lang w:eastAsia="en-AU"/>
              </w:rPr>
              <w:t>1.8</w:t>
            </w:r>
          </w:p>
        </w:tc>
      </w:tr>
      <w:tr w:rsidR="00540458" w:rsidRPr="00E52513" w14:paraId="52923DF4" w14:textId="77777777" w:rsidTr="0050723C">
        <w:trPr>
          <w:cnfStyle w:val="000000100000" w:firstRow="0" w:lastRow="0" w:firstColumn="0" w:lastColumn="0" w:oddVBand="0" w:evenVBand="0" w:oddHBand="1" w:evenHBand="0" w:firstRowFirstColumn="0" w:firstRowLastColumn="0" w:lastRowFirstColumn="0" w:lastRowLastColumn="0"/>
          <w:jc w:val="center"/>
        </w:trPr>
        <w:tc>
          <w:tcPr>
            <w:tcW w:w="4155" w:type="dxa"/>
            <w:hideMark/>
          </w:tcPr>
          <w:p w14:paraId="7110A867" w14:textId="77777777" w:rsidR="00540458" w:rsidRPr="00E52513" w:rsidRDefault="00540458" w:rsidP="004A61DD">
            <w:pPr>
              <w:spacing w:after="0"/>
              <w:rPr>
                <w:rFonts w:ascii="Times New Roman" w:eastAsia="Times New Roman" w:hAnsi="Times New Roman"/>
                <w:sz w:val="24"/>
                <w:szCs w:val="24"/>
                <w:lang w:eastAsia="en-AU"/>
              </w:rPr>
            </w:pPr>
            <w:r w:rsidRPr="00E52513">
              <w:rPr>
                <w:lang w:eastAsia="en-AU"/>
              </w:rPr>
              <w:t>Indirect to others</w:t>
            </w:r>
          </w:p>
        </w:tc>
        <w:tc>
          <w:tcPr>
            <w:tcW w:w="1233" w:type="dxa"/>
            <w:hideMark/>
          </w:tcPr>
          <w:p w14:paraId="27196B09" w14:textId="77777777" w:rsidR="00540458" w:rsidRPr="00E52513" w:rsidRDefault="00540458" w:rsidP="004A61DD">
            <w:pPr>
              <w:spacing w:after="0"/>
              <w:jc w:val="center"/>
              <w:rPr>
                <w:rFonts w:ascii="Times New Roman" w:eastAsia="Times New Roman" w:hAnsi="Times New Roman"/>
                <w:sz w:val="24"/>
                <w:szCs w:val="24"/>
                <w:lang w:eastAsia="en-AU"/>
              </w:rPr>
            </w:pPr>
            <w:r w:rsidRPr="00E52513">
              <w:rPr>
                <w:lang w:eastAsia="en-AU"/>
              </w:rPr>
              <w:t>4</w:t>
            </w:r>
          </w:p>
        </w:tc>
        <w:tc>
          <w:tcPr>
            <w:tcW w:w="3280" w:type="dxa"/>
            <w:hideMark/>
          </w:tcPr>
          <w:p w14:paraId="152BF63D" w14:textId="77777777" w:rsidR="00540458" w:rsidRPr="00E52513" w:rsidRDefault="00540458" w:rsidP="004A61DD">
            <w:pPr>
              <w:spacing w:after="0"/>
              <w:jc w:val="center"/>
              <w:rPr>
                <w:rFonts w:eastAsia="Times New Roman"/>
                <w:szCs w:val="22"/>
                <w:lang w:eastAsia="en-AU"/>
              </w:rPr>
            </w:pPr>
            <w:r w:rsidRPr="00E52513">
              <w:rPr>
                <w:lang w:eastAsia="en-AU"/>
              </w:rPr>
              <w:t>1.5</w:t>
            </w:r>
          </w:p>
        </w:tc>
      </w:tr>
    </w:tbl>
    <w:p w14:paraId="4F5F9188" w14:textId="77777777" w:rsidR="00540458" w:rsidRPr="00E52513" w:rsidRDefault="00540458" w:rsidP="00540458">
      <w:pPr>
        <w:rPr>
          <w:rFonts w:asciiTheme="minorHAnsi" w:eastAsiaTheme="minorHAnsi" w:hAnsiTheme="minorHAnsi" w:cstheme="minorBidi"/>
          <w:szCs w:val="22"/>
          <w:highlight w:val="yellow"/>
        </w:rPr>
      </w:pPr>
    </w:p>
    <w:p w14:paraId="205EEAB8" w14:textId="736E9F2A" w:rsidR="00540458" w:rsidRPr="00E52513" w:rsidRDefault="00540458" w:rsidP="00540458">
      <w:r w:rsidRPr="00E52513">
        <w:t>Of the 275 incidents where assistance was provided (as recorded in the ORS up until June 2019), 169 (61%) cases were responded to through at least partially via face</w:t>
      </w:r>
      <w:r w:rsidR="00D73661" w:rsidRPr="00E52513">
        <w:t xml:space="preserve"> </w:t>
      </w:r>
      <w:r w:rsidRPr="00E52513">
        <w:t>to</w:t>
      </w:r>
      <w:r w:rsidR="00D73661" w:rsidRPr="00E52513">
        <w:t xml:space="preserve"> </w:t>
      </w:r>
      <w:r w:rsidRPr="00E52513">
        <w:t>face contact. Most often, this was supplemented by telephone contact. A total of 96 (35%) of contacts were made only by telephone, with 4% involving ‘other’ contact. It is not clear what ‘other’ constitutes.</w:t>
      </w:r>
    </w:p>
    <w:p w14:paraId="0DAA9B74" w14:textId="1C48F064" w:rsidR="00E66DA6" w:rsidRPr="00E52513" w:rsidRDefault="00540458" w:rsidP="00B46BF4">
      <w:r w:rsidRPr="00E52513">
        <w:t>Further detail on the types of assistance that have been provided is detailed in Section 6.3.</w:t>
      </w:r>
    </w:p>
    <w:p w14:paraId="5E581E24" w14:textId="77777777" w:rsidR="00C90E4C" w:rsidRDefault="00C90E4C">
      <w:pPr>
        <w:spacing w:line="276" w:lineRule="auto"/>
        <w:rPr>
          <w:rFonts w:eastAsiaTheme="majorEastAsia"/>
          <w:b/>
          <w:bCs/>
          <w:color w:val="984806" w:themeColor="accent6" w:themeShade="80"/>
          <w:sz w:val="40"/>
          <w:szCs w:val="28"/>
        </w:rPr>
      </w:pPr>
      <w:bookmarkStart w:id="55" w:name="_Toc35966332"/>
      <w:r>
        <w:br w:type="page"/>
      </w:r>
    </w:p>
    <w:p w14:paraId="6993457F" w14:textId="15FE7841" w:rsidR="008D50E4" w:rsidRDefault="008D50E4" w:rsidP="0001288E">
      <w:pPr>
        <w:pStyle w:val="Heading1"/>
      </w:pPr>
      <w:bookmarkStart w:id="56" w:name="_Toc54966629"/>
      <w:r w:rsidRPr="00E52513">
        <w:lastRenderedPageBreak/>
        <w:t xml:space="preserve">Relevance of the </w:t>
      </w:r>
      <w:bookmarkEnd w:id="55"/>
      <w:r w:rsidR="006D6E7C" w:rsidRPr="00E52513">
        <w:t>service</w:t>
      </w:r>
      <w:bookmarkEnd w:id="56"/>
    </w:p>
    <w:p w14:paraId="277BC6E8" w14:textId="77777777" w:rsidR="00C90E4C" w:rsidRPr="00E52513" w:rsidRDefault="00C90E4C" w:rsidP="00C90E4C">
      <w:pPr>
        <w:shd w:val="clear" w:color="auto" w:fill="FDE9D9" w:themeFill="accent6" w:themeFillTint="33"/>
        <w:spacing w:before="120" w:after="120"/>
        <w:rPr>
          <w:b/>
          <w:i/>
        </w:rPr>
      </w:pPr>
      <w:r w:rsidRPr="00E52513">
        <w:rPr>
          <w:b/>
          <w:i/>
        </w:rPr>
        <w:t>Is the program meeting the needs of families and communities?</w:t>
      </w:r>
    </w:p>
    <w:p w14:paraId="528A829B" w14:textId="77777777" w:rsidR="00C90E4C" w:rsidRDefault="00C90E4C" w:rsidP="00C90E4C">
      <w:pPr>
        <w:shd w:val="clear" w:color="auto" w:fill="FDE9D9" w:themeFill="accent6" w:themeFillTint="33"/>
        <w:rPr>
          <w:i/>
        </w:rPr>
      </w:pPr>
      <w:r w:rsidRPr="00E52513">
        <w:rPr>
          <w:i/>
        </w:rPr>
        <w:t xml:space="preserve">The findings </w:t>
      </w:r>
      <w:r>
        <w:rPr>
          <w:i/>
        </w:rPr>
        <w:t xml:space="preserve">indicated </w:t>
      </w:r>
      <w:r w:rsidRPr="00E52513">
        <w:rPr>
          <w:i/>
        </w:rPr>
        <w:t>that</w:t>
      </w:r>
      <w:r>
        <w:rPr>
          <w:i/>
        </w:rPr>
        <w:t xml:space="preserve"> </w:t>
      </w:r>
      <w:proofErr w:type="spellStart"/>
      <w:r>
        <w:rPr>
          <w:i/>
        </w:rPr>
        <w:t>postvention</w:t>
      </w:r>
      <w:proofErr w:type="spellEnd"/>
      <w:r>
        <w:rPr>
          <w:i/>
        </w:rPr>
        <w:t xml:space="preserve"> services are</w:t>
      </w:r>
      <w:r w:rsidRPr="00E52513">
        <w:rPr>
          <w:i/>
        </w:rPr>
        <w:t xml:space="preserve"> relevant to the needs of </w:t>
      </w:r>
      <w:r>
        <w:rPr>
          <w:i/>
        </w:rPr>
        <w:t xml:space="preserve">Aboriginal and Torres Strait Islander </w:t>
      </w:r>
      <w:r w:rsidRPr="00E52513">
        <w:rPr>
          <w:i/>
        </w:rPr>
        <w:t>families and communities. Various clients and stakeholders cited the increasing need for communities to be supported due to the impact of suicide and trauma and viewed the service, or a service like the NICRS, as critical to providing an immediate response in times of crisis. However,</w:t>
      </w:r>
      <w:r>
        <w:rPr>
          <w:i/>
        </w:rPr>
        <w:t xml:space="preserve"> many stakeholders felt that</w:t>
      </w:r>
      <w:r w:rsidRPr="00E52513">
        <w:rPr>
          <w:i/>
        </w:rPr>
        <w:t xml:space="preserve"> the relevance of the service </w:t>
      </w:r>
      <w:r>
        <w:rPr>
          <w:i/>
        </w:rPr>
        <w:t>wa</w:t>
      </w:r>
      <w:r w:rsidRPr="00E52513">
        <w:rPr>
          <w:i/>
        </w:rPr>
        <w:t xml:space="preserve">s potentially being undermined by </w:t>
      </w:r>
      <w:r>
        <w:rPr>
          <w:i/>
        </w:rPr>
        <w:t xml:space="preserve">the ‘fly in fly out’ approach of the service which was viewed as unsustainable and disconnected with local communities. </w:t>
      </w:r>
    </w:p>
    <w:p w14:paraId="3D238409" w14:textId="5F41EC19" w:rsidR="008D50E4" w:rsidRPr="00E52513" w:rsidRDefault="00C90E4C" w:rsidP="00C90E4C">
      <w:pPr>
        <w:shd w:val="clear" w:color="auto" w:fill="FDE9D9" w:themeFill="accent6" w:themeFillTint="33"/>
      </w:pPr>
      <w:r>
        <w:rPr>
          <w:i/>
        </w:rPr>
        <w:t xml:space="preserve">There was limited </w:t>
      </w:r>
      <w:r w:rsidRPr="00E52513">
        <w:rPr>
          <w:i/>
        </w:rPr>
        <w:t>engagement and partnerships between the service and relevant service providers and agencies, and communities</w:t>
      </w:r>
      <w:r>
        <w:rPr>
          <w:i/>
        </w:rPr>
        <w:t xml:space="preserve"> and more meaningful and strategic engagement was viewed as an important strategy for improving the service to ensure a tailored approach for clients.</w:t>
      </w:r>
    </w:p>
    <w:p w14:paraId="7CF0DFBF" w14:textId="5224409E" w:rsidR="002A2934" w:rsidRPr="00E52513" w:rsidRDefault="00E24D39" w:rsidP="00152634">
      <w:pPr>
        <w:pStyle w:val="Heading2"/>
      </w:pPr>
      <w:bookmarkStart w:id="57" w:name="_Toc35966333"/>
      <w:bookmarkStart w:id="58" w:name="_Toc54966630"/>
      <w:r w:rsidRPr="00E52513">
        <w:t xml:space="preserve">The </w:t>
      </w:r>
      <w:r w:rsidR="006D6E7C" w:rsidRPr="00E52513">
        <w:t xml:space="preserve">service </w:t>
      </w:r>
      <w:r w:rsidRPr="00E52513">
        <w:t xml:space="preserve">is </w:t>
      </w:r>
      <w:bookmarkEnd w:id="57"/>
      <w:r w:rsidR="00160756" w:rsidRPr="00E52513">
        <w:t>relevant</w:t>
      </w:r>
      <w:bookmarkEnd w:id="58"/>
    </w:p>
    <w:p w14:paraId="110A1CE0" w14:textId="16275E06" w:rsidR="003140E3" w:rsidRPr="00E52513" w:rsidRDefault="003140E3" w:rsidP="002243EF">
      <w:pPr>
        <w:pStyle w:val="Heading3"/>
      </w:pPr>
      <w:bookmarkStart w:id="59" w:name="_Toc35966334"/>
      <w:r w:rsidRPr="00E52513">
        <w:t xml:space="preserve">The need for a </w:t>
      </w:r>
      <w:proofErr w:type="spellStart"/>
      <w:r w:rsidRPr="00E52513">
        <w:t>postvention</w:t>
      </w:r>
      <w:proofErr w:type="spellEnd"/>
      <w:r w:rsidRPr="00E52513">
        <w:t xml:space="preserve"> service</w:t>
      </w:r>
      <w:bookmarkEnd w:id="59"/>
    </w:p>
    <w:p w14:paraId="618CBF1C" w14:textId="12BA6FA6" w:rsidR="0001288E" w:rsidRPr="00E52513" w:rsidRDefault="0001288E" w:rsidP="002A2934">
      <w:r w:rsidRPr="00E52513">
        <w:t>There was universal agreement from all clients and stakeholders interviewed for the evaluation that there was a critical need for a service like the NICRS</w:t>
      </w:r>
      <w:r w:rsidR="003140E3" w:rsidRPr="00E52513">
        <w:t>.</w:t>
      </w:r>
    </w:p>
    <w:p w14:paraId="72D28CBA" w14:textId="42EEFD88" w:rsidR="002A2934" w:rsidRPr="00E52513" w:rsidRDefault="00E211BD" w:rsidP="002A2934">
      <w:pPr>
        <w:tabs>
          <w:tab w:val="left" w:pos="284"/>
        </w:tabs>
        <w:spacing w:before="120" w:after="240"/>
        <w:ind w:left="283" w:right="283"/>
        <w:rPr>
          <w:i/>
        </w:rPr>
      </w:pPr>
      <w:r w:rsidRPr="00E52513" w:rsidDel="0001288E">
        <w:t xml:space="preserve"> </w:t>
      </w:r>
      <w:r w:rsidR="002A2934" w:rsidRPr="00E52513">
        <w:rPr>
          <w:i/>
        </w:rPr>
        <w:t xml:space="preserve">“…there is no doubt in my mind that </w:t>
      </w:r>
      <w:proofErr w:type="spellStart"/>
      <w:r w:rsidR="002A2934" w:rsidRPr="00E52513">
        <w:rPr>
          <w:i/>
        </w:rPr>
        <w:t>postvention</w:t>
      </w:r>
      <w:proofErr w:type="spellEnd"/>
      <w:r w:rsidR="002A2934" w:rsidRPr="00E52513">
        <w:rPr>
          <w:i/>
        </w:rPr>
        <w:t xml:space="preserve"> of suicide and traumatic deaths is a much-needed service in the community. We need more of these services.” (Stakeholder)</w:t>
      </w:r>
    </w:p>
    <w:p w14:paraId="14D49808" w14:textId="725FACBE" w:rsidR="003140E3" w:rsidRPr="00E52513" w:rsidRDefault="00742103" w:rsidP="003140E3">
      <w:r w:rsidRPr="00E52513">
        <w:t xml:space="preserve">Many stakeholders felt that there were many initiatives currently in place addressing suicide prevention yet, </w:t>
      </w:r>
      <w:r w:rsidR="00315C77" w:rsidRPr="00E52513">
        <w:t>limited</w:t>
      </w:r>
      <w:r w:rsidR="007247D5" w:rsidRPr="00E52513">
        <w:t xml:space="preserve"> </w:t>
      </w:r>
      <w:r w:rsidRPr="00E52513">
        <w:t xml:space="preserve">work being undertaken in the </w:t>
      </w:r>
      <w:proofErr w:type="spellStart"/>
      <w:r w:rsidRPr="00E52513">
        <w:t>postvention</w:t>
      </w:r>
      <w:proofErr w:type="spellEnd"/>
      <w:r w:rsidRPr="00E52513">
        <w:t xml:space="preserve"> space. </w:t>
      </w:r>
      <w:r w:rsidR="003140E3" w:rsidRPr="00E52513">
        <w:t>Stakeholders reported that communities needed more support because of the high number suicides being experienced and the lack of services to respond to communities in crisis.</w:t>
      </w:r>
    </w:p>
    <w:p w14:paraId="5832D124" w14:textId="7B5F16DA" w:rsidR="003140E3" w:rsidRPr="00E52513" w:rsidRDefault="003140E3" w:rsidP="0028506A">
      <w:pPr>
        <w:tabs>
          <w:tab w:val="left" w:pos="284"/>
        </w:tabs>
        <w:spacing w:before="120" w:after="240"/>
        <w:ind w:left="283" w:right="283"/>
        <w:rPr>
          <w:i/>
        </w:rPr>
      </w:pPr>
      <w:r w:rsidRPr="00E52513">
        <w:rPr>
          <w:i/>
        </w:rPr>
        <w:t xml:space="preserve">“The service is needed because we don’t know what’s going to happen in terms of the next death and so the service needs to reach out and </w:t>
      </w:r>
      <w:r w:rsidR="00315C77" w:rsidRPr="00E52513">
        <w:rPr>
          <w:i/>
        </w:rPr>
        <w:t>ask,</w:t>
      </w:r>
      <w:r w:rsidRPr="00E52513">
        <w:rPr>
          <w:i/>
        </w:rPr>
        <w:t xml:space="preserve"> ‘what do you need</w:t>
      </w:r>
      <w:r w:rsidR="00705155" w:rsidRPr="00E52513">
        <w:rPr>
          <w:i/>
        </w:rPr>
        <w:t>?’</w:t>
      </w:r>
      <w:r w:rsidRPr="00E52513">
        <w:rPr>
          <w:i/>
        </w:rPr>
        <w:t>.” (Stakeholder)</w:t>
      </w:r>
    </w:p>
    <w:p w14:paraId="126DB1A9" w14:textId="77777777" w:rsidR="002A2934" w:rsidRPr="00E52513" w:rsidRDefault="002A2934" w:rsidP="002A2934">
      <w:r w:rsidRPr="00E52513">
        <w:t>Several stakeholders noted that many families and communities were in crisis and were often ill-equipped to deal with death, loss and grief.</w:t>
      </w:r>
    </w:p>
    <w:p w14:paraId="15455E10" w14:textId="77777777" w:rsidR="002A2934" w:rsidRPr="00E52513" w:rsidRDefault="002A2934" w:rsidP="002A2934">
      <w:pPr>
        <w:tabs>
          <w:tab w:val="left" w:pos="284"/>
        </w:tabs>
        <w:spacing w:before="120" w:after="240"/>
        <w:ind w:left="283" w:right="283"/>
        <w:rPr>
          <w:i/>
        </w:rPr>
      </w:pPr>
      <w:r w:rsidRPr="00E52513">
        <w:rPr>
          <w:i/>
        </w:rPr>
        <w:t>“The service is really critical because there are many families that are devastated after deaths, but they don’t have the capacity to deal with or understanding how to cope with loss.” (Stakeholder)</w:t>
      </w:r>
    </w:p>
    <w:p w14:paraId="418178E4" w14:textId="77777777" w:rsidR="003140E3" w:rsidRPr="00E52513" w:rsidRDefault="003140E3" w:rsidP="00705155">
      <w:pPr>
        <w:tabs>
          <w:tab w:val="left" w:pos="284"/>
        </w:tabs>
        <w:spacing w:before="120" w:after="240"/>
        <w:ind w:right="283"/>
      </w:pPr>
      <w:r w:rsidRPr="00E52513">
        <w:t>It was also noted that a service like the NICRS was also needed to provide families with emotional as well as practical support.</w:t>
      </w:r>
    </w:p>
    <w:p w14:paraId="2212F8C4" w14:textId="57F5F022" w:rsidR="003140E3" w:rsidRPr="00E52513" w:rsidRDefault="003140E3" w:rsidP="003140E3">
      <w:pPr>
        <w:tabs>
          <w:tab w:val="left" w:pos="284"/>
        </w:tabs>
        <w:spacing w:before="120" w:after="240"/>
        <w:ind w:left="283" w:right="283"/>
        <w:rPr>
          <w:i/>
        </w:rPr>
      </w:pPr>
      <w:r w:rsidRPr="00E52513">
        <w:rPr>
          <w:i/>
        </w:rPr>
        <w:t>“Nobody really caters for families left behind after a suicide, they get Centrelink but sometimes they might need a bit of a hand.” (Stakeholder)</w:t>
      </w:r>
    </w:p>
    <w:p w14:paraId="3E4BE411" w14:textId="007924E4" w:rsidR="003140E3" w:rsidRPr="00E52513" w:rsidRDefault="003140E3" w:rsidP="0028506A">
      <w:pPr>
        <w:pStyle w:val="Heading3"/>
      </w:pPr>
      <w:bookmarkStart w:id="60" w:name="_Toc35966335"/>
      <w:r w:rsidRPr="00E52513">
        <w:lastRenderedPageBreak/>
        <w:t>The need for the NICRS</w:t>
      </w:r>
      <w:bookmarkEnd w:id="60"/>
    </w:p>
    <w:p w14:paraId="5C24377B" w14:textId="076BB9E8" w:rsidR="00742103" w:rsidRPr="00E52513" w:rsidRDefault="00742103" w:rsidP="00742103">
      <w:r w:rsidRPr="00E52513">
        <w:t>There was strong consensus across all clients, stakeholders, and community members interviewed that there was a need for the NICRS and its model of care.</w:t>
      </w:r>
      <w:r w:rsidR="00233B16">
        <w:t xml:space="preserve"> </w:t>
      </w:r>
    </w:p>
    <w:p w14:paraId="21365219" w14:textId="22C88A35" w:rsidR="002A2934" w:rsidRDefault="00742103" w:rsidP="002A2934">
      <w:r w:rsidRPr="00E52513">
        <w:t xml:space="preserve">Many </w:t>
      </w:r>
      <w:r w:rsidR="002A2934" w:rsidRPr="00E52513">
        <w:t>clients interviewed reported that without the service they and their families would not have received any support and they would have been left without support at a time of significant grief.</w:t>
      </w:r>
    </w:p>
    <w:p w14:paraId="570E91D1" w14:textId="77777777" w:rsidR="00C90E4C" w:rsidRPr="00C52FAF" w:rsidRDefault="00C90E4C" w:rsidP="00C90E4C">
      <w:pPr>
        <w:shd w:val="clear" w:color="auto" w:fill="FDE9D9" w:themeFill="accent6" w:themeFillTint="33"/>
        <w:spacing w:before="240" w:after="0"/>
        <w:ind w:left="113" w:right="113"/>
        <w:rPr>
          <w:rFonts w:cs="Segoe UI"/>
          <w:b/>
          <w:sz w:val="20"/>
        </w:rPr>
      </w:pPr>
      <w:r w:rsidRPr="00C52FAF">
        <w:rPr>
          <w:rFonts w:cs="Segoe UI"/>
          <w:b/>
          <w:sz w:val="20"/>
        </w:rPr>
        <w:t>Case Study 1 – Western Australia</w:t>
      </w:r>
    </w:p>
    <w:p w14:paraId="64FCEDF8" w14:textId="77777777" w:rsidR="00C90E4C" w:rsidRPr="00C52FAF" w:rsidRDefault="00C90E4C" w:rsidP="00C90E4C">
      <w:pPr>
        <w:shd w:val="clear" w:color="auto" w:fill="FDE9D9" w:themeFill="accent6" w:themeFillTint="33"/>
        <w:ind w:left="113" w:right="113"/>
        <w:rPr>
          <w:rFonts w:cs="Segoe UI"/>
          <w:sz w:val="20"/>
        </w:rPr>
      </w:pPr>
      <w:r w:rsidRPr="00C52FAF">
        <w:rPr>
          <w:rFonts w:cs="Segoe UI"/>
          <w:sz w:val="20"/>
        </w:rPr>
        <w:t xml:space="preserve">Leanne* became engaged with the NICRS following the death of her teenage son. At the time of the death she was also experiencing domestic violence and she still had other children who had high care needs. </w:t>
      </w:r>
    </w:p>
    <w:p w14:paraId="56423B47" w14:textId="77777777" w:rsidR="00C90E4C" w:rsidRPr="00C52FAF" w:rsidRDefault="00C90E4C" w:rsidP="00C90E4C">
      <w:pPr>
        <w:shd w:val="clear" w:color="auto" w:fill="FDE9D9" w:themeFill="accent6" w:themeFillTint="33"/>
        <w:ind w:left="113" w:right="113"/>
        <w:rPr>
          <w:rFonts w:cs="Segoe UI"/>
          <w:sz w:val="20"/>
        </w:rPr>
      </w:pPr>
      <w:r w:rsidRPr="00C52FAF">
        <w:rPr>
          <w:rFonts w:cs="Segoe UI"/>
          <w:sz w:val="20"/>
        </w:rPr>
        <w:t>Leanne had never heard of the NICRS but was contacted directly by one of the CRSAs and accepted their support. She was well connected in the Aboriginal community and also in her church community from which she derived a lot of comfort and she was happy to draw on community for practical help but appreciated the neutrality of the service.</w:t>
      </w:r>
    </w:p>
    <w:p w14:paraId="45E8FA1E" w14:textId="77777777" w:rsidR="00C90E4C" w:rsidRPr="00C52FAF" w:rsidRDefault="00C90E4C" w:rsidP="00C90E4C">
      <w:pPr>
        <w:shd w:val="clear" w:color="auto" w:fill="FDE9D9" w:themeFill="accent6" w:themeFillTint="33"/>
        <w:ind w:left="113" w:right="113"/>
        <w:rPr>
          <w:rFonts w:cs="Segoe UI"/>
          <w:i/>
          <w:sz w:val="20"/>
        </w:rPr>
      </w:pPr>
      <w:r w:rsidRPr="00C52FAF">
        <w:rPr>
          <w:rFonts w:cs="Segoe UI"/>
          <w:i/>
          <w:sz w:val="20"/>
        </w:rPr>
        <w:t xml:space="preserve"> “I knew I had someone to trust to turn to and talk to. I knew everything was confidential”</w:t>
      </w:r>
    </w:p>
    <w:p w14:paraId="15D03D3F" w14:textId="37583635" w:rsidR="00C90E4C" w:rsidRPr="00C52FAF" w:rsidRDefault="00C90E4C" w:rsidP="00C90E4C">
      <w:pPr>
        <w:shd w:val="clear" w:color="auto" w:fill="FDE9D9" w:themeFill="accent6" w:themeFillTint="33"/>
        <w:ind w:left="113" w:right="113"/>
        <w:rPr>
          <w:rFonts w:cs="Segoe UI"/>
          <w:sz w:val="20"/>
        </w:rPr>
      </w:pPr>
      <w:r w:rsidRPr="00C52FAF">
        <w:rPr>
          <w:rFonts w:cs="Segoe UI"/>
          <w:sz w:val="20"/>
        </w:rPr>
        <w:t xml:space="preserve">They assisted with costs associated with the wake as there was a lot of mob around for a couple of weeks, and food vouchers. The service provided Leanne with a lot of emotional support as well and facilitated counselling for her and her children. The service also assisted her in dealing with the Coroner who wanted to conduct an autopsy against her wishes. The NICRS advised Leanne of her rights and advocated by email on her behalf and the autopsy did not go ahead. </w:t>
      </w:r>
    </w:p>
    <w:p w14:paraId="70CA6663" w14:textId="77777777" w:rsidR="00C90E4C" w:rsidRPr="00C52FAF" w:rsidRDefault="00C90E4C" w:rsidP="00C90E4C">
      <w:pPr>
        <w:shd w:val="clear" w:color="auto" w:fill="FDE9D9" w:themeFill="accent6" w:themeFillTint="33"/>
        <w:ind w:left="113" w:right="113"/>
        <w:rPr>
          <w:rFonts w:cs="Segoe UI"/>
          <w:sz w:val="20"/>
        </w:rPr>
      </w:pPr>
      <w:r w:rsidRPr="00C52FAF">
        <w:rPr>
          <w:rFonts w:cs="Segoe UI"/>
          <w:sz w:val="20"/>
        </w:rPr>
        <w:t xml:space="preserve">The NICRS also connected Leanne with housing services because she was keen to leave the area following the death. Through her own connections in the community she was also assisted with all of the logistics of moving in and out of a new home.  Overall, Leanne was happy with the support she received from the NICRS and from the CRSAs. </w:t>
      </w:r>
    </w:p>
    <w:p w14:paraId="1FC6CF44" w14:textId="77777777" w:rsidR="00C90E4C" w:rsidRPr="00C52FAF" w:rsidRDefault="00C90E4C" w:rsidP="00C90E4C">
      <w:pPr>
        <w:shd w:val="clear" w:color="auto" w:fill="FDE9D9" w:themeFill="accent6" w:themeFillTint="33"/>
        <w:spacing w:after="120"/>
        <w:ind w:left="113" w:right="113"/>
        <w:rPr>
          <w:rFonts w:cs="Segoe UI"/>
          <w:i/>
          <w:sz w:val="20"/>
        </w:rPr>
      </w:pPr>
      <w:r w:rsidRPr="00C52FAF">
        <w:rPr>
          <w:rFonts w:cs="Segoe UI"/>
          <w:i/>
          <w:sz w:val="20"/>
        </w:rPr>
        <w:t>“…</w:t>
      </w:r>
      <w:r>
        <w:rPr>
          <w:rFonts w:cs="Segoe UI"/>
          <w:i/>
          <w:sz w:val="20"/>
        </w:rPr>
        <w:t xml:space="preserve"> </w:t>
      </w:r>
      <w:r w:rsidRPr="00C52FAF">
        <w:rPr>
          <w:rFonts w:cs="Segoe UI"/>
          <w:i/>
          <w:sz w:val="20"/>
        </w:rPr>
        <w:t>just helped talkin</w:t>
      </w:r>
      <w:r>
        <w:rPr>
          <w:rFonts w:cs="Segoe UI"/>
          <w:i/>
          <w:sz w:val="20"/>
        </w:rPr>
        <w:t>g to them … I congratulate them.”</w:t>
      </w:r>
    </w:p>
    <w:p w14:paraId="026AD233" w14:textId="03C90A25" w:rsidR="00C90E4C" w:rsidRPr="00C90E4C" w:rsidRDefault="00C90E4C" w:rsidP="00C90E4C">
      <w:pPr>
        <w:shd w:val="clear" w:color="auto" w:fill="FDE9D9" w:themeFill="accent6" w:themeFillTint="33"/>
        <w:ind w:left="113" w:right="113"/>
        <w:rPr>
          <w:rFonts w:cs="Segoe UI"/>
          <w:sz w:val="20"/>
        </w:rPr>
      </w:pPr>
      <w:r w:rsidRPr="00C52FAF">
        <w:rPr>
          <w:rFonts w:cs="Segoe UI"/>
          <w:sz w:val="20"/>
        </w:rPr>
        <w:t xml:space="preserve">* </w:t>
      </w:r>
      <w:proofErr w:type="gramStart"/>
      <w:r w:rsidRPr="00C52FAF">
        <w:rPr>
          <w:rFonts w:cs="Segoe UI"/>
          <w:sz w:val="20"/>
        </w:rPr>
        <w:t>not</w:t>
      </w:r>
      <w:proofErr w:type="gramEnd"/>
      <w:r w:rsidRPr="00C52FAF">
        <w:rPr>
          <w:rFonts w:cs="Segoe UI"/>
          <w:sz w:val="20"/>
        </w:rPr>
        <w:t xml:space="preserve"> client’s real name</w:t>
      </w:r>
    </w:p>
    <w:p w14:paraId="51146888" w14:textId="5296DFDE" w:rsidR="00BB0116" w:rsidRDefault="00BB0116" w:rsidP="00BB0116">
      <w:pPr>
        <w:spacing w:before="240"/>
      </w:pPr>
    </w:p>
    <w:p w14:paraId="3BF84B18" w14:textId="393F6BB9" w:rsidR="002A2934" w:rsidRPr="00E52513" w:rsidRDefault="00742103" w:rsidP="00BB0116">
      <w:pPr>
        <w:spacing w:before="240"/>
      </w:pPr>
      <w:r w:rsidRPr="00E52513">
        <w:t xml:space="preserve">Some </w:t>
      </w:r>
      <w:r w:rsidR="002A2934" w:rsidRPr="00E52513">
        <w:t xml:space="preserve">clients and several stakeholders felt </w:t>
      </w:r>
      <w:r w:rsidRPr="00E52513">
        <w:t xml:space="preserve">that where </w:t>
      </w:r>
      <w:r w:rsidR="002A2934" w:rsidRPr="00E52513">
        <w:t xml:space="preserve">the service had been </w:t>
      </w:r>
      <w:r w:rsidRPr="00E52513">
        <w:t xml:space="preserve">delivered it had been </w:t>
      </w:r>
      <w:r w:rsidR="002A2934" w:rsidRPr="00E52513">
        <w:t>critical to support</w:t>
      </w:r>
      <w:r w:rsidRPr="00E52513">
        <w:t>ing</w:t>
      </w:r>
      <w:r w:rsidR="002A2934" w:rsidRPr="00E52513">
        <w:t xml:space="preserve"> families cope with their grief primarily by supporting them with the logistical issues </w:t>
      </w:r>
      <w:r w:rsidRPr="00E52513">
        <w:t>or practical support</w:t>
      </w:r>
      <w:r w:rsidR="002A2934" w:rsidRPr="00E52513">
        <w:t>.</w:t>
      </w:r>
    </w:p>
    <w:p w14:paraId="3F65B288" w14:textId="0BA724BE" w:rsidR="002A2934" w:rsidRPr="00E52513" w:rsidRDefault="002A2934" w:rsidP="002A2934">
      <w:pPr>
        <w:tabs>
          <w:tab w:val="left" w:pos="284"/>
        </w:tabs>
        <w:spacing w:before="120" w:after="240"/>
        <w:ind w:left="283" w:right="283"/>
        <w:rPr>
          <w:i/>
        </w:rPr>
      </w:pPr>
      <w:r w:rsidRPr="00E52513">
        <w:rPr>
          <w:i/>
        </w:rPr>
        <w:t>“…without the service we would not have had anywhere else to turn to for help.” (Client)</w:t>
      </w:r>
    </w:p>
    <w:p w14:paraId="3B7EEAF1" w14:textId="28469053" w:rsidR="002A2934" w:rsidRPr="00E52513" w:rsidRDefault="002A2934" w:rsidP="002A2934">
      <w:r w:rsidRPr="00E52513">
        <w:t xml:space="preserve">In some </w:t>
      </w:r>
      <w:r w:rsidR="00C01987" w:rsidRPr="00E52513">
        <w:t>instances</w:t>
      </w:r>
      <w:r w:rsidRPr="00E52513">
        <w:t xml:space="preserve">, clients and stakeholders reported that there can be a reluctance to reach out for support from local providers or community services such as NGOs, ACCHS or local church communities because they </w:t>
      </w:r>
      <w:r w:rsidR="00742103" w:rsidRPr="00E52513">
        <w:t xml:space="preserve">prefer not to </w:t>
      </w:r>
      <w:r w:rsidRPr="00E52513">
        <w:t>disclose their personal matters to other local people or services</w:t>
      </w:r>
      <w:r w:rsidR="00742103" w:rsidRPr="00E52513">
        <w:t xml:space="preserve">. In </w:t>
      </w:r>
      <w:r w:rsidRPr="00E52513">
        <w:t>such cases</w:t>
      </w:r>
      <w:r w:rsidR="007247D5" w:rsidRPr="00E52513">
        <w:t>,</w:t>
      </w:r>
      <w:r w:rsidRPr="00E52513">
        <w:t xml:space="preserve"> </w:t>
      </w:r>
      <w:r w:rsidR="00742103" w:rsidRPr="00E52513">
        <w:t xml:space="preserve">the clients viewed the </w:t>
      </w:r>
      <w:r w:rsidRPr="00E52513">
        <w:t>CRSAs as ‘neutral’ players focussed on the needs of their family.</w:t>
      </w:r>
    </w:p>
    <w:p w14:paraId="0F07E9BC" w14:textId="7256627B" w:rsidR="002A2934" w:rsidRPr="00E52513" w:rsidRDefault="002A2934" w:rsidP="002A2934">
      <w:r w:rsidRPr="00E52513">
        <w:t>For some clients experiencing poverty and financial hardship the service was critical immediately after the incident to ensure they had money for travel (fuel or public transport), food, and bills or to manage costs associated with other family visiting for the funeral:</w:t>
      </w:r>
    </w:p>
    <w:p w14:paraId="3D9E7E08" w14:textId="201E52C6" w:rsidR="002A2934" w:rsidRPr="00E52513" w:rsidRDefault="002A2934" w:rsidP="002A2934">
      <w:pPr>
        <w:tabs>
          <w:tab w:val="left" w:pos="284"/>
        </w:tabs>
        <w:spacing w:before="120" w:after="240"/>
        <w:ind w:left="283" w:right="283"/>
        <w:rPr>
          <w:i/>
        </w:rPr>
      </w:pPr>
      <w:r w:rsidRPr="00E52513">
        <w:rPr>
          <w:i/>
        </w:rPr>
        <w:lastRenderedPageBreak/>
        <w:t>“If this service wasn’t here my kids would have gone without decent meals with car repairs and funeral costs. I was also able to get vouchers</w:t>
      </w:r>
      <w:r w:rsidR="006E4C2E">
        <w:rPr>
          <w:i/>
        </w:rPr>
        <w:t xml:space="preserve"> </w:t>
      </w:r>
      <w:r w:rsidRPr="00E52513">
        <w:rPr>
          <w:i/>
        </w:rPr>
        <w:t>… my kids could use them to get lunchboxes and stuff for school.” (Client)</w:t>
      </w:r>
    </w:p>
    <w:p w14:paraId="0455BD3F" w14:textId="5DC3B8D2" w:rsidR="002A2934" w:rsidRPr="00E52513" w:rsidRDefault="00C01987" w:rsidP="002A2934">
      <w:r w:rsidRPr="00E52513">
        <w:t xml:space="preserve">It was also reported by several </w:t>
      </w:r>
      <w:r w:rsidR="002A2934" w:rsidRPr="00E52513">
        <w:t xml:space="preserve">stakeholders </w:t>
      </w:r>
      <w:r w:rsidRPr="00E52513">
        <w:t xml:space="preserve">that there was potential for the program to also </w:t>
      </w:r>
      <w:r w:rsidR="002A2934" w:rsidRPr="00E52513">
        <w:t>respond to other family members who may be at risk of suicide:</w:t>
      </w:r>
    </w:p>
    <w:p w14:paraId="6849C02C" w14:textId="50D07152" w:rsidR="002A2934" w:rsidRPr="00E52513" w:rsidRDefault="002A2934" w:rsidP="002A2934">
      <w:pPr>
        <w:tabs>
          <w:tab w:val="left" w:pos="284"/>
        </w:tabs>
        <w:spacing w:before="120" w:after="240"/>
        <w:ind w:left="283" w:right="283"/>
        <w:rPr>
          <w:i/>
        </w:rPr>
      </w:pPr>
      <w:r w:rsidRPr="00E52513">
        <w:rPr>
          <w:i/>
        </w:rPr>
        <w:t>“…</w:t>
      </w:r>
      <w:r w:rsidR="006E4C2E">
        <w:rPr>
          <w:i/>
        </w:rPr>
        <w:t xml:space="preserve"> </w:t>
      </w:r>
      <w:r w:rsidRPr="00E52513">
        <w:rPr>
          <w:i/>
        </w:rPr>
        <w:t>they were able to provide the family with counselling, which was critical because we were worried that one of the siblings was at risk of suicide because they felt guilty about not doing more to stop the death.” (Stakeholder)</w:t>
      </w:r>
    </w:p>
    <w:p w14:paraId="23A3C593" w14:textId="5FDE9393" w:rsidR="00A8527E" w:rsidRPr="00E52513" w:rsidRDefault="00A8527E" w:rsidP="00152634">
      <w:pPr>
        <w:pStyle w:val="Heading2"/>
      </w:pPr>
      <w:bookmarkStart w:id="61" w:name="_Toc54966631"/>
      <w:r w:rsidRPr="00E52513">
        <w:t>Approach of the service</w:t>
      </w:r>
      <w:bookmarkEnd w:id="61"/>
    </w:p>
    <w:p w14:paraId="0E6E4BF7" w14:textId="313A5CBA" w:rsidR="00832EE8" w:rsidRDefault="00A8527E" w:rsidP="00A8527E">
      <w:r w:rsidRPr="00E52513">
        <w:t xml:space="preserve">The interviews indicated that while </w:t>
      </w:r>
      <w:r w:rsidR="002509FC" w:rsidRPr="00E52513">
        <w:t xml:space="preserve">a </w:t>
      </w:r>
      <w:r w:rsidRPr="00E52513">
        <w:t xml:space="preserve">service like the NICRS was valued and sorely needed, many stakeholders felt that the national approach of the service was unsustainable </w:t>
      </w:r>
      <w:r w:rsidR="002509FC" w:rsidRPr="00E52513">
        <w:t xml:space="preserve">and less effective in </w:t>
      </w:r>
      <w:r w:rsidRPr="00E52513">
        <w:t>truly respond</w:t>
      </w:r>
      <w:r w:rsidR="002509FC" w:rsidRPr="00E52513">
        <w:t>ing</w:t>
      </w:r>
      <w:r w:rsidRPr="00E52513">
        <w:t xml:space="preserve"> to the needs of </w:t>
      </w:r>
      <w:r w:rsidR="00140F8F" w:rsidRPr="00BD6C0F">
        <w:rPr>
          <w:i/>
          <w:iCs/>
        </w:rPr>
        <w:t>specific</w:t>
      </w:r>
      <w:r w:rsidR="00140F8F">
        <w:t xml:space="preserve"> </w:t>
      </w:r>
      <w:r w:rsidRPr="00E52513">
        <w:t xml:space="preserve">communities and </w:t>
      </w:r>
      <w:r w:rsidR="00140F8F" w:rsidRPr="00BD6C0F">
        <w:rPr>
          <w:i/>
          <w:iCs/>
        </w:rPr>
        <w:t>specific</w:t>
      </w:r>
      <w:r w:rsidR="00140F8F">
        <w:t xml:space="preserve"> </w:t>
      </w:r>
      <w:r w:rsidRPr="00E52513">
        <w:t>individuals affected by suicide and trauma.</w:t>
      </w:r>
      <w:r w:rsidR="00241351">
        <w:t xml:space="preserve"> </w:t>
      </w:r>
      <w:r w:rsidR="00233B16">
        <w:t xml:space="preserve"> </w:t>
      </w:r>
    </w:p>
    <w:p w14:paraId="43E2FE4A" w14:textId="7A698B08" w:rsidR="00893B05" w:rsidRDefault="00893B05" w:rsidP="00893B05">
      <w:r>
        <w:t xml:space="preserve">At an individual level </w:t>
      </w:r>
      <w:r w:rsidR="00140F8F">
        <w:t xml:space="preserve">the NICRS seems to perform better. </w:t>
      </w:r>
      <w:r w:rsidR="00BD6C0F">
        <w:t xml:space="preserve">It was reported that </w:t>
      </w:r>
      <w:r>
        <w:t xml:space="preserve">CRSAs worked closely with clients to help them to identify their </w:t>
      </w:r>
      <w:r w:rsidR="00140F8F">
        <w:t xml:space="preserve">unique circumstances and </w:t>
      </w:r>
      <w:r w:rsidR="00EA1869">
        <w:t>support requirements</w:t>
      </w:r>
      <w:r>
        <w:t xml:space="preserve">, indicating that to some extent the service was adaptive to individual needs. But at a broad community level, the findings suggested that local communities did not appear to have a strong input into how the service was delivered or that the service was being delivered in a way that </w:t>
      </w:r>
      <w:r w:rsidR="00140F8F">
        <w:t xml:space="preserve">was </w:t>
      </w:r>
      <w:r>
        <w:t>adapted to and responded to specific community needs.</w:t>
      </w:r>
      <w:r w:rsidR="00140F8F">
        <w:t xml:space="preserve"> The model of care does not seem to be have been materially modified as a result of community (or stakeholder) feedback.</w:t>
      </w:r>
    </w:p>
    <w:p w14:paraId="7E717CC4" w14:textId="25D61530" w:rsidR="00A8527E" w:rsidRPr="00E52513" w:rsidRDefault="00A8527E" w:rsidP="00A8527E">
      <w:r w:rsidRPr="00E52513">
        <w:t>Across all jurisdictions visited, it was reported by most stakeholders, including from ACCHS, P</w:t>
      </w:r>
      <w:r w:rsidR="008759E9" w:rsidRPr="00E52513">
        <w:t>rimary Healthcare Networks (P</w:t>
      </w:r>
      <w:r w:rsidRPr="00E52513">
        <w:t>HNs</w:t>
      </w:r>
      <w:r w:rsidR="008759E9" w:rsidRPr="00E52513">
        <w:t>)</w:t>
      </w:r>
      <w:r w:rsidRPr="00E52513">
        <w:t xml:space="preserve">, </w:t>
      </w:r>
      <w:r w:rsidR="0004737F" w:rsidRPr="00E52513">
        <w:t>and NGO</w:t>
      </w:r>
      <w:r w:rsidRPr="00E52513">
        <w:t xml:space="preserve"> services, that in most jurisdictions the service was viewed as a ‘Fly-in-fly-out’ (FIFO) model that was disconnected from local communities.</w:t>
      </w:r>
    </w:p>
    <w:p w14:paraId="62CC77B1" w14:textId="07C1A070" w:rsidR="00A8527E" w:rsidRPr="00E52513" w:rsidRDefault="00A8527E" w:rsidP="00A8527E">
      <w:pPr>
        <w:tabs>
          <w:tab w:val="left" w:pos="284"/>
        </w:tabs>
        <w:spacing w:before="120" w:after="240"/>
        <w:ind w:left="283" w:right="283"/>
        <w:rPr>
          <w:i/>
        </w:rPr>
      </w:pPr>
      <w:r w:rsidRPr="00E52513">
        <w:rPr>
          <w:i/>
        </w:rPr>
        <w:t>“…the FIFO model is frowned upon in communities, services need to have localised strategies to ensure community connection and understanding of local contexts.” (Stakeholder)</w:t>
      </w:r>
    </w:p>
    <w:p w14:paraId="5918B151" w14:textId="366C1DAF" w:rsidR="00A8527E" w:rsidRPr="00E52513" w:rsidRDefault="00A8527E" w:rsidP="00A8527E">
      <w:r w:rsidRPr="00E52513">
        <w:t>These stakeholders argued that there was a need for a stronger emphasis on a ‘place-based’ or a local approach to ensure that the service was well connected with local services and networks and therefore had a good understanding of the context and needs of the local community.</w:t>
      </w:r>
    </w:p>
    <w:p w14:paraId="23575F79" w14:textId="28BBD273" w:rsidR="00A8527E" w:rsidRPr="00E52513" w:rsidRDefault="00A8527E" w:rsidP="00A8527E">
      <w:r w:rsidRPr="00E52513">
        <w:t>Several stakeholders felt that that the geographic areas NICRS staff were currently covering were too large</w:t>
      </w:r>
      <w:r w:rsidR="00FB6A94" w:rsidRPr="00E52513">
        <w:t>,</w:t>
      </w:r>
      <w:r w:rsidRPr="00E52513">
        <w:t xml:space="preserve"> raising concerns about the ability and capacity of the service to develop relationships and to adequately respond to local needs. The travel required to respond to the large areas was also viewed as a significant workplace health and safety risk for NICRS staff.</w:t>
      </w:r>
    </w:p>
    <w:p w14:paraId="69F65FC6" w14:textId="355ED3AC" w:rsidR="00A8527E" w:rsidRPr="00E52513" w:rsidRDefault="00FB6A94" w:rsidP="00A8527E">
      <w:r w:rsidRPr="00E52513">
        <w:t>I</w:t>
      </w:r>
      <w:r w:rsidR="00A8527E" w:rsidRPr="00E52513">
        <w:t>mmediate and practical support, such as food and petrol vouchers provided by the service, was regarded as valuable for families</w:t>
      </w:r>
      <w:r w:rsidRPr="00E52513">
        <w:t>. However, many respondents</w:t>
      </w:r>
      <w:r w:rsidR="00A8527E" w:rsidRPr="00E52513">
        <w:t xml:space="preserve"> felt that</w:t>
      </w:r>
      <w:r w:rsidRPr="00E52513">
        <w:t>,</w:t>
      </w:r>
      <w:r w:rsidR="00A8527E" w:rsidRPr="00E52513">
        <w:t xml:space="preserve"> without a local ‘presence</w:t>
      </w:r>
      <w:r w:rsidRPr="00E52513">
        <w:t>,</w:t>
      </w:r>
      <w:r w:rsidR="00A8527E" w:rsidRPr="00E52513">
        <w:t>’ that the service was limited in providing meaningful and sustained support, particularly after a funeral when emotional support was often most needed.</w:t>
      </w:r>
    </w:p>
    <w:p w14:paraId="2BC51F53" w14:textId="11EB4BF9" w:rsidR="00A8527E" w:rsidRPr="00E52513" w:rsidRDefault="00A8527E" w:rsidP="00A8527E">
      <w:pPr>
        <w:tabs>
          <w:tab w:val="left" w:pos="284"/>
        </w:tabs>
        <w:spacing w:before="120" w:after="240"/>
        <w:ind w:left="283" w:right="283"/>
        <w:rPr>
          <w:i/>
        </w:rPr>
      </w:pPr>
      <w:r w:rsidRPr="00E52513">
        <w:rPr>
          <w:i/>
        </w:rPr>
        <w:t>“…need to cultivate relationships on the ground. I’m happy with idea of immediate ‘practical’ support but need to support also post funeral…”</w:t>
      </w:r>
    </w:p>
    <w:p w14:paraId="444F7850" w14:textId="5D30FCA5" w:rsidR="00A8527E" w:rsidRPr="00E52513" w:rsidRDefault="00A8527E" w:rsidP="00A8527E">
      <w:r w:rsidRPr="00E52513">
        <w:lastRenderedPageBreak/>
        <w:t>Some stakeholders suggested a place-based approach could be achieved by training or building the capacity of local people or community leaders to provide immediate support or to act as ‘community connectors’ for the service. However, some stakeholders felt that the funding and resources of the service should be localised and distributed to community</w:t>
      </w:r>
      <w:r w:rsidR="00D73661" w:rsidRPr="00E52513">
        <w:t xml:space="preserve"> </w:t>
      </w:r>
      <w:r w:rsidRPr="00E52513">
        <w:t>controlled organisations that were already servicing and connected with local community.</w:t>
      </w:r>
    </w:p>
    <w:p w14:paraId="37C761A4" w14:textId="15A237C6" w:rsidR="00A8527E" w:rsidRPr="00E52513" w:rsidRDefault="00A8527E" w:rsidP="00C90E4C">
      <w:pPr>
        <w:ind w:right="-177"/>
      </w:pPr>
      <w:r w:rsidRPr="00E52513">
        <w:t xml:space="preserve">It was evident that stakeholders’ opposition and dissatisfaction with the current national approach of the model was having a direct impact on the implementation of the service. Some stakeholders indicated that they were reluctant and cautious to engage with the service because of the aforementioned concerns. In one jurisdiction, one </w:t>
      </w:r>
      <w:r w:rsidR="002509FC" w:rsidRPr="00E52513">
        <w:t xml:space="preserve">important </w:t>
      </w:r>
      <w:r w:rsidRPr="00E52513">
        <w:t xml:space="preserve">stakeholder organisation reported that a decision had been taken to actively refuse engagement and support of the NICRS. </w:t>
      </w:r>
      <w:r w:rsidR="002509FC" w:rsidRPr="00E52513">
        <w:t xml:space="preserve">Analysis of ORS data (see later section for more details) indicated that of 275 incidents between January 2017 and June 2019 that turned into cases, only 33% of those cases resulted in a referral, suggesting </w:t>
      </w:r>
      <w:r w:rsidR="00A659AA" w:rsidRPr="00E52513">
        <w:t>the capacity to form locally relevant service provider relationships might be limited</w:t>
      </w:r>
      <w:r w:rsidR="002509FC" w:rsidRPr="00E52513">
        <w:t xml:space="preserve">. </w:t>
      </w:r>
      <w:r w:rsidR="00A659AA" w:rsidRPr="00E52513">
        <w:t xml:space="preserve">The situation is worse in the case of referrals to an </w:t>
      </w:r>
      <w:r w:rsidR="00E03911" w:rsidRPr="00E52513">
        <w:t>ACCHS</w:t>
      </w:r>
      <w:r w:rsidR="00A659AA" w:rsidRPr="00E52513">
        <w:t>. Only 14% of the 275 cases ended in a refer</w:t>
      </w:r>
      <w:r w:rsidR="00E03911" w:rsidRPr="00E52513">
        <w:t>ral to an ACCHS</w:t>
      </w:r>
      <w:r w:rsidR="00A659AA" w:rsidRPr="00E52513">
        <w:t>.</w:t>
      </w:r>
    </w:p>
    <w:p w14:paraId="5473241A" w14:textId="355ADB07" w:rsidR="004275D2" w:rsidRPr="00E52513" w:rsidRDefault="004275D2" w:rsidP="00152634">
      <w:pPr>
        <w:pStyle w:val="Heading2"/>
      </w:pPr>
      <w:bookmarkStart w:id="62" w:name="_Toc35966337"/>
      <w:bookmarkStart w:id="63" w:name="_Toc54966632"/>
      <w:r w:rsidRPr="00E52513">
        <w:t>Reach of the service</w:t>
      </w:r>
      <w:bookmarkEnd w:id="62"/>
      <w:bookmarkEnd w:id="63"/>
    </w:p>
    <w:p w14:paraId="517B7BAA" w14:textId="26327944" w:rsidR="00705155" w:rsidRPr="00E52513" w:rsidRDefault="004275D2" w:rsidP="004275D2">
      <w:r w:rsidRPr="00E52513">
        <w:t>An estimate of the reach of the NICRS program can be obtained by comparing notifications for completed suicides with the actual number of suicides as estimated through analysis of coronial</w:t>
      </w:r>
      <w:r w:rsidRPr="00E52513">
        <w:rPr>
          <w:rStyle w:val="FootnoteReference"/>
        </w:rPr>
        <w:footnoteReference w:id="11"/>
      </w:r>
      <w:r w:rsidRPr="00E52513">
        <w:t xml:space="preserve"> data (analysis undertaken by </w:t>
      </w:r>
      <w:proofErr w:type="spellStart"/>
      <w:r w:rsidRPr="00E52513">
        <w:t>Thirrili</w:t>
      </w:r>
      <w:proofErr w:type="spellEnd"/>
      <w:r w:rsidRPr="00E52513">
        <w:t xml:space="preserve"> Ltd, 2019).</w:t>
      </w:r>
    </w:p>
    <w:p w14:paraId="3933620E" w14:textId="1C9A593B" w:rsidR="004275D2" w:rsidRPr="00E52513" w:rsidRDefault="004275D2" w:rsidP="004275D2">
      <w:r w:rsidRPr="00E52513">
        <w:t xml:space="preserve">Table </w:t>
      </w:r>
      <w:r w:rsidR="00AD7328" w:rsidRPr="00E52513">
        <w:t>7</w:t>
      </w:r>
      <w:r w:rsidRPr="00E52513">
        <w:t xml:space="preserve"> shows the comparison between NICRS reported notifications for completed suicides in 2017 and 2018 (the two completed years of data) and the suicides in those years as reported in the </w:t>
      </w:r>
      <w:proofErr w:type="spellStart"/>
      <w:r w:rsidRPr="00E52513">
        <w:t>Thirrili</w:t>
      </w:r>
      <w:proofErr w:type="spellEnd"/>
      <w:r w:rsidRPr="00E52513">
        <w:t xml:space="preserve"> Ltd (2019) analysis. The comparison is undertaken by jurisdiction.</w:t>
      </w:r>
    </w:p>
    <w:p w14:paraId="1D4ABCA3" w14:textId="3AB3419D" w:rsidR="004275D2" w:rsidRPr="00E52513" w:rsidRDefault="004275D2" w:rsidP="004275D2">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7</w:t>
      </w:r>
      <w:r w:rsidR="00D97F39">
        <w:rPr>
          <w:noProof/>
        </w:rPr>
        <w:fldChar w:fldCharType="end"/>
      </w:r>
      <w:r w:rsidRPr="00E52513">
        <w:t>: Comparison of number of NICRS notifications (for completed suicides) with suicides by year and by jurisdiction</w:t>
      </w:r>
    </w:p>
    <w:tbl>
      <w:tblPr>
        <w:tblStyle w:val="MediumGrid2-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icide notifications by year and jurisdiction"/>
        <w:tblDescription w:val="WA - notified to NICRS: 2017 21, 2018 27; estimated Indigenous suicide: 2017 31, 2018 40; estimated reach - 68%/68%; NT- notified to NICRS: 2017 20, 2018 27; estimated Indigenous suicide: 2017 22, 2018 22; estimated reach - 91%/123%; SA - notified to NICR"/>
      </w:tblPr>
      <w:tblGrid>
        <w:gridCol w:w="2542"/>
        <w:gridCol w:w="1147"/>
        <w:gridCol w:w="1809"/>
        <w:gridCol w:w="1398"/>
        <w:gridCol w:w="1458"/>
        <w:gridCol w:w="1134"/>
      </w:tblGrid>
      <w:tr w:rsidR="007912DB" w:rsidRPr="00E52513" w14:paraId="6B3680DB" w14:textId="77777777" w:rsidTr="00EA3DB8">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542" w:type="dxa"/>
            <w:vMerge w:val="restart"/>
          </w:tcPr>
          <w:p w14:paraId="57336D24" w14:textId="77777777" w:rsidR="007912DB" w:rsidRPr="00C90E4C" w:rsidRDefault="007912DB" w:rsidP="00121432">
            <w:pPr>
              <w:spacing w:before="0"/>
              <w:rPr>
                <w:rFonts w:ascii="Arial" w:hAnsi="Arial" w:cs="Arial"/>
                <w:color w:val="auto"/>
                <w:sz w:val="21"/>
                <w:szCs w:val="21"/>
              </w:rPr>
            </w:pPr>
            <w:r w:rsidRPr="00C90E4C">
              <w:rPr>
                <w:rFonts w:ascii="Arial" w:hAnsi="Arial" w:cs="Arial"/>
                <w:color w:val="auto"/>
                <w:sz w:val="21"/>
                <w:szCs w:val="21"/>
              </w:rPr>
              <w:t>Points of comparison</w:t>
            </w:r>
          </w:p>
        </w:tc>
        <w:tc>
          <w:tcPr>
            <w:tcW w:w="1147" w:type="dxa"/>
            <w:vMerge w:val="restart"/>
          </w:tcPr>
          <w:p w14:paraId="6AEEEA33" w14:textId="18084895" w:rsidR="007912DB" w:rsidRPr="00E52513" w:rsidRDefault="007912DB" w:rsidP="00121432">
            <w:pPr>
              <w:spacing w:before="0"/>
              <w:cnfStyle w:val="100000000000" w:firstRow="1" w:lastRow="0" w:firstColumn="0" w:lastColumn="0" w:oddVBand="0" w:evenVBand="0" w:oddHBand="0" w:evenHBand="0" w:firstRowFirstColumn="0" w:firstRowLastColumn="0" w:lastRowFirstColumn="0" w:lastRowLastColumn="0"/>
            </w:pPr>
            <w:r w:rsidRPr="00E52513">
              <w:t>Year</w:t>
            </w:r>
          </w:p>
        </w:tc>
        <w:tc>
          <w:tcPr>
            <w:tcW w:w="5799" w:type="dxa"/>
            <w:gridSpan w:val="4"/>
          </w:tcPr>
          <w:p w14:paraId="6A9B847C" w14:textId="7A1EA697" w:rsidR="007912DB" w:rsidRPr="00E52513" w:rsidRDefault="007912DB" w:rsidP="00121432">
            <w:pPr>
              <w:spacing w:before="0"/>
              <w:jc w:val="center"/>
              <w:cnfStyle w:val="100000000000" w:firstRow="1" w:lastRow="0" w:firstColumn="0" w:lastColumn="0" w:oddVBand="0" w:evenVBand="0" w:oddHBand="0" w:evenHBand="0" w:firstRowFirstColumn="0" w:firstRowLastColumn="0" w:lastRowFirstColumn="0" w:lastRowLastColumn="0"/>
            </w:pPr>
            <w:r w:rsidRPr="00E52513">
              <w:t>State/Territory</w:t>
            </w:r>
          </w:p>
        </w:tc>
      </w:tr>
      <w:tr w:rsidR="007912DB" w:rsidRPr="00E52513" w14:paraId="13B50E16" w14:textId="77777777" w:rsidTr="00EA3DB8">
        <w:trPr>
          <w:cnfStyle w:val="100000000000" w:firstRow="1" w:lastRow="0" w:firstColumn="0" w:lastColumn="0" w:oddVBand="0" w:evenVBand="0" w:oddHBand="0" w:evenHBand="0" w:firstRowFirstColumn="0" w:firstRowLastColumn="0" w:lastRowFirstColumn="0" w:lastRowLastColumn="0"/>
          <w:trHeight w:val="199"/>
          <w:tblHeader/>
          <w:jc w:val="center"/>
        </w:trPr>
        <w:tc>
          <w:tcPr>
            <w:cnfStyle w:val="001000000100" w:firstRow="0" w:lastRow="0" w:firstColumn="1" w:lastColumn="0" w:oddVBand="0" w:evenVBand="0" w:oddHBand="0" w:evenHBand="0" w:firstRowFirstColumn="1" w:firstRowLastColumn="0" w:lastRowFirstColumn="0" w:lastRowLastColumn="0"/>
            <w:tcW w:w="2542" w:type="dxa"/>
            <w:vMerge/>
          </w:tcPr>
          <w:p w14:paraId="24FA3C69" w14:textId="77777777" w:rsidR="007912DB" w:rsidRPr="00E52513" w:rsidRDefault="007912DB" w:rsidP="00121432">
            <w:pPr>
              <w:spacing w:before="0"/>
            </w:pPr>
          </w:p>
        </w:tc>
        <w:tc>
          <w:tcPr>
            <w:tcW w:w="1147" w:type="dxa"/>
            <w:vMerge/>
          </w:tcPr>
          <w:p w14:paraId="2EEC3C85" w14:textId="16772900" w:rsidR="007912DB" w:rsidRPr="00E52513" w:rsidRDefault="007912DB" w:rsidP="00121432">
            <w:pPr>
              <w:spacing w:before="0"/>
              <w:cnfStyle w:val="100000000000" w:firstRow="1" w:lastRow="0" w:firstColumn="0" w:lastColumn="0" w:oddVBand="0" w:evenVBand="0" w:oddHBand="0" w:evenHBand="0" w:firstRowFirstColumn="0" w:firstRowLastColumn="0" w:lastRowFirstColumn="0" w:lastRowLastColumn="0"/>
            </w:pPr>
          </w:p>
        </w:tc>
        <w:tc>
          <w:tcPr>
            <w:tcW w:w="1809" w:type="dxa"/>
          </w:tcPr>
          <w:p w14:paraId="37DA92E2" w14:textId="77777777" w:rsidR="007912DB" w:rsidRPr="00E52513" w:rsidRDefault="007912DB" w:rsidP="00121432">
            <w:pPr>
              <w:spacing w:before="0"/>
              <w:jc w:val="center"/>
              <w:cnfStyle w:val="100000000000" w:firstRow="1" w:lastRow="0" w:firstColumn="0" w:lastColumn="0" w:oddVBand="0" w:evenVBand="0" w:oddHBand="0" w:evenHBand="0" w:firstRowFirstColumn="0" w:firstRowLastColumn="0" w:lastRowFirstColumn="0" w:lastRowLastColumn="0"/>
            </w:pPr>
            <w:r w:rsidRPr="00E52513">
              <w:t>WA</w:t>
            </w:r>
          </w:p>
        </w:tc>
        <w:tc>
          <w:tcPr>
            <w:tcW w:w="1398" w:type="dxa"/>
          </w:tcPr>
          <w:p w14:paraId="5741B667" w14:textId="77777777" w:rsidR="007912DB" w:rsidRPr="00E52513" w:rsidRDefault="007912DB" w:rsidP="00121432">
            <w:pPr>
              <w:spacing w:before="0"/>
              <w:jc w:val="center"/>
              <w:cnfStyle w:val="100000000000" w:firstRow="1" w:lastRow="0" w:firstColumn="0" w:lastColumn="0" w:oddVBand="0" w:evenVBand="0" w:oddHBand="0" w:evenHBand="0" w:firstRowFirstColumn="0" w:firstRowLastColumn="0" w:lastRowFirstColumn="0" w:lastRowLastColumn="0"/>
            </w:pPr>
            <w:r w:rsidRPr="00E52513">
              <w:t>NT</w:t>
            </w:r>
          </w:p>
        </w:tc>
        <w:tc>
          <w:tcPr>
            <w:tcW w:w="1458" w:type="dxa"/>
          </w:tcPr>
          <w:p w14:paraId="0EFF6024" w14:textId="77777777" w:rsidR="007912DB" w:rsidRPr="00E52513" w:rsidRDefault="007912DB" w:rsidP="00121432">
            <w:pPr>
              <w:spacing w:before="0"/>
              <w:jc w:val="center"/>
              <w:cnfStyle w:val="100000000000" w:firstRow="1" w:lastRow="0" w:firstColumn="0" w:lastColumn="0" w:oddVBand="0" w:evenVBand="0" w:oddHBand="0" w:evenHBand="0" w:firstRowFirstColumn="0" w:firstRowLastColumn="0" w:lastRowFirstColumn="0" w:lastRowLastColumn="0"/>
            </w:pPr>
            <w:r w:rsidRPr="00E52513">
              <w:t>SA</w:t>
            </w:r>
          </w:p>
        </w:tc>
        <w:tc>
          <w:tcPr>
            <w:tcW w:w="1134" w:type="dxa"/>
          </w:tcPr>
          <w:p w14:paraId="76180CEE" w14:textId="77777777" w:rsidR="007912DB" w:rsidRPr="00E52513" w:rsidRDefault="007912DB" w:rsidP="00121432">
            <w:pPr>
              <w:spacing w:before="0"/>
              <w:jc w:val="center"/>
              <w:cnfStyle w:val="100000000000" w:firstRow="1" w:lastRow="0" w:firstColumn="0" w:lastColumn="0" w:oddVBand="0" w:evenVBand="0" w:oddHBand="0" w:evenHBand="0" w:firstRowFirstColumn="0" w:firstRowLastColumn="0" w:lastRowFirstColumn="0" w:lastRowLastColumn="0"/>
            </w:pPr>
            <w:r w:rsidRPr="00E52513">
              <w:t>QLD</w:t>
            </w:r>
          </w:p>
        </w:tc>
      </w:tr>
      <w:tr w:rsidR="004275D2" w:rsidRPr="00E52513" w14:paraId="61118F0C" w14:textId="77777777" w:rsidTr="00EA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2" w:type="dxa"/>
            <w:vMerge w:val="restart"/>
          </w:tcPr>
          <w:p w14:paraId="23EA0CC7" w14:textId="77777777" w:rsidR="004275D2" w:rsidRPr="00E52513" w:rsidRDefault="004275D2" w:rsidP="00121432">
            <w:pPr>
              <w:spacing w:before="0"/>
            </w:pPr>
            <w:r w:rsidRPr="00E52513">
              <w:t>Number of notified incidents to NICRS</w:t>
            </w:r>
          </w:p>
        </w:tc>
        <w:tc>
          <w:tcPr>
            <w:tcW w:w="1147" w:type="dxa"/>
          </w:tcPr>
          <w:p w14:paraId="64F8FD44" w14:textId="77777777" w:rsidR="004275D2" w:rsidRPr="00E52513" w:rsidRDefault="004275D2" w:rsidP="00121432">
            <w:pPr>
              <w:spacing w:before="0"/>
              <w:cnfStyle w:val="000000100000" w:firstRow="0" w:lastRow="0" w:firstColumn="0" w:lastColumn="0" w:oddVBand="0" w:evenVBand="0" w:oddHBand="1" w:evenHBand="0" w:firstRowFirstColumn="0" w:firstRowLastColumn="0" w:lastRowFirstColumn="0" w:lastRowLastColumn="0"/>
            </w:pPr>
            <w:r w:rsidRPr="00E52513">
              <w:t>2017</w:t>
            </w:r>
          </w:p>
        </w:tc>
        <w:tc>
          <w:tcPr>
            <w:tcW w:w="1809" w:type="dxa"/>
          </w:tcPr>
          <w:p w14:paraId="3F1904C7"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21</w:t>
            </w:r>
          </w:p>
        </w:tc>
        <w:tc>
          <w:tcPr>
            <w:tcW w:w="1398" w:type="dxa"/>
          </w:tcPr>
          <w:p w14:paraId="3DD90F6C" w14:textId="3D340243"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2</w:t>
            </w:r>
            <w:r w:rsidR="006652B4" w:rsidRPr="00E52513">
              <w:t>0</w:t>
            </w:r>
          </w:p>
        </w:tc>
        <w:tc>
          <w:tcPr>
            <w:tcW w:w="1458" w:type="dxa"/>
          </w:tcPr>
          <w:p w14:paraId="4B3186DD"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4</w:t>
            </w:r>
          </w:p>
        </w:tc>
        <w:tc>
          <w:tcPr>
            <w:tcW w:w="1134" w:type="dxa"/>
          </w:tcPr>
          <w:p w14:paraId="460FA3F4" w14:textId="0F479318" w:rsidR="004275D2" w:rsidRPr="00E52513" w:rsidRDefault="006652B4"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10</w:t>
            </w:r>
          </w:p>
        </w:tc>
      </w:tr>
      <w:tr w:rsidR="004275D2" w:rsidRPr="00E52513" w14:paraId="1A945DFD" w14:textId="77777777" w:rsidTr="00EA3DB8">
        <w:trPr>
          <w:jc w:val="center"/>
        </w:trPr>
        <w:tc>
          <w:tcPr>
            <w:cnfStyle w:val="001000000000" w:firstRow="0" w:lastRow="0" w:firstColumn="1" w:lastColumn="0" w:oddVBand="0" w:evenVBand="0" w:oddHBand="0" w:evenHBand="0" w:firstRowFirstColumn="0" w:firstRowLastColumn="0" w:lastRowFirstColumn="0" w:lastRowLastColumn="0"/>
            <w:tcW w:w="2542" w:type="dxa"/>
            <w:vMerge/>
          </w:tcPr>
          <w:p w14:paraId="79A99D2B" w14:textId="77777777" w:rsidR="004275D2" w:rsidRPr="00E52513" w:rsidRDefault="004275D2" w:rsidP="00121432">
            <w:pPr>
              <w:spacing w:before="0"/>
            </w:pPr>
          </w:p>
        </w:tc>
        <w:tc>
          <w:tcPr>
            <w:tcW w:w="1147" w:type="dxa"/>
          </w:tcPr>
          <w:p w14:paraId="7AFF6457" w14:textId="77777777" w:rsidR="004275D2" w:rsidRPr="00E52513" w:rsidRDefault="004275D2" w:rsidP="00121432">
            <w:pPr>
              <w:spacing w:before="0"/>
              <w:cnfStyle w:val="000000000000" w:firstRow="0" w:lastRow="0" w:firstColumn="0" w:lastColumn="0" w:oddVBand="0" w:evenVBand="0" w:oddHBand="0" w:evenHBand="0" w:firstRowFirstColumn="0" w:firstRowLastColumn="0" w:lastRowFirstColumn="0" w:lastRowLastColumn="0"/>
            </w:pPr>
            <w:r w:rsidRPr="00E52513">
              <w:t>2018</w:t>
            </w:r>
          </w:p>
        </w:tc>
        <w:tc>
          <w:tcPr>
            <w:tcW w:w="1809" w:type="dxa"/>
          </w:tcPr>
          <w:p w14:paraId="32B96933" w14:textId="47E2AF86"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2</w:t>
            </w:r>
            <w:r w:rsidR="006652B4" w:rsidRPr="00E52513">
              <w:t>7</w:t>
            </w:r>
          </w:p>
        </w:tc>
        <w:tc>
          <w:tcPr>
            <w:tcW w:w="1398" w:type="dxa"/>
          </w:tcPr>
          <w:p w14:paraId="0E058C4B"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27</w:t>
            </w:r>
          </w:p>
        </w:tc>
        <w:tc>
          <w:tcPr>
            <w:tcW w:w="1458" w:type="dxa"/>
          </w:tcPr>
          <w:p w14:paraId="05E3C6A8"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3</w:t>
            </w:r>
          </w:p>
        </w:tc>
        <w:tc>
          <w:tcPr>
            <w:tcW w:w="1134" w:type="dxa"/>
          </w:tcPr>
          <w:p w14:paraId="0E48D15C" w14:textId="5E747D2C"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2</w:t>
            </w:r>
            <w:r w:rsidR="006652B4" w:rsidRPr="00E52513">
              <w:t>5</w:t>
            </w:r>
          </w:p>
        </w:tc>
      </w:tr>
      <w:tr w:rsidR="004275D2" w:rsidRPr="00E52513" w14:paraId="7F0E707F" w14:textId="77777777" w:rsidTr="00EA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2" w:type="dxa"/>
            <w:vMerge w:val="restart"/>
          </w:tcPr>
          <w:p w14:paraId="48E662CA" w14:textId="1458ADEF" w:rsidR="004275D2" w:rsidRPr="00E52513" w:rsidRDefault="004275D2" w:rsidP="00121432">
            <w:pPr>
              <w:spacing w:before="0"/>
            </w:pPr>
            <w:r w:rsidRPr="00E52513">
              <w:t>Estimated n</w:t>
            </w:r>
            <w:r w:rsidR="00C90E4C">
              <w:t xml:space="preserve">o. </w:t>
            </w:r>
            <w:r w:rsidRPr="00E52513">
              <w:t xml:space="preserve">of Indigenous suicides* (Coronial data) </w:t>
            </w:r>
          </w:p>
        </w:tc>
        <w:tc>
          <w:tcPr>
            <w:tcW w:w="1147" w:type="dxa"/>
          </w:tcPr>
          <w:p w14:paraId="4968BBD8" w14:textId="77777777" w:rsidR="004275D2" w:rsidRPr="00E52513" w:rsidRDefault="004275D2" w:rsidP="00121432">
            <w:pPr>
              <w:spacing w:before="0"/>
              <w:cnfStyle w:val="000000100000" w:firstRow="0" w:lastRow="0" w:firstColumn="0" w:lastColumn="0" w:oddVBand="0" w:evenVBand="0" w:oddHBand="1" w:evenHBand="0" w:firstRowFirstColumn="0" w:firstRowLastColumn="0" w:lastRowFirstColumn="0" w:lastRowLastColumn="0"/>
            </w:pPr>
            <w:r w:rsidRPr="00E52513">
              <w:t>2017</w:t>
            </w:r>
          </w:p>
        </w:tc>
        <w:tc>
          <w:tcPr>
            <w:tcW w:w="1809" w:type="dxa"/>
          </w:tcPr>
          <w:p w14:paraId="51FB2CDA"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31</w:t>
            </w:r>
          </w:p>
        </w:tc>
        <w:tc>
          <w:tcPr>
            <w:tcW w:w="1398" w:type="dxa"/>
          </w:tcPr>
          <w:p w14:paraId="2BF489CD"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22</w:t>
            </w:r>
          </w:p>
        </w:tc>
        <w:tc>
          <w:tcPr>
            <w:tcW w:w="1458" w:type="dxa"/>
          </w:tcPr>
          <w:p w14:paraId="5F5758CF"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9 / 117**</w:t>
            </w:r>
          </w:p>
        </w:tc>
        <w:tc>
          <w:tcPr>
            <w:tcW w:w="1134" w:type="dxa"/>
          </w:tcPr>
          <w:p w14:paraId="34F6E726"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112</w:t>
            </w:r>
          </w:p>
        </w:tc>
      </w:tr>
      <w:tr w:rsidR="004275D2" w:rsidRPr="00E52513" w14:paraId="71377052" w14:textId="77777777" w:rsidTr="00EA3DB8">
        <w:trPr>
          <w:trHeight w:val="451"/>
          <w:jc w:val="center"/>
        </w:trPr>
        <w:tc>
          <w:tcPr>
            <w:cnfStyle w:val="001000000000" w:firstRow="0" w:lastRow="0" w:firstColumn="1" w:lastColumn="0" w:oddVBand="0" w:evenVBand="0" w:oddHBand="0" w:evenHBand="0" w:firstRowFirstColumn="0" w:firstRowLastColumn="0" w:lastRowFirstColumn="0" w:lastRowLastColumn="0"/>
            <w:tcW w:w="2542" w:type="dxa"/>
            <w:vMerge/>
          </w:tcPr>
          <w:p w14:paraId="67FEB437" w14:textId="77777777" w:rsidR="004275D2" w:rsidRPr="00E52513" w:rsidRDefault="004275D2" w:rsidP="00121432">
            <w:pPr>
              <w:spacing w:before="0"/>
            </w:pPr>
          </w:p>
        </w:tc>
        <w:tc>
          <w:tcPr>
            <w:tcW w:w="1147" w:type="dxa"/>
          </w:tcPr>
          <w:p w14:paraId="31549A64" w14:textId="77777777" w:rsidR="004275D2" w:rsidRPr="00E52513" w:rsidRDefault="004275D2" w:rsidP="00121432">
            <w:pPr>
              <w:spacing w:before="0"/>
              <w:cnfStyle w:val="000000000000" w:firstRow="0" w:lastRow="0" w:firstColumn="0" w:lastColumn="0" w:oddVBand="0" w:evenVBand="0" w:oddHBand="0" w:evenHBand="0" w:firstRowFirstColumn="0" w:firstRowLastColumn="0" w:lastRowFirstColumn="0" w:lastRowLastColumn="0"/>
            </w:pPr>
            <w:r w:rsidRPr="00E52513">
              <w:t>2018</w:t>
            </w:r>
          </w:p>
        </w:tc>
        <w:tc>
          <w:tcPr>
            <w:tcW w:w="1809" w:type="dxa"/>
          </w:tcPr>
          <w:p w14:paraId="15B3C433"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40</w:t>
            </w:r>
          </w:p>
        </w:tc>
        <w:tc>
          <w:tcPr>
            <w:tcW w:w="1398" w:type="dxa"/>
          </w:tcPr>
          <w:p w14:paraId="2C7A9226"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22</w:t>
            </w:r>
          </w:p>
        </w:tc>
        <w:tc>
          <w:tcPr>
            <w:tcW w:w="1458" w:type="dxa"/>
          </w:tcPr>
          <w:p w14:paraId="7545896D"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3 / 133**</w:t>
            </w:r>
          </w:p>
        </w:tc>
        <w:tc>
          <w:tcPr>
            <w:tcW w:w="1134" w:type="dxa"/>
          </w:tcPr>
          <w:p w14:paraId="07B621B2"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51</w:t>
            </w:r>
          </w:p>
        </w:tc>
      </w:tr>
      <w:tr w:rsidR="004275D2" w:rsidRPr="00E52513" w14:paraId="365336DB" w14:textId="77777777" w:rsidTr="00EA3D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2" w:type="dxa"/>
            <w:vMerge w:val="restart"/>
          </w:tcPr>
          <w:p w14:paraId="76DCDEA4" w14:textId="77777777" w:rsidR="004275D2" w:rsidRPr="00E52513" w:rsidRDefault="004275D2" w:rsidP="00121432">
            <w:pPr>
              <w:spacing w:before="0"/>
            </w:pPr>
            <w:r w:rsidRPr="00E52513">
              <w:t>Estimated reach (NICRS / Coronial)</w:t>
            </w:r>
          </w:p>
        </w:tc>
        <w:tc>
          <w:tcPr>
            <w:tcW w:w="1147" w:type="dxa"/>
          </w:tcPr>
          <w:p w14:paraId="1256264D" w14:textId="77777777" w:rsidR="004275D2" w:rsidRPr="00E52513" w:rsidRDefault="004275D2" w:rsidP="00121432">
            <w:pPr>
              <w:spacing w:before="0"/>
              <w:cnfStyle w:val="000000100000" w:firstRow="0" w:lastRow="0" w:firstColumn="0" w:lastColumn="0" w:oddVBand="0" w:evenVBand="0" w:oddHBand="1" w:evenHBand="0" w:firstRowFirstColumn="0" w:firstRowLastColumn="0" w:lastRowFirstColumn="0" w:lastRowLastColumn="0"/>
            </w:pPr>
            <w:r w:rsidRPr="00E52513">
              <w:t>2017</w:t>
            </w:r>
          </w:p>
        </w:tc>
        <w:tc>
          <w:tcPr>
            <w:tcW w:w="1809" w:type="dxa"/>
          </w:tcPr>
          <w:p w14:paraId="0E082108"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68%</w:t>
            </w:r>
          </w:p>
        </w:tc>
        <w:tc>
          <w:tcPr>
            <w:tcW w:w="1398" w:type="dxa"/>
          </w:tcPr>
          <w:p w14:paraId="68E7E733" w14:textId="35F2E47D"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9</w:t>
            </w:r>
            <w:r w:rsidR="006652B4" w:rsidRPr="00E52513">
              <w:t>1</w:t>
            </w:r>
            <w:r w:rsidRPr="00E52513">
              <w:t>%</w:t>
            </w:r>
          </w:p>
        </w:tc>
        <w:tc>
          <w:tcPr>
            <w:tcW w:w="1458" w:type="dxa"/>
          </w:tcPr>
          <w:p w14:paraId="239D91AE" w14:textId="77777777" w:rsidR="004275D2" w:rsidRPr="00E52513" w:rsidRDefault="004275D2"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44% / 3%</w:t>
            </w:r>
          </w:p>
        </w:tc>
        <w:tc>
          <w:tcPr>
            <w:tcW w:w="1134" w:type="dxa"/>
          </w:tcPr>
          <w:p w14:paraId="6EEA873E" w14:textId="423471A4" w:rsidR="004275D2" w:rsidRPr="00E52513" w:rsidRDefault="006652B4" w:rsidP="00121432">
            <w:pPr>
              <w:spacing w:before="0"/>
              <w:jc w:val="center"/>
              <w:cnfStyle w:val="000000100000" w:firstRow="0" w:lastRow="0" w:firstColumn="0" w:lastColumn="0" w:oddVBand="0" w:evenVBand="0" w:oddHBand="1" w:evenHBand="0" w:firstRowFirstColumn="0" w:firstRowLastColumn="0" w:lastRowFirstColumn="0" w:lastRowLastColumn="0"/>
            </w:pPr>
            <w:r w:rsidRPr="00E52513">
              <w:t>9</w:t>
            </w:r>
            <w:r w:rsidR="004275D2" w:rsidRPr="00E52513">
              <w:t>%</w:t>
            </w:r>
          </w:p>
        </w:tc>
      </w:tr>
      <w:tr w:rsidR="004275D2" w:rsidRPr="00E52513" w14:paraId="5CCCDBB6" w14:textId="77777777" w:rsidTr="00EA3DB8">
        <w:trPr>
          <w:jc w:val="center"/>
        </w:trPr>
        <w:tc>
          <w:tcPr>
            <w:cnfStyle w:val="001000000000" w:firstRow="0" w:lastRow="0" w:firstColumn="1" w:lastColumn="0" w:oddVBand="0" w:evenVBand="0" w:oddHBand="0" w:evenHBand="0" w:firstRowFirstColumn="0" w:firstRowLastColumn="0" w:lastRowFirstColumn="0" w:lastRowLastColumn="0"/>
            <w:tcW w:w="2542" w:type="dxa"/>
            <w:vMerge/>
          </w:tcPr>
          <w:p w14:paraId="316C479A" w14:textId="77777777" w:rsidR="004275D2" w:rsidRPr="00E52513" w:rsidRDefault="004275D2" w:rsidP="00121432">
            <w:pPr>
              <w:spacing w:before="0"/>
            </w:pPr>
          </w:p>
        </w:tc>
        <w:tc>
          <w:tcPr>
            <w:tcW w:w="1147" w:type="dxa"/>
          </w:tcPr>
          <w:p w14:paraId="2203A2D5" w14:textId="77777777" w:rsidR="004275D2" w:rsidRPr="00E52513" w:rsidRDefault="004275D2" w:rsidP="00121432">
            <w:pPr>
              <w:spacing w:before="0"/>
              <w:cnfStyle w:val="000000000000" w:firstRow="0" w:lastRow="0" w:firstColumn="0" w:lastColumn="0" w:oddVBand="0" w:evenVBand="0" w:oddHBand="0" w:evenHBand="0" w:firstRowFirstColumn="0" w:firstRowLastColumn="0" w:lastRowFirstColumn="0" w:lastRowLastColumn="0"/>
            </w:pPr>
            <w:r w:rsidRPr="00E52513">
              <w:t>2018</w:t>
            </w:r>
          </w:p>
        </w:tc>
        <w:tc>
          <w:tcPr>
            <w:tcW w:w="1809" w:type="dxa"/>
          </w:tcPr>
          <w:p w14:paraId="008A8E97" w14:textId="70F87F6F"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6</w:t>
            </w:r>
            <w:r w:rsidR="006652B4" w:rsidRPr="00E52513">
              <w:t>8</w:t>
            </w:r>
            <w:r w:rsidRPr="00E52513">
              <w:t>%</w:t>
            </w:r>
          </w:p>
        </w:tc>
        <w:tc>
          <w:tcPr>
            <w:tcW w:w="1398" w:type="dxa"/>
          </w:tcPr>
          <w:p w14:paraId="5E8CD5B9"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123%</w:t>
            </w:r>
            <w:r w:rsidRPr="00E52513">
              <w:rPr>
                <w:rStyle w:val="FootnoteReference"/>
              </w:rPr>
              <w:footnoteReference w:id="12"/>
            </w:r>
          </w:p>
        </w:tc>
        <w:tc>
          <w:tcPr>
            <w:tcW w:w="1458" w:type="dxa"/>
          </w:tcPr>
          <w:p w14:paraId="5BF0141D" w14:textId="77777777" w:rsidR="004275D2" w:rsidRPr="00E52513" w:rsidRDefault="004275D2"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100% / 2%</w:t>
            </w:r>
          </w:p>
        </w:tc>
        <w:tc>
          <w:tcPr>
            <w:tcW w:w="1134" w:type="dxa"/>
          </w:tcPr>
          <w:p w14:paraId="24409625" w14:textId="083DC3E2" w:rsidR="004275D2" w:rsidRPr="00E52513" w:rsidRDefault="006652B4" w:rsidP="00121432">
            <w:pPr>
              <w:spacing w:before="0"/>
              <w:jc w:val="center"/>
              <w:cnfStyle w:val="000000000000" w:firstRow="0" w:lastRow="0" w:firstColumn="0" w:lastColumn="0" w:oddVBand="0" w:evenVBand="0" w:oddHBand="0" w:evenHBand="0" w:firstRowFirstColumn="0" w:firstRowLastColumn="0" w:lastRowFirstColumn="0" w:lastRowLastColumn="0"/>
            </w:pPr>
            <w:r w:rsidRPr="00E52513">
              <w:t>49</w:t>
            </w:r>
            <w:r w:rsidR="004275D2" w:rsidRPr="00E52513">
              <w:t>%</w:t>
            </w:r>
          </w:p>
        </w:tc>
      </w:tr>
    </w:tbl>
    <w:p w14:paraId="3A15BFE4" w14:textId="77777777" w:rsidR="004275D2" w:rsidRPr="00E52513" w:rsidRDefault="004275D2" w:rsidP="004275D2">
      <w:pPr>
        <w:ind w:left="720"/>
        <w:rPr>
          <w:sz w:val="20"/>
        </w:rPr>
      </w:pPr>
      <w:r w:rsidRPr="00E52513">
        <w:rPr>
          <w:sz w:val="20"/>
        </w:rPr>
        <w:lastRenderedPageBreak/>
        <w:t>* Includes ‘Unlikely to be known’ which are believed to be mostly Indigenous</w:t>
      </w:r>
    </w:p>
    <w:p w14:paraId="6F6F6172" w14:textId="3E65AF82" w:rsidR="004275D2" w:rsidRPr="00E52513" w:rsidRDefault="004275D2" w:rsidP="004275D2">
      <w:pPr>
        <w:ind w:left="720"/>
        <w:rPr>
          <w:sz w:val="20"/>
        </w:rPr>
      </w:pPr>
      <w:r w:rsidRPr="00E52513">
        <w:rPr>
          <w:sz w:val="20"/>
        </w:rPr>
        <w:t xml:space="preserve">** There are </w:t>
      </w:r>
      <w:r w:rsidR="00315C77" w:rsidRPr="00E52513">
        <w:rPr>
          <w:sz w:val="20"/>
        </w:rPr>
        <w:t>large</w:t>
      </w:r>
      <w:r w:rsidRPr="00E52513">
        <w:rPr>
          <w:sz w:val="20"/>
        </w:rPr>
        <w:t xml:space="preserve"> numbers of ‘Unlikely to be known’ in the SA coroner numbers</w:t>
      </w:r>
    </w:p>
    <w:p w14:paraId="41A0AF8A" w14:textId="77777777" w:rsidR="00AD7328" w:rsidRPr="00E52513" w:rsidRDefault="00AD7328" w:rsidP="00AD7328">
      <w:pPr>
        <w:rPr>
          <w:b/>
          <w:bCs/>
          <w:color w:val="009CDA"/>
          <w:sz w:val="20"/>
          <w:szCs w:val="18"/>
        </w:rPr>
      </w:pPr>
      <w:bookmarkStart w:id="64" w:name="_Toc35966338"/>
      <w:r w:rsidRPr="00E52513">
        <w:t>The program reach measured in this way suggests that NT and WA (the two earliest implemented jurisdictions) have achieved significant reach (being notified of well over half of total incidents to almost all incidents) while QLD and SA, depending on how the coroner statistics are interpreted, have much lower levels of reach. This could be explained by the later commencement of program activity in those two sites but also the lower level of resources.</w:t>
      </w:r>
    </w:p>
    <w:p w14:paraId="5932D568" w14:textId="553FFDE7" w:rsidR="008D50E4" w:rsidRPr="00E52513" w:rsidRDefault="008D50E4" w:rsidP="00152634">
      <w:pPr>
        <w:pStyle w:val="Heading2"/>
      </w:pPr>
      <w:bookmarkStart w:id="65" w:name="_Toc54966633"/>
      <w:r w:rsidRPr="00E52513">
        <w:t>Engagement and relationships with stakeholders</w:t>
      </w:r>
      <w:bookmarkEnd w:id="64"/>
      <w:bookmarkEnd w:id="65"/>
    </w:p>
    <w:p w14:paraId="2B58B0CB" w14:textId="77777777" w:rsidR="009F54FE" w:rsidRPr="00E52513" w:rsidRDefault="009F54FE" w:rsidP="002243EF">
      <w:pPr>
        <w:pStyle w:val="Heading3"/>
      </w:pPr>
      <w:bookmarkStart w:id="66" w:name="_Toc35966339"/>
      <w:r w:rsidRPr="00E52513">
        <w:t>Increased promotion of the NICRS is needed</w:t>
      </w:r>
    </w:p>
    <w:p w14:paraId="19B03DE5" w14:textId="492DE6F2" w:rsidR="001E0F90" w:rsidRPr="00E52513" w:rsidRDefault="009F54FE" w:rsidP="00705155">
      <w:r w:rsidRPr="00E52513">
        <w:t xml:space="preserve">Interviews with clients and stakeholders strongly indicated that greater promotion of the NICRS was required to increase the profile and awareness of the service. </w:t>
      </w:r>
      <w:bookmarkEnd w:id="66"/>
      <w:r w:rsidR="001E0F90" w:rsidRPr="00E52513">
        <w:t>While t</w:t>
      </w:r>
      <w:r w:rsidRPr="00E52513">
        <w:t xml:space="preserve">he service </w:t>
      </w:r>
      <w:r w:rsidR="001E0F90" w:rsidRPr="00E52513">
        <w:t xml:space="preserve">is delivered nationally, it was evident from interviews that the purpose and function of the NICRS was at best unclear, and at worst, in some areas, the </w:t>
      </w:r>
      <w:r w:rsidRPr="00E52513">
        <w:t xml:space="preserve">service </w:t>
      </w:r>
      <w:r w:rsidR="001E0F90" w:rsidRPr="00E52513">
        <w:t xml:space="preserve">was </w:t>
      </w:r>
      <w:r w:rsidRPr="00E52513">
        <w:t xml:space="preserve">altogether </w:t>
      </w:r>
      <w:r w:rsidR="001E0F90" w:rsidRPr="00E52513">
        <w:t>unknown</w:t>
      </w:r>
      <w:r w:rsidRPr="00E52513">
        <w:t>.</w:t>
      </w:r>
    </w:p>
    <w:p w14:paraId="29B4D9B1" w14:textId="61F01756" w:rsidR="001E0F90" w:rsidRPr="00E52513" w:rsidRDefault="001E0F90" w:rsidP="008D50E4">
      <w:pPr>
        <w:spacing w:after="0"/>
      </w:pPr>
      <w:r w:rsidRPr="00E52513">
        <w:t xml:space="preserve">A </w:t>
      </w:r>
      <w:r w:rsidR="00705155" w:rsidRPr="00E52513">
        <w:t xml:space="preserve">key step </w:t>
      </w:r>
      <w:r w:rsidRPr="00E52513">
        <w:t xml:space="preserve">of the </w:t>
      </w:r>
      <w:r w:rsidR="008D50E4" w:rsidRPr="00E52513">
        <w:t xml:space="preserve">NICRS model of care is to develop a </w:t>
      </w:r>
      <w:proofErr w:type="spellStart"/>
      <w:r w:rsidR="008D50E4" w:rsidRPr="00E52513">
        <w:t>throughcare</w:t>
      </w:r>
      <w:proofErr w:type="spellEnd"/>
      <w:r w:rsidR="008D50E4" w:rsidRPr="00E52513">
        <w:t xml:space="preserve"> support plan for individuals and families</w:t>
      </w:r>
      <w:r w:rsidRPr="00E52513">
        <w:t xml:space="preserve">. This planning involves </w:t>
      </w:r>
      <w:r w:rsidR="008D50E4" w:rsidRPr="00E52513">
        <w:t>identif</w:t>
      </w:r>
      <w:r w:rsidRPr="00E52513">
        <w:t xml:space="preserve">ying clients’ </w:t>
      </w:r>
      <w:r w:rsidR="008D50E4" w:rsidRPr="00E52513">
        <w:t>priorities and local services and supports available to assist them following a suicide or traumatic event.</w:t>
      </w:r>
    </w:p>
    <w:p w14:paraId="79244B25" w14:textId="77777777" w:rsidR="001E0F90" w:rsidRPr="00E52513" w:rsidRDefault="001E0F90" w:rsidP="008D50E4">
      <w:pPr>
        <w:spacing w:after="0"/>
      </w:pPr>
    </w:p>
    <w:p w14:paraId="2ADD8CC1" w14:textId="3D2123B4" w:rsidR="008D50E4" w:rsidRDefault="0085052D" w:rsidP="008D50E4">
      <w:pPr>
        <w:spacing w:after="0"/>
      </w:pPr>
      <w:r w:rsidRPr="00E52513">
        <w:t>E</w:t>
      </w:r>
      <w:r w:rsidR="00046612" w:rsidRPr="00E52513">
        <w:t>vidence from the a</w:t>
      </w:r>
      <w:r w:rsidR="008D50E4" w:rsidRPr="00E52513">
        <w:t xml:space="preserve">nalysis of the MSC stories </w:t>
      </w:r>
      <w:r w:rsidR="001E0F90" w:rsidRPr="00E52513">
        <w:t>collated by the NICRS</w:t>
      </w:r>
      <w:r w:rsidR="00046612" w:rsidRPr="00E52513">
        <w:t>, and some interviews with CRSAs and stakeholders</w:t>
      </w:r>
      <w:r w:rsidR="001E0F90" w:rsidRPr="00E52513">
        <w:t xml:space="preserve"> </w:t>
      </w:r>
      <w:r w:rsidRPr="00E52513">
        <w:t xml:space="preserve">indicated </w:t>
      </w:r>
      <w:r w:rsidR="008D50E4" w:rsidRPr="00E52513">
        <w:t xml:space="preserve">that CRSAs </w:t>
      </w:r>
      <w:r w:rsidR="00046612" w:rsidRPr="00E52513">
        <w:t xml:space="preserve">were </w:t>
      </w:r>
      <w:r w:rsidR="008D50E4" w:rsidRPr="00E52513">
        <w:t xml:space="preserve">working with a range of services and supports </w:t>
      </w:r>
      <w:r w:rsidR="00AA37F3" w:rsidRPr="00E52513">
        <w:t>for clients. This included support to access safe and stable housing by liaising with relevant agencies, financial and unemployment advocacy with Centrelink and other government agencies, and legal support representation by helping to liaise with local police and Coroner’s Court.</w:t>
      </w:r>
      <w:r w:rsidR="00233B16">
        <w:t xml:space="preserve"> </w:t>
      </w:r>
    </w:p>
    <w:p w14:paraId="302FFD5D" w14:textId="3C179314" w:rsidR="00233B16" w:rsidRDefault="00233B16" w:rsidP="008D50E4">
      <w:pPr>
        <w:spacing w:after="0"/>
      </w:pPr>
    </w:p>
    <w:p w14:paraId="3C4AB9E5" w14:textId="5F725218" w:rsidR="008D50E4" w:rsidRPr="00E52513" w:rsidRDefault="008D50E4" w:rsidP="008D50E4">
      <w:pPr>
        <w:tabs>
          <w:tab w:val="left" w:pos="284"/>
        </w:tabs>
        <w:spacing w:before="120" w:after="120"/>
      </w:pPr>
      <w:r w:rsidRPr="00E52513">
        <w:t>However, there was limited evidence from the stakeholder and client interviews</w:t>
      </w:r>
      <w:r w:rsidR="00AA37F3" w:rsidRPr="00E52513">
        <w:t>,</w:t>
      </w:r>
      <w:r w:rsidRPr="00E52513">
        <w:t xml:space="preserve"> in </w:t>
      </w:r>
      <w:r w:rsidR="00425EFF" w:rsidRPr="00E52513">
        <w:t>all</w:t>
      </w:r>
      <w:r w:rsidR="00705155" w:rsidRPr="00E52513">
        <w:t xml:space="preserve"> </w:t>
      </w:r>
      <w:r w:rsidRPr="00E52513">
        <w:t xml:space="preserve">the sites visited, that the NICRS was </w:t>
      </w:r>
      <w:r w:rsidR="00705155" w:rsidRPr="00E52513">
        <w:t xml:space="preserve">well </w:t>
      </w:r>
      <w:r w:rsidRPr="00E52513">
        <w:t>known to other relevant agencies</w:t>
      </w:r>
      <w:r w:rsidR="00AA37F3" w:rsidRPr="00E52513">
        <w:t xml:space="preserve">. This included </w:t>
      </w:r>
      <w:r w:rsidRPr="00E52513">
        <w:t>agencies that would likely be referrers to the service such as local ACCHSs, government services or relevant NGOs.</w:t>
      </w:r>
    </w:p>
    <w:p w14:paraId="19CA491B" w14:textId="77777777" w:rsidR="008D50E4" w:rsidRPr="00E52513" w:rsidRDefault="008D50E4" w:rsidP="00F925B9">
      <w:r w:rsidRPr="00E52513">
        <w:t>Several stakeholders interviewed had little or no knowledge of the service. Some stakeholders with no knowledge of the service expressed concern about the ability of the service to effectively respond to community needs without being properly linked and engaged with other services and providers:</w:t>
      </w:r>
    </w:p>
    <w:p w14:paraId="00634C28" w14:textId="77777777" w:rsidR="008D50E4" w:rsidRPr="00E52513" w:rsidRDefault="008D50E4" w:rsidP="008D50E4">
      <w:pPr>
        <w:tabs>
          <w:tab w:val="left" w:pos="284"/>
        </w:tabs>
        <w:spacing w:before="120" w:after="240"/>
        <w:ind w:left="284" w:right="284"/>
        <w:rPr>
          <w:i/>
        </w:rPr>
      </w:pPr>
      <w:r w:rsidRPr="00E52513">
        <w:rPr>
          <w:i/>
        </w:rPr>
        <w:t>“How will you find out about people who are suicidal or are suiciding in the community if you’re not linked into the local services both Aboriginal and non-Aboriginal?” (Stakeholder)</w:t>
      </w:r>
    </w:p>
    <w:p w14:paraId="50BDBAB3" w14:textId="407354D7" w:rsidR="001E0F90" w:rsidRPr="00E52513" w:rsidRDefault="001E0F90" w:rsidP="00F925B9">
      <w:r w:rsidRPr="00E52513">
        <w:t>One service provider stakeholder who had limited knowledge of the program reported being unclear about the referral process to the program:</w:t>
      </w:r>
    </w:p>
    <w:p w14:paraId="0E2F8994" w14:textId="77777777" w:rsidR="001E0F90" w:rsidRPr="00E52513" w:rsidRDefault="001E0F90" w:rsidP="001E0F90">
      <w:pPr>
        <w:tabs>
          <w:tab w:val="left" w:pos="284"/>
        </w:tabs>
        <w:spacing w:before="120" w:after="240"/>
        <w:ind w:left="284" w:right="284"/>
        <w:rPr>
          <w:i/>
        </w:rPr>
      </w:pPr>
      <w:r w:rsidRPr="00E52513">
        <w:rPr>
          <w:i/>
        </w:rPr>
        <w:t>“How do they get their information about suicides or trauma events? It’s not clear how they could know” (Stakeholder)</w:t>
      </w:r>
    </w:p>
    <w:p w14:paraId="0FE86622" w14:textId="00FF1387" w:rsidR="009F54FE" w:rsidRPr="00E52513" w:rsidRDefault="009F54FE" w:rsidP="009F54FE">
      <w:pPr>
        <w:tabs>
          <w:tab w:val="left" w:pos="284"/>
        </w:tabs>
        <w:spacing w:before="120" w:after="120"/>
      </w:pPr>
      <w:r w:rsidRPr="00E52513">
        <w:t>Many clients and stakeholders, across all locations, stated that greater promotion of the service was needed to ensure communities could access support:</w:t>
      </w:r>
    </w:p>
    <w:p w14:paraId="61A2D2DB" w14:textId="77777777" w:rsidR="009F54FE" w:rsidRPr="00E52513" w:rsidRDefault="009F54FE" w:rsidP="009F54FE">
      <w:pPr>
        <w:tabs>
          <w:tab w:val="left" w:pos="284"/>
        </w:tabs>
        <w:spacing w:before="120" w:after="240"/>
        <w:ind w:left="283" w:right="283"/>
        <w:rPr>
          <w:i/>
        </w:rPr>
      </w:pPr>
      <w:r w:rsidRPr="00E52513">
        <w:rPr>
          <w:i/>
        </w:rPr>
        <w:lastRenderedPageBreak/>
        <w:t>“Yes, for sure, more Aboriginal families could use this service. I think that they need to advertise this more. Everyone’s on Facebook and advertising it this way would be a great way to get the service there. I think if they could focus on the Aboriginal Facebook pages. They have always been a good support to us.” (Client)</w:t>
      </w:r>
    </w:p>
    <w:p w14:paraId="3E8017B7" w14:textId="25F8F5AB" w:rsidR="009F54FE" w:rsidRPr="00E52513" w:rsidRDefault="009F54FE" w:rsidP="009F54FE">
      <w:pPr>
        <w:tabs>
          <w:tab w:val="left" w:pos="284"/>
        </w:tabs>
        <w:spacing w:before="120" w:after="120"/>
      </w:pPr>
      <w:r w:rsidRPr="00E52513">
        <w:t xml:space="preserve">One </w:t>
      </w:r>
      <w:r w:rsidR="00C01987" w:rsidRPr="00E52513">
        <w:t>stakeholder,</w:t>
      </w:r>
      <w:r w:rsidRPr="00E52513">
        <w:t xml:space="preserve"> who was not aware of the program in their local area, felt the service could be useful for the community if it </w:t>
      </w:r>
      <w:r w:rsidR="00315C77" w:rsidRPr="00E52513">
        <w:t>were</w:t>
      </w:r>
      <w:r w:rsidRPr="00E52513">
        <w:t xml:space="preserve"> easy to access:</w:t>
      </w:r>
    </w:p>
    <w:p w14:paraId="531AA07F" w14:textId="77777777" w:rsidR="009F54FE" w:rsidRPr="00E52513" w:rsidRDefault="009F54FE" w:rsidP="009F54FE">
      <w:pPr>
        <w:tabs>
          <w:tab w:val="left" w:pos="284"/>
        </w:tabs>
        <w:spacing w:before="120" w:after="240"/>
        <w:ind w:left="283" w:right="283"/>
        <w:rPr>
          <w:i/>
        </w:rPr>
      </w:pPr>
      <w:r w:rsidRPr="00E52513">
        <w:rPr>
          <w:i/>
        </w:rPr>
        <w:t>“It would be great to know more but how does this work. Our families are already going through the process of mourning and we are adding to this by a process that’s all this red tape. Sometimes, it may not be helpful. If the process was as simple as, ‘Hey, this family had a suicide within their mob, lets help them,’ and it’s easy, that is fine.” (Stakeholder)</w:t>
      </w:r>
    </w:p>
    <w:p w14:paraId="3F8BF9E2" w14:textId="52BC251E" w:rsidR="009F54FE" w:rsidRPr="00E52513" w:rsidRDefault="009F54FE" w:rsidP="009F54FE">
      <w:r w:rsidRPr="00E52513">
        <w:t xml:space="preserve">Greater promotion of the service </w:t>
      </w:r>
      <w:r w:rsidR="006F05C2" w:rsidRPr="00E52513">
        <w:t xml:space="preserve">was also viewed as an important strategy by some stakeholders </w:t>
      </w:r>
      <w:r w:rsidRPr="00E52513">
        <w:t xml:space="preserve">to set community expectations about what support the service could </w:t>
      </w:r>
      <w:r w:rsidR="00425EFF" w:rsidRPr="00E52513">
        <w:t>provide</w:t>
      </w:r>
      <w:r w:rsidRPr="00E52513">
        <w:t>.</w:t>
      </w:r>
    </w:p>
    <w:p w14:paraId="77FE3375" w14:textId="77777777" w:rsidR="009F54FE" w:rsidRPr="00E52513" w:rsidRDefault="009F54FE" w:rsidP="009F54FE">
      <w:pPr>
        <w:tabs>
          <w:tab w:val="left" w:pos="284"/>
        </w:tabs>
        <w:spacing w:before="120" w:after="240"/>
        <w:ind w:left="283" w:right="283"/>
        <w:rPr>
          <w:i/>
        </w:rPr>
      </w:pPr>
      <w:r w:rsidRPr="00E52513">
        <w:rPr>
          <w:i/>
        </w:rPr>
        <w:t>“The service needs to put themselves out a bit more, getting out in the community, going to NAIDOC events, coming out and talking with local community. Maybe should do some advertising that says this is what we offer.” (Stakeholder)</w:t>
      </w:r>
    </w:p>
    <w:p w14:paraId="6E08FFF8" w14:textId="2D9E96A9" w:rsidR="009F54FE" w:rsidRPr="00E52513" w:rsidRDefault="009F54FE" w:rsidP="009F54FE">
      <w:r w:rsidRPr="00E52513">
        <w:t xml:space="preserve">In some areas it was reported </w:t>
      </w:r>
      <w:r w:rsidR="006F05C2" w:rsidRPr="00E52513">
        <w:t xml:space="preserve">that there was a lack of clarity around </w:t>
      </w:r>
      <w:r w:rsidRPr="00E52513">
        <w:t>what families could expect to receive from the service</w:t>
      </w:r>
      <w:r w:rsidR="006F05C2" w:rsidRPr="00E52513">
        <w:t xml:space="preserve">; in some locations it was reported that </w:t>
      </w:r>
      <w:r w:rsidRPr="00E52513">
        <w:t xml:space="preserve">some families received </w:t>
      </w:r>
      <w:r w:rsidR="007247D5" w:rsidRPr="00E52513">
        <w:t>the Emergency Relief Fund (</w:t>
      </w:r>
      <w:r w:rsidRPr="00E52513">
        <w:t>ERF</w:t>
      </w:r>
      <w:r w:rsidR="007247D5" w:rsidRPr="00E52513">
        <w:t>)</w:t>
      </w:r>
      <w:r w:rsidRPr="00E52513">
        <w:t xml:space="preserve"> and others did not, which resulted in some communities feeling let down and unsupported by the service.</w:t>
      </w:r>
    </w:p>
    <w:p w14:paraId="6A50BFA8" w14:textId="6849A8F8" w:rsidR="009F54FE" w:rsidRPr="00E52513" w:rsidRDefault="009F54FE" w:rsidP="009F54FE">
      <w:pPr>
        <w:tabs>
          <w:tab w:val="left" w:pos="284"/>
        </w:tabs>
        <w:spacing w:before="120" w:after="240"/>
        <w:ind w:left="283" w:right="283"/>
        <w:rPr>
          <w:i/>
        </w:rPr>
      </w:pPr>
      <w:r w:rsidRPr="00E52513">
        <w:rPr>
          <w:i/>
        </w:rPr>
        <w:t>“People might say, ‘I’ll never ask again because I got knocked back’, so it needs to be clear about the support – how long do people receive support for? How long do you stay on the list? Just got a be more open conversat</w:t>
      </w:r>
      <w:r w:rsidR="006E4C2E">
        <w:rPr>
          <w:i/>
        </w:rPr>
        <w:t>ion about what to expect, like</w:t>
      </w:r>
      <w:proofErr w:type="gramStart"/>
      <w:r w:rsidR="006E4C2E">
        <w:rPr>
          <w:i/>
        </w:rPr>
        <w:t xml:space="preserve">, </w:t>
      </w:r>
      <w:r w:rsidRPr="00E52513">
        <w:rPr>
          <w:i/>
        </w:rPr>
        <w:t>”</w:t>
      </w:r>
      <w:proofErr w:type="gramEnd"/>
      <w:r w:rsidRPr="00E52513">
        <w:rPr>
          <w:i/>
        </w:rPr>
        <w:t>We can have a yarn and get you this or that’.”</w:t>
      </w:r>
    </w:p>
    <w:p w14:paraId="72974F4E" w14:textId="68335084" w:rsidR="006F05C2" w:rsidRPr="00E52513" w:rsidRDefault="006F05C2" w:rsidP="006F05C2">
      <w:r w:rsidRPr="00E52513">
        <w:t xml:space="preserve">Many stakeholders also reported that wider promotion of the service to local service providers and stakeholders was also important to ensure </w:t>
      </w:r>
      <w:r w:rsidR="008314DB" w:rsidRPr="00E52513">
        <w:t>that the</w:t>
      </w:r>
      <w:r w:rsidRPr="00E52513">
        <w:t xml:space="preserve"> purpose and function of the NICRS </w:t>
      </w:r>
      <w:r w:rsidR="008314DB" w:rsidRPr="00E52513">
        <w:t xml:space="preserve">was well understood and </w:t>
      </w:r>
      <w:r w:rsidRPr="00E52513">
        <w:t xml:space="preserve">to </w:t>
      </w:r>
      <w:r w:rsidR="008314DB" w:rsidRPr="00E52513">
        <w:t xml:space="preserve">ensure </w:t>
      </w:r>
      <w:r w:rsidRPr="00E52513">
        <w:t>that the service was embedded within broader systems and networks.</w:t>
      </w:r>
    </w:p>
    <w:p w14:paraId="3831E6BB" w14:textId="1A5A7F74" w:rsidR="006F05C2" w:rsidRPr="00E52513" w:rsidRDefault="006F05C2" w:rsidP="00AB51D7">
      <w:pPr>
        <w:tabs>
          <w:tab w:val="left" w:pos="284"/>
        </w:tabs>
        <w:spacing w:before="120" w:after="240"/>
        <w:ind w:left="283" w:right="283"/>
        <w:rPr>
          <w:i/>
        </w:rPr>
      </w:pPr>
      <w:r w:rsidRPr="00E52513">
        <w:rPr>
          <w:i/>
        </w:rPr>
        <w:t xml:space="preserve">“The service needs </w:t>
      </w:r>
      <w:r w:rsidR="007247D5" w:rsidRPr="00E52513">
        <w:rPr>
          <w:i/>
        </w:rPr>
        <w:t xml:space="preserve">to </w:t>
      </w:r>
      <w:r w:rsidRPr="00E52513">
        <w:rPr>
          <w:i/>
        </w:rPr>
        <w:t>be doing more promotion with the hospital, police station, Facebook, through the AMS, just something that says who they are and what they do.” (Stakeholder)</w:t>
      </w:r>
    </w:p>
    <w:p w14:paraId="61C82BF0" w14:textId="2958980B" w:rsidR="006F05C2" w:rsidRPr="00E52513" w:rsidRDefault="006F05C2" w:rsidP="002243EF">
      <w:pPr>
        <w:pStyle w:val="Heading3"/>
      </w:pPr>
      <w:r w:rsidRPr="00E52513">
        <w:t xml:space="preserve">Increased </w:t>
      </w:r>
      <w:r w:rsidR="005C5863" w:rsidRPr="00E52513">
        <w:t xml:space="preserve">strategic </w:t>
      </w:r>
      <w:r w:rsidRPr="00E52513">
        <w:t>engagement with local stakeholders is need</w:t>
      </w:r>
      <w:bookmarkStart w:id="67" w:name="_Toc35966340"/>
      <w:r w:rsidRPr="00E52513">
        <w:t>ed</w:t>
      </w:r>
    </w:p>
    <w:bookmarkEnd w:id="67"/>
    <w:p w14:paraId="7C6D489C" w14:textId="289143D2" w:rsidR="008D50E4" w:rsidRPr="00E52513" w:rsidRDefault="00E73D20" w:rsidP="008D50E4">
      <w:pPr>
        <w:tabs>
          <w:tab w:val="left" w:pos="284"/>
        </w:tabs>
        <w:spacing w:before="120" w:after="120"/>
      </w:pPr>
      <w:r w:rsidRPr="00E52513">
        <w:t xml:space="preserve">The ORS data suggests that, broadly, the service </w:t>
      </w:r>
      <w:r w:rsidR="00050D4B" w:rsidRPr="00E52513">
        <w:t>was</w:t>
      </w:r>
      <w:r w:rsidRPr="00E52513">
        <w:t xml:space="preserve"> engaging </w:t>
      </w:r>
      <w:r w:rsidR="005C5863" w:rsidRPr="00E52513">
        <w:t xml:space="preserve">at an operational level </w:t>
      </w:r>
      <w:r w:rsidRPr="00E52513">
        <w:t xml:space="preserve">with a variety of service providers and stakeholders. Yet, interviews with stakeholders in all case study </w:t>
      </w:r>
      <w:r w:rsidR="00C01987" w:rsidRPr="00E52513">
        <w:t>locations</w:t>
      </w:r>
      <w:r w:rsidRPr="00E52513">
        <w:t xml:space="preserve"> indicated that there was limited coordinated </w:t>
      </w:r>
      <w:r w:rsidR="008314DB" w:rsidRPr="00E52513">
        <w:t xml:space="preserve">and </w:t>
      </w:r>
      <w:r w:rsidR="005C5863" w:rsidRPr="00E52513">
        <w:t>strategic</w:t>
      </w:r>
      <w:r w:rsidR="008314DB" w:rsidRPr="00E52513">
        <w:t xml:space="preserve"> </w:t>
      </w:r>
      <w:r w:rsidRPr="00E52513">
        <w:t xml:space="preserve">engagement by </w:t>
      </w:r>
      <w:r w:rsidR="008314DB" w:rsidRPr="00E52513">
        <w:t>CRSAs</w:t>
      </w:r>
      <w:r w:rsidRPr="00E52513">
        <w:t xml:space="preserve"> </w:t>
      </w:r>
      <w:r w:rsidR="005C5863" w:rsidRPr="00E52513">
        <w:t xml:space="preserve">and the NICRS </w:t>
      </w:r>
      <w:r w:rsidRPr="00E52513">
        <w:t xml:space="preserve">with local service providers and </w:t>
      </w:r>
      <w:r w:rsidR="008D50E4" w:rsidRPr="00E52513">
        <w:t>stakeholders</w:t>
      </w:r>
      <w:r w:rsidRPr="00E52513">
        <w:t xml:space="preserve">. In </w:t>
      </w:r>
      <w:r w:rsidR="00C01987" w:rsidRPr="00E52513">
        <w:t>three jurisdictions</w:t>
      </w:r>
      <w:r w:rsidRPr="00E52513">
        <w:t xml:space="preserve">, several stakeholders </w:t>
      </w:r>
      <w:r w:rsidR="008D50E4" w:rsidRPr="00E52513">
        <w:t>expressed a strong desire to engage and work with the service but reported engagement was yet to eventuate.</w:t>
      </w:r>
    </w:p>
    <w:p w14:paraId="07877DB7" w14:textId="77777777" w:rsidR="008D50E4" w:rsidRPr="00E52513" w:rsidRDefault="008D50E4" w:rsidP="008D50E4">
      <w:pPr>
        <w:tabs>
          <w:tab w:val="left" w:pos="284"/>
        </w:tabs>
        <w:spacing w:before="120" w:after="120"/>
      </w:pPr>
      <w:r w:rsidRPr="00E52513">
        <w:t>Other stakeholders, with some knowledge of the service viewed the NICRS either as a disconnected adjunct to services or had a limited understanding of the purpose and function of the program, how referrals occurred or how clients were supported.</w:t>
      </w:r>
    </w:p>
    <w:p w14:paraId="66FB35D4" w14:textId="16E8D8CD" w:rsidR="00050D4B" w:rsidRPr="00E52513" w:rsidRDefault="00050D4B" w:rsidP="00050D4B">
      <w:pPr>
        <w:tabs>
          <w:tab w:val="left" w:pos="284"/>
        </w:tabs>
        <w:spacing w:before="120" w:after="120"/>
      </w:pPr>
      <w:r w:rsidRPr="00E52513">
        <w:t xml:space="preserve">It was reported by CRSAs that referrals to other service providers may not occur for a range of reasons, and ultimately depended on the needs of clients. A common issue that was noted in some </w:t>
      </w:r>
      <w:r w:rsidRPr="00E52513">
        <w:lastRenderedPageBreak/>
        <w:t>areas, by CRSAs and some stakeholders, was that clients and their families were sometimes unwilling to engage with local ACCHS or be referred to other services and supports. This meant it could be difficult for CRSAs to effectively refer clients to appropriate services.</w:t>
      </w:r>
    </w:p>
    <w:p w14:paraId="0FDC3C70" w14:textId="7365F88C" w:rsidR="00504D4D" w:rsidRPr="00E52513" w:rsidRDefault="00050D4B" w:rsidP="00504D4D">
      <w:pPr>
        <w:tabs>
          <w:tab w:val="left" w:pos="284"/>
        </w:tabs>
        <w:spacing w:before="120" w:after="120"/>
      </w:pPr>
      <w:r w:rsidRPr="00E52513">
        <w:t>While the ORS data does indicate that referrals were being made by CRSAs,</w:t>
      </w:r>
      <w:r w:rsidR="00504D4D" w:rsidRPr="00E52513">
        <w:t xml:space="preserve"> in </w:t>
      </w:r>
      <w:r w:rsidR="00C01987" w:rsidRPr="00E52513">
        <w:t xml:space="preserve">at least </w:t>
      </w:r>
      <w:r w:rsidR="00504D4D" w:rsidRPr="00E52513">
        <w:t xml:space="preserve">two locations </w:t>
      </w:r>
      <w:r w:rsidR="005C5863" w:rsidRPr="00E52513">
        <w:t>there was limited evidence</w:t>
      </w:r>
      <w:r w:rsidRPr="00E52513">
        <w:t xml:space="preserve"> </w:t>
      </w:r>
      <w:r w:rsidR="005C5863" w:rsidRPr="00E52513">
        <w:t xml:space="preserve">that </w:t>
      </w:r>
      <w:r w:rsidR="008D50E4" w:rsidRPr="00E52513">
        <w:t>CRSAs had strong working relationships and networks</w:t>
      </w:r>
      <w:r w:rsidRPr="00E52513">
        <w:t xml:space="preserve">, or if they </w:t>
      </w:r>
      <w:r w:rsidR="008D50E4" w:rsidRPr="00E52513">
        <w:t>were attending interagency meetings with other services and agencies that could be relevant for clients’ needs</w:t>
      </w:r>
      <w:r w:rsidR="008D50E4" w:rsidRPr="00E52513">
        <w:rPr>
          <w:rStyle w:val="FootnoteReference"/>
        </w:rPr>
        <w:footnoteReference w:id="13"/>
      </w:r>
      <w:r w:rsidR="008D50E4" w:rsidRPr="00E52513">
        <w:t xml:space="preserve">. </w:t>
      </w:r>
      <w:r w:rsidR="00504D4D" w:rsidRPr="00E52513">
        <w:t xml:space="preserve">Across all locations, the client and stakeholder interviews also indicated that, overall, engagement and referrals with other services and supports appeared to be largely </w:t>
      </w:r>
      <w:r w:rsidR="00504D4D" w:rsidRPr="00E52513">
        <w:rPr>
          <w:i/>
        </w:rPr>
        <w:t>ad hoc</w:t>
      </w:r>
      <w:r w:rsidR="00504D4D" w:rsidRPr="00E52513">
        <w:t xml:space="preserve"> rather than part of a coordinated response. In one location, this point was specifically highlighted by one stakeholder as a</w:t>
      </w:r>
      <w:r w:rsidR="00621A81" w:rsidRPr="00E52513">
        <w:t xml:space="preserve"> key</w:t>
      </w:r>
      <w:r w:rsidR="00504D4D" w:rsidRPr="00E52513">
        <w:t xml:space="preserve"> area of improvement for the service.</w:t>
      </w:r>
    </w:p>
    <w:p w14:paraId="0F075B6C" w14:textId="77777777" w:rsidR="00504D4D" w:rsidRPr="00E52513" w:rsidRDefault="00504D4D" w:rsidP="00504D4D">
      <w:pPr>
        <w:tabs>
          <w:tab w:val="left" w:pos="284"/>
        </w:tabs>
        <w:spacing w:before="120" w:after="240"/>
        <w:ind w:left="283" w:right="283"/>
        <w:rPr>
          <w:i/>
        </w:rPr>
      </w:pPr>
      <w:r w:rsidRPr="00E52513">
        <w:rPr>
          <w:i/>
        </w:rPr>
        <w:t>“They probably need to coordinate more through other services, refer people to other services.” (Stakeholder)</w:t>
      </w:r>
    </w:p>
    <w:p w14:paraId="423E01A9" w14:textId="6AEF589E" w:rsidR="00F26747" w:rsidRPr="00E52513" w:rsidRDefault="00F26747" w:rsidP="008D50E4">
      <w:pPr>
        <w:tabs>
          <w:tab w:val="left" w:pos="284"/>
        </w:tabs>
        <w:spacing w:before="120" w:after="120"/>
      </w:pPr>
      <w:r w:rsidRPr="00E52513">
        <w:t xml:space="preserve">There was </w:t>
      </w:r>
      <w:r w:rsidR="005C5863" w:rsidRPr="00E52513">
        <w:t xml:space="preserve">some evidence </w:t>
      </w:r>
      <w:r w:rsidR="00E73D20" w:rsidRPr="00E52513">
        <w:t>at</w:t>
      </w:r>
      <w:r w:rsidRPr="00E52513">
        <w:t xml:space="preserve"> </w:t>
      </w:r>
      <w:r w:rsidR="005C5863" w:rsidRPr="00E52513">
        <w:t xml:space="preserve">two </w:t>
      </w:r>
      <w:r w:rsidRPr="00E52513">
        <w:t>location</w:t>
      </w:r>
      <w:r w:rsidR="005C5863" w:rsidRPr="00E52513">
        <w:t>s</w:t>
      </w:r>
      <w:r w:rsidRPr="00E52513">
        <w:t xml:space="preserve">, </w:t>
      </w:r>
      <w:r w:rsidR="005C5863" w:rsidRPr="00E52513">
        <w:t xml:space="preserve">as </w:t>
      </w:r>
      <w:r w:rsidRPr="00E52513">
        <w:t xml:space="preserve">reported by stakeholders, </w:t>
      </w:r>
      <w:r w:rsidR="005C5863" w:rsidRPr="00E52513">
        <w:t xml:space="preserve">that </w:t>
      </w:r>
      <w:r w:rsidRPr="00E52513">
        <w:t xml:space="preserve">the NICRS </w:t>
      </w:r>
      <w:r w:rsidR="00621A81" w:rsidRPr="00E52513">
        <w:t xml:space="preserve">was </w:t>
      </w:r>
      <w:r w:rsidRPr="00E52513">
        <w:t>attempting to engage and increase the service’s presence with interagency forum</w:t>
      </w:r>
      <w:r w:rsidR="005C5863" w:rsidRPr="00E52513">
        <w:t>s</w:t>
      </w:r>
      <w:r w:rsidRPr="00E52513">
        <w:t xml:space="preserve">. </w:t>
      </w:r>
      <w:r w:rsidR="005C5863" w:rsidRPr="00E52513">
        <w:t>Yet, overall, stakeholders, including PHNS, ACCHSs, mental health NGOs and government agencies, across most of the locations reported that greater strategic engagement was required by the NICRS to improve collaboration and coordination</w:t>
      </w:r>
      <w:r w:rsidR="00621A81" w:rsidRPr="00E52513">
        <w:t xml:space="preserve"> of supports for clients</w:t>
      </w:r>
      <w:r w:rsidR="005C5863" w:rsidRPr="00E52513">
        <w:t>.</w:t>
      </w:r>
    </w:p>
    <w:p w14:paraId="261AE23A" w14:textId="618B06F4" w:rsidR="000837AE" w:rsidRPr="00E52513" w:rsidRDefault="005C5863" w:rsidP="00E671B9">
      <w:pPr>
        <w:tabs>
          <w:tab w:val="left" w:pos="284"/>
        </w:tabs>
        <w:spacing w:before="120" w:after="120"/>
        <w:ind w:left="284" w:right="284"/>
        <w:rPr>
          <w:rFonts w:ascii="Lato Medium" w:eastAsiaTheme="majorEastAsia" w:hAnsi="Lato Medium"/>
          <w:b/>
          <w:bCs/>
          <w:color w:val="0050B5"/>
          <w:sz w:val="40"/>
          <w:szCs w:val="28"/>
        </w:rPr>
      </w:pPr>
      <w:r w:rsidRPr="00E52513">
        <w:rPr>
          <w:i/>
        </w:rPr>
        <w:t>“There could be a lot more strategic collaboration … look more carefully at how the two services could work more mutually beneficially.” (Stakeholder)</w:t>
      </w:r>
      <w:r w:rsidR="000837AE" w:rsidRPr="00E52513">
        <w:br w:type="page"/>
      </w:r>
    </w:p>
    <w:p w14:paraId="65711E94" w14:textId="4CC17C5F" w:rsidR="008D50E4" w:rsidRDefault="008D50E4" w:rsidP="00F925B9">
      <w:pPr>
        <w:pStyle w:val="Heading1"/>
      </w:pPr>
      <w:bookmarkStart w:id="68" w:name="_Toc35966341"/>
      <w:bookmarkStart w:id="69" w:name="_Toc54966634"/>
      <w:r w:rsidRPr="00E52513">
        <w:lastRenderedPageBreak/>
        <w:t>Effectiveness</w:t>
      </w:r>
      <w:r w:rsidR="0001288E" w:rsidRPr="00E52513">
        <w:t xml:space="preserve"> of the </w:t>
      </w:r>
      <w:bookmarkEnd w:id="68"/>
      <w:r w:rsidR="006D6E7C" w:rsidRPr="00E52513">
        <w:t>service</w:t>
      </w:r>
      <w:bookmarkEnd w:id="69"/>
    </w:p>
    <w:p w14:paraId="67BC1F8D" w14:textId="77777777" w:rsidR="00253F47" w:rsidRPr="00253F47" w:rsidRDefault="00253F47" w:rsidP="00253F47">
      <w:pPr>
        <w:shd w:val="clear" w:color="auto" w:fill="FDE9D9" w:themeFill="accent6" w:themeFillTint="33"/>
        <w:ind w:left="284" w:right="674"/>
        <w:rPr>
          <w:b/>
          <w:i/>
        </w:rPr>
      </w:pPr>
      <w:r w:rsidRPr="00253F47">
        <w:rPr>
          <w:b/>
          <w:i/>
        </w:rPr>
        <w:t>Have the objectives been met?</w:t>
      </w:r>
    </w:p>
    <w:p w14:paraId="3713543E" w14:textId="77777777" w:rsidR="00253F47" w:rsidRPr="00B96E12" w:rsidRDefault="00253F47" w:rsidP="00253F47">
      <w:pPr>
        <w:shd w:val="clear" w:color="auto" w:fill="FDE9D9" w:themeFill="accent6" w:themeFillTint="33"/>
        <w:ind w:left="284" w:right="674"/>
        <w:rPr>
          <w:i/>
        </w:rPr>
      </w:pPr>
      <w:r w:rsidRPr="00B96E12">
        <w:rPr>
          <w:i/>
        </w:rPr>
        <w:t>The evaluation indicated that the service is highly valued for the emotional, financial and advocacy support clients received. For many clients, it appeared that the service was effective in providing them with personalised support, particularly ERF support.</w:t>
      </w:r>
    </w:p>
    <w:p w14:paraId="7B939733" w14:textId="77777777" w:rsidR="00253F47" w:rsidRPr="00B96E12" w:rsidRDefault="00253F47" w:rsidP="00253F47">
      <w:pPr>
        <w:shd w:val="clear" w:color="auto" w:fill="FDE9D9" w:themeFill="accent6" w:themeFillTint="33"/>
        <w:ind w:left="284" w:right="674"/>
        <w:rPr>
          <w:i/>
        </w:rPr>
      </w:pPr>
      <w:r w:rsidRPr="00B96E12">
        <w:rPr>
          <w:i/>
        </w:rPr>
        <w:t>However, it</w:t>
      </w:r>
      <w:r>
        <w:rPr>
          <w:i/>
        </w:rPr>
        <w:t xml:space="preserve"> was</w:t>
      </w:r>
      <w:r w:rsidRPr="00B96E12">
        <w:rPr>
          <w:i/>
        </w:rPr>
        <w:t xml:space="preserve"> likely that effectiveness of the service was being undermined by a lack of consistency, accountability and governance processes and clarity of vision of the service. Information from the document review, interviews and analysis of the ORS data suggested that policies and procedures were not being properly translated into practice</w:t>
      </w:r>
      <w:r>
        <w:rPr>
          <w:i/>
        </w:rPr>
        <w:t xml:space="preserve">, which was </w:t>
      </w:r>
      <w:r w:rsidRPr="00B96E12">
        <w:rPr>
          <w:i/>
        </w:rPr>
        <w:t>affecting the direction of the service. This was resulting in inconsistent practice in the way the service was being delivered and managed, and confusion and frustration for clients and stakeholders, particularly in regard to allocation of ERF.</w:t>
      </w:r>
    </w:p>
    <w:p w14:paraId="35CD2CB1" w14:textId="681C8712" w:rsidR="00253F47" w:rsidRPr="00253F47" w:rsidRDefault="00253F47" w:rsidP="00253F47">
      <w:pPr>
        <w:shd w:val="clear" w:color="auto" w:fill="FDE9D9" w:themeFill="accent6" w:themeFillTint="33"/>
        <w:ind w:left="284" w:right="674"/>
        <w:rPr>
          <w:i/>
        </w:rPr>
      </w:pPr>
      <w:r w:rsidRPr="00B96E12">
        <w:rPr>
          <w:i/>
        </w:rPr>
        <w:t>Greater governance of the service overall</w:t>
      </w:r>
      <w:r>
        <w:rPr>
          <w:i/>
        </w:rPr>
        <w:t xml:space="preserve"> is required</w:t>
      </w:r>
      <w:r w:rsidRPr="00B96E12">
        <w:rPr>
          <w:i/>
        </w:rPr>
        <w:t>, to ensure a clear vision and purpose of the service</w:t>
      </w:r>
      <w:r>
        <w:rPr>
          <w:i/>
        </w:rPr>
        <w:t>, to ensure continuous improvement and accountability,</w:t>
      </w:r>
      <w:r w:rsidRPr="00B96E12">
        <w:rPr>
          <w:i/>
        </w:rPr>
        <w:t xml:space="preserve"> and to ensure that support for clients is timely and coordinated.</w:t>
      </w:r>
    </w:p>
    <w:p w14:paraId="0CCC6F3F" w14:textId="186F40EB" w:rsidR="00617AB3" w:rsidRPr="00E52513" w:rsidRDefault="00617AB3" w:rsidP="00152634">
      <w:pPr>
        <w:pStyle w:val="Heading2"/>
        <w:rPr>
          <w:rFonts w:cstheme="minorBidi"/>
        </w:rPr>
      </w:pPr>
      <w:bookmarkStart w:id="70" w:name="_Toc54966635"/>
      <w:r w:rsidRPr="00E52513">
        <w:t>The service is valued</w:t>
      </w:r>
      <w:bookmarkEnd w:id="70"/>
    </w:p>
    <w:p w14:paraId="19D46A07" w14:textId="55A4BDFC" w:rsidR="00617AB3" w:rsidRPr="00E52513" w:rsidRDefault="00617AB3" w:rsidP="00617AB3">
      <w:r w:rsidRPr="00E52513">
        <w:t xml:space="preserve">Interviews with clients and many stakeholders indicated that </w:t>
      </w:r>
      <w:r w:rsidR="007E6AF0" w:rsidRPr="00E52513">
        <w:t>overall,</w:t>
      </w:r>
      <w:r w:rsidRPr="00E52513">
        <w:t xml:space="preserve"> the service was highly valued. Clients reported that they valued the personalised and responsive support provided by CRSAs and several clients stated that without the NICRS they would not have received any support.</w:t>
      </w:r>
    </w:p>
    <w:p w14:paraId="04F4537B" w14:textId="1E7FBCC7" w:rsidR="00617AB3" w:rsidRPr="00E52513" w:rsidRDefault="00617AB3" w:rsidP="00617AB3">
      <w:pPr>
        <w:tabs>
          <w:tab w:val="left" w:pos="284"/>
        </w:tabs>
        <w:spacing w:before="120" w:after="240"/>
        <w:ind w:left="283" w:right="283"/>
        <w:rPr>
          <w:i/>
        </w:rPr>
      </w:pPr>
      <w:r w:rsidRPr="00E52513">
        <w:rPr>
          <w:i/>
        </w:rPr>
        <w:t>“</w:t>
      </w:r>
      <w:r w:rsidR="00425EFF" w:rsidRPr="00E52513">
        <w:rPr>
          <w:i/>
        </w:rPr>
        <w:t>… [</w:t>
      </w:r>
      <w:proofErr w:type="gramStart"/>
      <w:r w:rsidRPr="00E52513">
        <w:rPr>
          <w:i/>
        </w:rPr>
        <w:t>the</w:t>
      </w:r>
      <w:proofErr w:type="gramEnd"/>
      <w:r w:rsidRPr="00E52513">
        <w:rPr>
          <w:i/>
        </w:rPr>
        <w:t xml:space="preserve"> CRSA]</w:t>
      </w:r>
      <w:r w:rsidR="007247D5" w:rsidRPr="00E52513">
        <w:rPr>
          <w:i/>
        </w:rPr>
        <w:t xml:space="preserve"> </w:t>
      </w:r>
      <w:r w:rsidRPr="00E52513">
        <w:rPr>
          <w:i/>
        </w:rPr>
        <w:t>gives us the best service and does far more than all the organisations around here put together. I really think the service needs to keep going cause without them I don’t know where we would be.” (Client)</w:t>
      </w:r>
    </w:p>
    <w:p w14:paraId="2C334D5B" w14:textId="103049DB" w:rsidR="00617AB3" w:rsidRPr="00E52513" w:rsidRDefault="00617AB3" w:rsidP="00617AB3">
      <w:r w:rsidRPr="00E52513">
        <w:t>The most common forms of personalised support that were valued by clients about the service were financial, emotional and advocacy support.</w:t>
      </w:r>
    </w:p>
    <w:p w14:paraId="472B7453" w14:textId="77777777" w:rsidR="00617AB3" w:rsidRPr="00E52513" w:rsidRDefault="00617AB3" w:rsidP="00617AB3">
      <w:r w:rsidRPr="00E52513">
        <w:t>The financial support offered to clients assisted with alleviating financial stress from costs related to travel, groceries and sometimes funerals, or not being able to work following an incident. For several clients, this form of support was viewed as one of the key practical forms of support they valued most.</w:t>
      </w:r>
    </w:p>
    <w:p w14:paraId="691A6CF1" w14:textId="77777777" w:rsidR="00617AB3" w:rsidRPr="00E52513" w:rsidRDefault="00617AB3" w:rsidP="00617AB3">
      <w:pPr>
        <w:tabs>
          <w:tab w:val="left" w:pos="284"/>
        </w:tabs>
        <w:spacing w:before="120" w:after="240"/>
        <w:ind w:left="283" w:right="283"/>
        <w:rPr>
          <w:i/>
        </w:rPr>
      </w:pPr>
      <w:r w:rsidRPr="00E52513">
        <w:rPr>
          <w:i/>
        </w:rPr>
        <w:t>“The financial help when I needed things and wasn’t able to work… [</w:t>
      </w:r>
      <w:proofErr w:type="gramStart"/>
      <w:r w:rsidRPr="00E52513">
        <w:rPr>
          <w:i/>
        </w:rPr>
        <w:t>the</w:t>
      </w:r>
      <w:proofErr w:type="gramEnd"/>
      <w:r w:rsidRPr="00E52513">
        <w:rPr>
          <w:i/>
        </w:rPr>
        <w:t xml:space="preserve"> CRSA] was able to reach out and speak to everyone I couldn’t, such as my boss, etc. and explain what was happening and what I needed. So that was really helpful. [CRSA] also spoke to my real estate as well.” (Client)</w:t>
      </w:r>
    </w:p>
    <w:p w14:paraId="35D23CC2" w14:textId="77777777" w:rsidR="00617AB3" w:rsidRPr="00E52513" w:rsidRDefault="00617AB3" w:rsidP="00617AB3">
      <w:pPr>
        <w:tabs>
          <w:tab w:val="left" w:pos="284"/>
        </w:tabs>
        <w:spacing w:before="120" w:after="240"/>
        <w:ind w:left="283" w:right="283"/>
        <w:rPr>
          <w:i/>
        </w:rPr>
      </w:pPr>
      <w:r w:rsidRPr="00E52513">
        <w:rPr>
          <w:i/>
        </w:rPr>
        <w:t>“They provided support for the funeral. Food vouchers – and that really helped me... Another organisation will help me move out, clean inside your house and clean up the yard. That takes a lot of stress off me.” (Client)</w:t>
      </w:r>
    </w:p>
    <w:p w14:paraId="5D71A4D5" w14:textId="4C7B2473" w:rsidR="00617AB3" w:rsidRPr="00E52513" w:rsidRDefault="00617AB3" w:rsidP="00617AB3">
      <w:pPr>
        <w:tabs>
          <w:tab w:val="left" w:pos="284"/>
        </w:tabs>
        <w:spacing w:before="120" w:after="240"/>
        <w:ind w:left="283" w:right="283"/>
        <w:rPr>
          <w:i/>
        </w:rPr>
      </w:pPr>
      <w:r w:rsidRPr="00E52513">
        <w:rPr>
          <w:i/>
        </w:rPr>
        <w:t>“We would have been in trouble as there is no service around like the service she does. I don’t know what we would have done it would have been far more stressful then it was without their financial support.” (Client)</w:t>
      </w:r>
    </w:p>
    <w:p w14:paraId="6BCD6EB8" w14:textId="0F0D4ED5" w:rsidR="00617AB3" w:rsidRPr="00E52513" w:rsidRDefault="00617AB3" w:rsidP="00617AB3">
      <w:r w:rsidRPr="00E52513">
        <w:lastRenderedPageBreak/>
        <w:t>Emotional support provided by CRSAs in the initial contact with clients was also highly valued by several clients. It was evident that some clients and stakeholders viewed the service as a valuable counselling service.</w:t>
      </w:r>
      <w:r w:rsidRPr="00E52513">
        <w:rPr>
          <w:rStyle w:val="FootnoteReference"/>
        </w:rPr>
        <w:footnoteReference w:id="14"/>
      </w:r>
    </w:p>
    <w:p w14:paraId="431D85E6" w14:textId="3D5EACDD" w:rsidR="00617AB3" w:rsidRPr="00E52513" w:rsidRDefault="00617AB3" w:rsidP="00617AB3">
      <w:pPr>
        <w:tabs>
          <w:tab w:val="left" w:pos="284"/>
        </w:tabs>
        <w:spacing w:before="120" w:after="240"/>
        <w:ind w:left="283" w:right="283"/>
      </w:pPr>
      <w:r w:rsidRPr="00E52513">
        <w:rPr>
          <w:i/>
        </w:rPr>
        <w:t>“For me it was just having someone to talk to when I needed to talk.” (Client)</w:t>
      </w:r>
    </w:p>
    <w:p w14:paraId="5EA6A889" w14:textId="42BEC9C5" w:rsidR="00617AB3" w:rsidRDefault="00617AB3" w:rsidP="00C90E4C">
      <w:pPr>
        <w:spacing w:after="240"/>
      </w:pPr>
      <w:r w:rsidRPr="00E52513">
        <w:t xml:space="preserve">Several clients reported being referred and supported to access counselling services once other pragmatic issues, such as funeral arrangements or dealing with the </w:t>
      </w:r>
      <w:r w:rsidR="00E03911" w:rsidRPr="00E52513">
        <w:t>C</w:t>
      </w:r>
      <w:r w:rsidRPr="00E52513">
        <w:t xml:space="preserve">oroner’s </w:t>
      </w:r>
      <w:r w:rsidR="00E03911" w:rsidRPr="00E52513">
        <w:t>C</w:t>
      </w:r>
      <w:r w:rsidRPr="00E52513">
        <w:t>ourt, were resolved.</w:t>
      </w:r>
    </w:p>
    <w:p w14:paraId="7F527E5A" w14:textId="77777777" w:rsidR="00C90E4C" w:rsidRPr="004A3599" w:rsidRDefault="00C90E4C" w:rsidP="00C90E4C">
      <w:pPr>
        <w:shd w:val="clear" w:color="auto" w:fill="FDE9D9" w:themeFill="accent6" w:themeFillTint="33"/>
        <w:spacing w:before="240" w:after="0"/>
        <w:ind w:left="170" w:right="170"/>
        <w:rPr>
          <w:rFonts w:cs="Segoe UI"/>
          <w:b/>
          <w:sz w:val="20"/>
        </w:rPr>
      </w:pPr>
      <w:r w:rsidRPr="004A3599">
        <w:rPr>
          <w:rFonts w:cs="Segoe UI"/>
          <w:b/>
          <w:sz w:val="20"/>
        </w:rPr>
        <w:t>Case study 2 – Northern Territory</w:t>
      </w:r>
    </w:p>
    <w:p w14:paraId="1AC63BEF" w14:textId="77777777" w:rsidR="00C90E4C" w:rsidRPr="004A3599" w:rsidRDefault="00C90E4C" w:rsidP="00C90E4C">
      <w:pPr>
        <w:shd w:val="clear" w:color="auto" w:fill="FDE9D9" w:themeFill="accent6" w:themeFillTint="33"/>
        <w:ind w:left="170" w:right="170"/>
        <w:rPr>
          <w:rFonts w:cs="Segoe UI"/>
          <w:sz w:val="20"/>
        </w:rPr>
      </w:pPr>
      <w:r w:rsidRPr="004A3599">
        <w:rPr>
          <w:rFonts w:cs="Segoe UI"/>
          <w:sz w:val="20"/>
        </w:rPr>
        <w:t xml:space="preserve">Maureen* received support from the NICRS after a traumatic incident involving her child during a time in her life when she was living in an unfamiliar place with no networks. The service was pivotal in helping her to organise rental properties, liaising with government services, referrals for counselling services and travelling around the area.  </w:t>
      </w:r>
    </w:p>
    <w:p w14:paraId="41F5EF67" w14:textId="77777777" w:rsidR="00C90E4C" w:rsidRPr="004A3599" w:rsidRDefault="00C90E4C" w:rsidP="00C90E4C">
      <w:pPr>
        <w:shd w:val="clear" w:color="auto" w:fill="FDE9D9" w:themeFill="accent6" w:themeFillTint="33"/>
        <w:ind w:left="170" w:right="170"/>
        <w:rPr>
          <w:rFonts w:cs="Segoe UI"/>
          <w:sz w:val="20"/>
        </w:rPr>
      </w:pPr>
      <w:r w:rsidRPr="004A3599">
        <w:rPr>
          <w:rFonts w:cs="Segoe UI"/>
          <w:sz w:val="20"/>
        </w:rPr>
        <w:t>The CRSA facilitated connections to services and provided various forms of assistance during the time that Maureen was living away from her home country.  These supports were highly valued by Maureen who regarded the support as critical.</w:t>
      </w:r>
    </w:p>
    <w:p w14:paraId="12EE295F" w14:textId="77777777" w:rsidR="00C90E4C" w:rsidRPr="004A3599" w:rsidRDefault="00C90E4C" w:rsidP="00C90E4C">
      <w:pPr>
        <w:shd w:val="clear" w:color="auto" w:fill="FDE9D9" w:themeFill="accent6" w:themeFillTint="33"/>
        <w:ind w:left="170" w:right="170"/>
        <w:rPr>
          <w:rFonts w:cs="Segoe UI"/>
          <w:sz w:val="20"/>
        </w:rPr>
      </w:pPr>
      <w:r w:rsidRPr="004A3599">
        <w:rPr>
          <w:rFonts w:cs="Segoe UI"/>
          <w:sz w:val="20"/>
        </w:rPr>
        <w:t>However, difficulties arose for Maureen when she returned home with her family and she was left with little support and no handover or follow-up by the NICRS. She was still trying to cope with the incident and needed professional counselling and support. She also had limited access to services and support and was living in an area with limited phone coverage.</w:t>
      </w:r>
    </w:p>
    <w:p w14:paraId="2FDFD7CC" w14:textId="5E782C5F" w:rsidR="00BB0116" w:rsidRPr="00C90E4C" w:rsidRDefault="00C90E4C" w:rsidP="00C90E4C">
      <w:pPr>
        <w:shd w:val="clear" w:color="auto" w:fill="FDE9D9" w:themeFill="accent6" w:themeFillTint="33"/>
        <w:ind w:left="170" w:right="170"/>
        <w:rPr>
          <w:rFonts w:cs="Segoe UI"/>
          <w:sz w:val="20"/>
        </w:rPr>
      </w:pPr>
      <w:r w:rsidRPr="004A3599">
        <w:rPr>
          <w:rFonts w:cs="Segoe UI"/>
          <w:sz w:val="20"/>
        </w:rPr>
        <w:t>While she did not receive follow-up support from the service when she moved, Maureen was still extremely positive about the support and personal connection she had with the service through the CRSA. She also strongly believed that that the service was needed and was supportive of its continuation and expansion.</w:t>
      </w:r>
    </w:p>
    <w:p w14:paraId="3A9C83C2" w14:textId="21575EE2" w:rsidR="00617AB3" w:rsidRPr="00E52513" w:rsidRDefault="00617AB3" w:rsidP="00C90E4C">
      <w:pPr>
        <w:spacing w:before="360"/>
      </w:pPr>
      <w:r w:rsidRPr="00E52513">
        <w:t>Some clien</w:t>
      </w:r>
      <w:r w:rsidR="004A3599" w:rsidRPr="00E52513">
        <w:t>t</w:t>
      </w:r>
      <w:r w:rsidRPr="00E52513">
        <w:t xml:space="preserve">s also reported accessing the service and maintaining contact with CRSAs for ongoing emotional support or to troubleshoot issues, which provided a sense of stability and security in their lives. Several clients appreciated that the CRSAs were always available to talk over the phone, even after some months, when they were feeling low or were going through a challenging period in their life </w:t>
      </w:r>
      <w:r w:rsidR="007E6AF0" w:rsidRPr="00E52513">
        <w:t>because of</w:t>
      </w:r>
      <w:r w:rsidRPr="00E52513">
        <w:t xml:space="preserve"> the incident.</w:t>
      </w:r>
    </w:p>
    <w:p w14:paraId="21778A36" w14:textId="75514530" w:rsidR="00617AB3" w:rsidRPr="00E52513" w:rsidRDefault="00617AB3" w:rsidP="00617AB3">
      <w:pPr>
        <w:tabs>
          <w:tab w:val="left" w:pos="284"/>
        </w:tabs>
        <w:spacing w:before="120" w:after="240"/>
        <w:ind w:left="283" w:right="283"/>
        <w:rPr>
          <w:i/>
        </w:rPr>
      </w:pPr>
      <w:r w:rsidRPr="00E52513">
        <w:rPr>
          <w:i/>
        </w:rPr>
        <w:t>“I went through a bad stage… didn’t know what I was doing with my life and was feeling really down. I scrolled through my phone and found [CRSA’s] number and texted [the CRSA] and they called me. I know that when I need [CRSA], they are there even just for a yarn. [The CRSA] really cares about us as a family and we feel that support...” (Client)</w:t>
      </w:r>
    </w:p>
    <w:p w14:paraId="701F5D56" w14:textId="5151BF2F" w:rsidR="008D50E4" w:rsidRPr="00E52513" w:rsidRDefault="00617AB3" w:rsidP="00617AB3">
      <w:r w:rsidRPr="00E52513">
        <w:t>Advocacy support provided through the service was also highly valued by clients. Most of the clients interviewed required some form of support to liaise with police, government agencies, or real estate agencies, immediately after, but in some cases for several months following the incident. Clients talked about being overwhelmed with grief and feeling incapable of advocating for themselves or their families immediately after an incident</w:t>
      </w:r>
      <w:r w:rsidR="0085052D" w:rsidRPr="00E52513">
        <w:t>.</w:t>
      </w:r>
      <w:r w:rsidRPr="00E52513">
        <w:t xml:space="preserve"> CRSAs were therefore seen to play an important role to represent clients and advocate for their needs with police, housing matters, employment and welfare benefits.</w:t>
      </w:r>
    </w:p>
    <w:p w14:paraId="2818CF41" w14:textId="02675550" w:rsidR="00391503" w:rsidRPr="00E52513" w:rsidRDefault="00391503" w:rsidP="00152634">
      <w:pPr>
        <w:pStyle w:val="Heading2"/>
      </w:pPr>
      <w:bookmarkStart w:id="71" w:name="_Toc35966342"/>
      <w:bookmarkStart w:id="72" w:name="_Toc36482269"/>
      <w:bookmarkStart w:id="73" w:name="_Toc54966636"/>
      <w:r w:rsidRPr="00E52513">
        <w:lastRenderedPageBreak/>
        <w:t>Consistency of the service</w:t>
      </w:r>
      <w:bookmarkStart w:id="74" w:name="_Hlk41293219"/>
      <w:bookmarkEnd w:id="71"/>
      <w:bookmarkEnd w:id="72"/>
      <w:bookmarkEnd w:id="73"/>
    </w:p>
    <w:bookmarkEnd w:id="74"/>
    <w:p w14:paraId="60817651" w14:textId="24D672C3" w:rsidR="00C763C3" w:rsidRPr="00E52513" w:rsidRDefault="00C763C3" w:rsidP="00C763C3">
      <w:pPr>
        <w:spacing w:after="120"/>
      </w:pPr>
      <w:r w:rsidRPr="00E52513">
        <w:t>The document review of the policies, operational guidelines and position descriptions indicated that a comprehensive range of documentation to support implementation of the NICRS has been developed. Overall, this documentation was well prepared to support good organisational practice. However, the following observations are worth noting:</w:t>
      </w:r>
    </w:p>
    <w:p w14:paraId="61A4EAA0" w14:textId="4EE133AF" w:rsidR="00C763C3" w:rsidRPr="00E52513" w:rsidRDefault="00C763C3" w:rsidP="009437A5">
      <w:pPr>
        <w:pStyle w:val="ListParagraph"/>
        <w:numPr>
          <w:ilvl w:val="0"/>
          <w:numId w:val="34"/>
        </w:numPr>
        <w:spacing w:after="0"/>
      </w:pPr>
      <w:r w:rsidRPr="00E52513">
        <w:t xml:space="preserve">there is little in the policy framework that describes and/or prescribes </w:t>
      </w:r>
      <w:r w:rsidR="00425EFF" w:rsidRPr="00E52513">
        <w:t>culturally specific</w:t>
      </w:r>
      <w:r w:rsidRPr="00E52513">
        <w:t xml:space="preserve"> approaches to service provision and organisational operation</w:t>
      </w:r>
    </w:p>
    <w:p w14:paraId="0EC9D6DE" w14:textId="6175892A" w:rsidR="00C763C3" w:rsidRPr="00E52513" w:rsidRDefault="00C763C3" w:rsidP="009437A5">
      <w:pPr>
        <w:pStyle w:val="ListParagraph"/>
        <w:numPr>
          <w:ilvl w:val="0"/>
          <w:numId w:val="34"/>
        </w:numPr>
        <w:spacing w:before="0" w:after="0"/>
      </w:pPr>
      <w:r w:rsidRPr="00E52513">
        <w:t>there is little in the policy framework that addresses the challenges and risks of CRSAs operating in isolation</w:t>
      </w:r>
    </w:p>
    <w:p w14:paraId="7044B4D9" w14:textId="77777777" w:rsidR="00C763C3" w:rsidRPr="00E52513" w:rsidRDefault="00C763C3" w:rsidP="009437A5">
      <w:pPr>
        <w:pStyle w:val="ListParagraph"/>
        <w:numPr>
          <w:ilvl w:val="0"/>
          <w:numId w:val="34"/>
        </w:numPr>
        <w:spacing w:before="0" w:after="0"/>
      </w:pPr>
      <w:r w:rsidRPr="00E52513">
        <w:t>few operational guidelines were provided to the evaluators – for example, no clear guidance was available to describe the competencies required of CRSAs or other service delivery staff and managers</w:t>
      </w:r>
    </w:p>
    <w:p w14:paraId="16DADD80" w14:textId="77777777" w:rsidR="00C763C3" w:rsidRPr="00E52513" w:rsidRDefault="00C763C3" w:rsidP="009437A5">
      <w:pPr>
        <w:pStyle w:val="ListParagraph"/>
        <w:numPr>
          <w:ilvl w:val="0"/>
          <w:numId w:val="34"/>
        </w:numPr>
        <w:spacing w:before="0" w:after="0"/>
      </w:pPr>
      <w:r w:rsidRPr="00E52513">
        <w:t>operational decision-making was often allocated to the Project Director position, with few effective delegations</w:t>
      </w:r>
    </w:p>
    <w:p w14:paraId="657023EE" w14:textId="77777777" w:rsidR="00C763C3" w:rsidRPr="00E52513" w:rsidRDefault="00C763C3" w:rsidP="009437A5">
      <w:pPr>
        <w:pStyle w:val="ListParagraph"/>
        <w:numPr>
          <w:ilvl w:val="0"/>
          <w:numId w:val="34"/>
        </w:numPr>
        <w:spacing w:before="0"/>
      </w:pPr>
      <w:proofErr w:type="gramStart"/>
      <w:r w:rsidRPr="00E52513">
        <w:t>not</w:t>
      </w:r>
      <w:proofErr w:type="gramEnd"/>
      <w:r w:rsidRPr="00E52513">
        <w:t xml:space="preserve"> all NICRS staff positions (including key contracted roles) have position descriptions and, where those descriptions do exist, some are either very brief or overly voluminous – the associated potential for lack of role clarity is high and this could be observed in the qualitative data.</w:t>
      </w:r>
    </w:p>
    <w:p w14:paraId="1A1F56A7" w14:textId="434B2828" w:rsidR="00C763C3" w:rsidRDefault="00C763C3" w:rsidP="00C763C3">
      <w:r w:rsidRPr="00E52513">
        <w:t>It was clear from the interviews with clients, NICRS staff and stakeholders as well as the ORS data that there was a lack of clarity at the operational level of the service. Collectively, this data revealed that policies and procedures were not being properly translated into practice, therefore affecting the direction of the service.</w:t>
      </w:r>
    </w:p>
    <w:p w14:paraId="68E9A1D2" w14:textId="33DC867B" w:rsidR="00BB0116" w:rsidRPr="00C90E4C" w:rsidRDefault="00C90E4C" w:rsidP="00C90E4C">
      <w:pPr>
        <w:jc w:val="center"/>
      </w:pPr>
      <w:r>
        <w:rPr>
          <w:noProof/>
          <w:lang w:eastAsia="en-AU"/>
        </w:rPr>
        <w:drawing>
          <wp:inline distT="0" distB="0" distL="0" distR="0" wp14:anchorId="3615508E" wp14:editId="7414D62A">
            <wp:extent cx="3149600" cy="3644900"/>
            <wp:effectExtent l="0" t="0" r="0" b="0"/>
            <wp:docPr id="202" name="Picture 202" descr="Chart, bar chart of proportion of clients not receiving ERF by jurisdiction&#10;&#10;NT - 55.5%; Qld - 36.7%; SA - 80%; WA - 27.4%" title="Figure 11: Proportion (%) of clients not receiving ERF support by home stat/ territory (n=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 bar chart of proportion of clients not receiving ERF by jurisdiction&#10;&#10;NT - 55.5%; Qld - 36.7%; SA - 80%; WA - 27.4%"/>
                    <pic:cNvPicPr/>
                  </pic:nvPicPr>
                  <pic:blipFill>
                    <a:blip r:embed="rId24">
                      <a:extLst>
                        <a:ext uri="{28A0092B-C50C-407E-A947-70E740481C1C}">
                          <a14:useLocalDpi xmlns:a14="http://schemas.microsoft.com/office/drawing/2010/main" val="0"/>
                        </a:ext>
                      </a:extLst>
                    </a:blip>
                    <a:stretch>
                      <a:fillRect/>
                    </a:stretch>
                  </pic:blipFill>
                  <pic:spPr>
                    <a:xfrm>
                      <a:off x="0" y="0"/>
                      <a:ext cx="3149600" cy="3644900"/>
                    </a:xfrm>
                    <a:prstGeom prst="rect">
                      <a:avLst/>
                    </a:prstGeom>
                  </pic:spPr>
                </pic:pic>
              </a:graphicData>
            </a:graphic>
          </wp:inline>
        </w:drawing>
      </w:r>
    </w:p>
    <w:p w14:paraId="3F4BFB71" w14:textId="29ACE568" w:rsidR="00C763C3" w:rsidRPr="00E52513" w:rsidRDefault="00C763C3" w:rsidP="00C763C3">
      <w:r w:rsidRPr="00E52513">
        <w:rPr>
          <w:b/>
          <w:bCs/>
          <w:i/>
          <w:iCs/>
        </w:rPr>
        <w:t>One good illustration</w:t>
      </w:r>
      <w:r w:rsidRPr="00E52513">
        <w:t xml:space="preserve"> of the disconnection between policy and practice is inconsistent allocation of ERF, an issue that is reported in several sections of this report. Clients and stakeholders alike </w:t>
      </w:r>
      <w:r w:rsidRPr="00E52513">
        <w:lastRenderedPageBreak/>
        <w:t>reported being unclear and confused about how, when and for what reasons funds were allocated. There were reports that some families appeared to receive more funds than others or that there were discrepancies about what items would be funded. In some locations it was reported that ERF funds had been approved for funeral costs, yet the ERF policy specifically states that funeral costs should not be covered.</w:t>
      </w:r>
      <w:r w:rsidR="00C52FAF" w:rsidRPr="00C52FAF">
        <w:rPr>
          <w:noProof/>
        </w:rPr>
        <w:t xml:space="preserve"> </w:t>
      </w:r>
    </w:p>
    <w:p w14:paraId="60F9EF6C" w14:textId="7D27390B" w:rsidR="00C763C3" w:rsidRPr="00E52513" w:rsidRDefault="00C763C3" w:rsidP="00C763C3">
      <w:r w:rsidRPr="00E52513">
        <w:t xml:space="preserve">The degree of inconsistency in the use of the ERF is quantitatively revealed in the ORS data by analysis of its application between the jurisdictions (Figure </w:t>
      </w:r>
      <w:r w:rsidR="000F66D0" w:rsidRPr="00E52513">
        <w:t>1</w:t>
      </w:r>
      <w:r w:rsidR="00400046" w:rsidRPr="00E52513">
        <w:t>1</w:t>
      </w:r>
      <w:r w:rsidRPr="00E52513">
        <w:t xml:space="preserve">). WA clients were more likely to receive an ERF amount, with only 27% not receiving ERF support. At the other end of the spectrum, </w:t>
      </w:r>
      <w:r w:rsidR="00425EFF" w:rsidRPr="00E52513">
        <w:t>most</w:t>
      </w:r>
      <w:r w:rsidRPr="00E52513">
        <w:t xml:space="preserve"> clients in SA (80%) and NT (56%) were not being offered ERF support at all. To some extent these inter-jurisdictional differences hide the within-jurisdiction differences that are likely to be more obvious and therefore could be more confusing to clients (and partner stakeholders). For instance, in WA, after a long period where the ERF was liberally administered, a new approach was introduced in late 2019 that placed considerably more restrictions on its availability. This change appeared to have been derived more from a philosophical rather than financial perspective.</w:t>
      </w:r>
    </w:p>
    <w:p w14:paraId="10F5CC25" w14:textId="18FF19CD" w:rsidR="00C763C3" w:rsidRPr="00E52513" w:rsidRDefault="00C763C3" w:rsidP="00C763C3">
      <w:r w:rsidRPr="00E52513">
        <w:rPr>
          <w:b/>
          <w:bCs/>
          <w:i/>
          <w:iCs/>
        </w:rPr>
        <w:t>A second illustration</w:t>
      </w:r>
      <w:r w:rsidRPr="00E52513">
        <w:t xml:space="preserve"> of the disconnection between policy and practice was in the role of the CRSAs. It was apparent from the interviews with CRSAs that there was inconsistent practice by CRSAs, both across and within office locations, leading to perceived inconsistency in the implementation of the service. Although there were detailed position descriptions and operational guidelines potentially available to guide NICRS staff practice, the interviews indicated that there was considerable variability in how CRSAs supported and responded to clients and therefore how that guidance was being accessed and applied. In one location it was reported that a CRSA was yet to be provided with a formal position description. It was also reported that CRSA-type duties were being undertaken by managers and Coordinators, presumably leading to further potential for inconsistency of practice.</w:t>
      </w:r>
    </w:p>
    <w:p w14:paraId="40A55B24" w14:textId="675140C9" w:rsidR="00C763C3" w:rsidRPr="00E52513" w:rsidRDefault="00C763C3" w:rsidP="00C763C3">
      <w:r w:rsidRPr="00E52513">
        <w:t xml:space="preserve">Some CRSAs described taking a more intensive and reactive approach to their roles, making themselves available at all hours of the day, while others reported adopting a less intensive approach. Some CRSAs described providing ‘accidental counselling’ (at least) when clients called during a bad stage and clients and stakeholders similarly viewed the NICRS as a “counselling service”. Several clients also reported having the perception that CRSAs had paid for food or fuel for clients from their personal finances. Collectively, these reports suggested that some CRSAs were unclear about their professional boundaries </w:t>
      </w:r>
      <w:r w:rsidR="00425EFF" w:rsidRPr="00E52513">
        <w:t>and</w:t>
      </w:r>
      <w:r w:rsidRPr="00E52513">
        <w:t xml:space="preserve"> the core functions of their role.</w:t>
      </w:r>
    </w:p>
    <w:p w14:paraId="22A65AA8" w14:textId="4E99924D" w:rsidR="00C763C3" w:rsidRPr="00E52513" w:rsidRDefault="00C763C3" w:rsidP="00C763C3">
      <w:r w:rsidRPr="00E52513">
        <w:t>The interviews also indicated that there was variability in how the ORS was being utilised; several CRSAs reported that they had not been formally trained in using the system. Analysis of the ORS confirmed that there were numerous inconsistencies in how data was entered.</w:t>
      </w:r>
    </w:p>
    <w:p w14:paraId="62F0AC0E" w14:textId="2A3089FA" w:rsidR="00C763C3" w:rsidRPr="00E52513" w:rsidRDefault="00C763C3" w:rsidP="0085052D">
      <w:pPr>
        <w:spacing w:after="360"/>
      </w:pPr>
      <w:r w:rsidRPr="00E52513">
        <w:t xml:space="preserve">The issue of comprehension and activation of the established </w:t>
      </w:r>
      <w:r w:rsidR="00E03911" w:rsidRPr="00E52513">
        <w:t>m</w:t>
      </w:r>
      <w:r w:rsidRPr="00E52513">
        <w:t xml:space="preserve">odel of </w:t>
      </w:r>
      <w:r w:rsidR="00E03911" w:rsidRPr="00E52513">
        <w:t>c</w:t>
      </w:r>
      <w:r w:rsidRPr="00E52513">
        <w:t xml:space="preserve">are and associated consistency of care requirements is further explored in Section </w:t>
      </w:r>
      <w:r w:rsidR="007247D5" w:rsidRPr="00E52513">
        <w:t>10</w:t>
      </w:r>
      <w:r w:rsidRPr="00E52513">
        <w:t>.</w:t>
      </w:r>
    </w:p>
    <w:p w14:paraId="7D512C2D" w14:textId="01AE36D3" w:rsidR="001A4271" w:rsidRPr="00E52513" w:rsidRDefault="001A4271" w:rsidP="00152634">
      <w:pPr>
        <w:pStyle w:val="Heading2"/>
      </w:pPr>
      <w:bookmarkStart w:id="75" w:name="_Toc54966637"/>
      <w:r w:rsidRPr="00E52513">
        <w:t>Governance and accountability</w:t>
      </w:r>
      <w:bookmarkEnd w:id="75"/>
    </w:p>
    <w:p w14:paraId="775FB0FC" w14:textId="6DF240E3" w:rsidR="00B61EC4" w:rsidRPr="00E52513" w:rsidRDefault="00B61EC4" w:rsidP="00B61EC4">
      <w:pPr>
        <w:spacing w:before="120"/>
        <w:rPr>
          <w:rFonts w:ascii="Arial" w:hAnsi="Arial" w:cs="Arial"/>
          <w:color w:val="000000"/>
          <w:szCs w:val="22"/>
        </w:rPr>
      </w:pPr>
      <w:r w:rsidRPr="00E52513">
        <w:rPr>
          <w:rStyle w:val="Heading3Char"/>
        </w:rPr>
        <w:t>Governance requirements</w:t>
      </w:r>
    </w:p>
    <w:p w14:paraId="68AA9644" w14:textId="35E77140" w:rsidR="00CD1946" w:rsidRPr="00E52513" w:rsidRDefault="00B61EC4" w:rsidP="00B61EC4">
      <w:r w:rsidRPr="00E52513">
        <w:t xml:space="preserve">In </w:t>
      </w:r>
      <w:r w:rsidR="004F0F96" w:rsidRPr="00E52513">
        <w:t xml:space="preserve">the previous </w:t>
      </w:r>
      <w:r w:rsidRPr="00E52513">
        <w:t>(</w:t>
      </w:r>
      <w:r w:rsidR="004F0F96" w:rsidRPr="00E52513">
        <w:t>5</w:t>
      </w:r>
      <w:r w:rsidRPr="00E52513">
        <w:t>.</w:t>
      </w:r>
      <w:r w:rsidR="004F0F96" w:rsidRPr="00E52513">
        <w:t>2 Consistency of the service</w:t>
      </w:r>
      <w:r w:rsidRPr="00E52513">
        <w:t xml:space="preserve">) it was noted that there is a disconnection between policy (as expressed in the </w:t>
      </w:r>
      <w:r w:rsidR="00E03911" w:rsidRPr="00E52513">
        <w:t>m</w:t>
      </w:r>
      <w:r w:rsidRPr="00E52513">
        <w:t xml:space="preserve">odel of </w:t>
      </w:r>
      <w:r w:rsidR="00E03911" w:rsidRPr="00E52513">
        <w:t>c</w:t>
      </w:r>
      <w:r w:rsidRPr="00E52513">
        <w:t xml:space="preserve">are and </w:t>
      </w:r>
      <w:r w:rsidR="00200F1C" w:rsidRPr="00E52513">
        <w:t>several</w:t>
      </w:r>
      <w:r w:rsidRPr="00E52513">
        <w:t xml:space="preserve"> policy and procedure documents) and actual </w:t>
      </w:r>
      <w:r w:rsidRPr="00E52513">
        <w:lastRenderedPageBreak/>
        <w:t>practice in the field. This is leading to significant breaches in the fidelity of the operationalisation of the NICRS model of care. This suggests there has been a breakdown in ‘clinical’ or practice governance</w:t>
      </w:r>
      <w:r w:rsidR="003C19BE" w:rsidRPr="00E52513">
        <w:t xml:space="preserve"> arrangements</w:t>
      </w:r>
      <w:r w:rsidRPr="00E52513">
        <w:t>. Clinical</w:t>
      </w:r>
      <w:r w:rsidRPr="00E52513">
        <w:rPr>
          <w:rStyle w:val="FootnoteReference"/>
        </w:rPr>
        <w:footnoteReference w:id="15"/>
      </w:r>
      <w:r w:rsidRPr="00E52513">
        <w:t xml:space="preserve"> governance is defined by the Australian Commission on Safety and Quality in Health Care (2017) as:</w:t>
      </w:r>
    </w:p>
    <w:p w14:paraId="3223CB0D" w14:textId="01B04652" w:rsidR="00B61EC4" w:rsidRPr="00E52513" w:rsidRDefault="00425EFF" w:rsidP="00B61EC4">
      <w:pPr>
        <w:ind w:left="284" w:right="284"/>
        <w:rPr>
          <w:rFonts w:eastAsiaTheme="minorHAnsi"/>
          <w:i/>
          <w:iCs/>
        </w:rPr>
      </w:pPr>
      <w:r w:rsidRPr="00E52513">
        <w:rPr>
          <w:rFonts w:eastAsiaTheme="minorHAnsi"/>
          <w:i/>
          <w:iCs/>
        </w:rPr>
        <w:t>” …</w:t>
      </w:r>
      <w:r w:rsidR="00B61EC4" w:rsidRPr="00E52513">
        <w:rPr>
          <w:rFonts w:eastAsiaTheme="minorHAnsi"/>
          <w:i/>
          <w:iCs/>
        </w:rPr>
        <w:t xml:space="preserve"> the set of relationships and responsibilities established by … an organisation between its … governing body, executive, clinicians, patients, consumers and other stakeholders to ensure good … outcomes. It ensures that the community and health service organisations can be confident that systems are in place to deliver safe and high-quality health care, and continuously improve services”</w:t>
      </w:r>
    </w:p>
    <w:p w14:paraId="4ABFFE5E" w14:textId="1A95FA34" w:rsidR="00CD1946" w:rsidRDefault="00B61EC4" w:rsidP="00CD1946">
      <w:r w:rsidRPr="00E52513">
        <w:t xml:space="preserve">Clinical or practice governance fits within a broader organisation governance framework and all the levels mentioned in the above quote – the </w:t>
      </w:r>
      <w:r w:rsidR="00E03911" w:rsidRPr="00E52513">
        <w:t>B</w:t>
      </w:r>
      <w:r w:rsidRPr="00E52513">
        <w:t xml:space="preserve">oard, executive management, operational management and workers – are integral to accountability for quality of care. In Figure </w:t>
      </w:r>
      <w:r w:rsidR="005B437D" w:rsidRPr="00E52513">
        <w:t>12</w:t>
      </w:r>
      <w:r w:rsidRPr="00E52513">
        <w:t>, a typical set of elements of a governance framework is provided.</w:t>
      </w:r>
    </w:p>
    <w:p w14:paraId="4ABA0544" w14:textId="73ECD27D" w:rsidR="004B7B6F" w:rsidRPr="00E52513" w:rsidRDefault="004B7B6F" w:rsidP="004B7B6F">
      <w:pPr>
        <w:jc w:val="center"/>
      </w:pPr>
      <w:r>
        <w:rPr>
          <w:noProof/>
          <w:lang w:eastAsia="en-AU"/>
        </w:rPr>
        <w:drawing>
          <wp:inline distT="0" distB="0" distL="0" distR="0" wp14:anchorId="77AA7F9C" wp14:editId="54DDD7B8">
            <wp:extent cx="4457700" cy="4279900"/>
            <wp:effectExtent l="0" t="0" r="0" b="6350"/>
            <wp:docPr id="203" name="Picture 203" descr="Chart, diagram schematic showing elements of clinical governance&#10;&#10;Centre circle - clinical governance: 7 smaller circles arrayed around the circumference - education and training; clinical effectiveness; clinical audit; openness; risk management; information management; human resources&#10;" title="Figure 1: Typical elements of an organisation govern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 diagram schematic showing elements of clinical governance&#10;&#10;Centre circle - clinical governance: 7 smaller circles arrayed around the circumference - education and training; clinical effectiveness; clinical audit; openness; risk management; information management; human resources&#10;"/>
                    <pic:cNvPicPr/>
                  </pic:nvPicPr>
                  <pic:blipFill>
                    <a:blip r:embed="rId25">
                      <a:extLst>
                        <a:ext uri="{28A0092B-C50C-407E-A947-70E740481C1C}">
                          <a14:useLocalDpi xmlns:a14="http://schemas.microsoft.com/office/drawing/2010/main" val="0"/>
                        </a:ext>
                      </a:extLst>
                    </a:blip>
                    <a:stretch>
                      <a:fillRect/>
                    </a:stretch>
                  </pic:blipFill>
                  <pic:spPr>
                    <a:xfrm>
                      <a:off x="0" y="0"/>
                      <a:ext cx="4457700" cy="4279900"/>
                    </a:xfrm>
                    <a:prstGeom prst="rect">
                      <a:avLst/>
                    </a:prstGeom>
                  </pic:spPr>
                </pic:pic>
              </a:graphicData>
            </a:graphic>
          </wp:inline>
        </w:drawing>
      </w:r>
    </w:p>
    <w:p w14:paraId="00F7784D" w14:textId="62866305" w:rsidR="00B61EC4" w:rsidRPr="00E52513" w:rsidRDefault="00B61EC4" w:rsidP="00B61EC4">
      <w:pPr>
        <w:pStyle w:val="Heading3"/>
      </w:pPr>
      <w:r w:rsidRPr="00E52513">
        <w:t>Limited levels of accountability</w:t>
      </w:r>
    </w:p>
    <w:p w14:paraId="0AAE6524" w14:textId="0A2843CF" w:rsidR="00B61EC4" w:rsidRPr="00E52513" w:rsidRDefault="00B61EC4" w:rsidP="00B61EC4">
      <w:r w:rsidRPr="00E52513">
        <w:t xml:space="preserve">Based on interviews conducted with various stakeholders, </w:t>
      </w:r>
      <w:r w:rsidR="00E03911" w:rsidRPr="00E52513">
        <w:t>B</w:t>
      </w:r>
      <w:r w:rsidRPr="00E52513">
        <w:t>oard members, executive staff and operational personnel (CR</w:t>
      </w:r>
      <w:r w:rsidR="006B4E5D" w:rsidRPr="00E52513">
        <w:t>S</w:t>
      </w:r>
      <w:r w:rsidRPr="00E52513">
        <w:t xml:space="preserve">As and Coordinators), there appeared to be no structured and cohesive </w:t>
      </w:r>
      <w:r w:rsidRPr="00E52513">
        <w:lastRenderedPageBreak/>
        <w:t>governance framework that routinely assessed and managed risk, monitored performance or ensured the safety and productivity of the workforce.</w:t>
      </w:r>
    </w:p>
    <w:p w14:paraId="5F6ADECB" w14:textId="680A904B" w:rsidR="00B61EC4" w:rsidRPr="00E52513" w:rsidRDefault="00B61EC4" w:rsidP="00B61EC4">
      <w:r w:rsidRPr="00E52513">
        <w:t>This evaluation was not intended to undertake a</w:t>
      </w:r>
      <w:r w:rsidR="007247D5" w:rsidRPr="00E52513">
        <w:t xml:space="preserve">n </w:t>
      </w:r>
      <w:r w:rsidRPr="00E52513">
        <w:t>organisational review, so precisely pinpointing the cause, or causes, of the breakdown in organisational and clinical governance is difficult. This task is made more challenging by some key internal stakeholders interviewed perceiving that the service was well established</w:t>
      </w:r>
      <w:r w:rsidR="007247D5" w:rsidRPr="00E52513">
        <w:t>,</w:t>
      </w:r>
      <w:r w:rsidRPr="00E52513">
        <w:t xml:space="preserve"> with a clear management system and accountability mechanisms in place, while others expressed the view that the NICRS was still in a development phase as reflected by governance issues and procedural impacts.</w:t>
      </w:r>
    </w:p>
    <w:p w14:paraId="21F20999" w14:textId="337AC0B6" w:rsidR="00B61EC4" w:rsidRPr="00E52513" w:rsidRDefault="00B61EC4" w:rsidP="00B61EC4">
      <w:r w:rsidRPr="00E52513">
        <w:t>From the evaluation perspective three examples can highlight the nature and dimension of governance concerns:</w:t>
      </w:r>
    </w:p>
    <w:p w14:paraId="5D66E755" w14:textId="7A168786" w:rsidR="00B61EC4" w:rsidRPr="00E52513" w:rsidRDefault="00B61EC4" w:rsidP="009437A5">
      <w:pPr>
        <w:pStyle w:val="ListParagraph"/>
        <w:numPr>
          <w:ilvl w:val="0"/>
          <w:numId w:val="29"/>
        </w:numPr>
      </w:pPr>
      <w:proofErr w:type="gramStart"/>
      <w:r w:rsidRPr="00E52513">
        <w:t>a</w:t>
      </w:r>
      <w:proofErr w:type="gramEnd"/>
      <w:r w:rsidRPr="00E52513">
        <w:t xml:space="preserve"> finding from the interviews, ORS data and the document review was that outcomes, for clients and the service, were not being routinely captured and measured. This lack of outcome measures is discussed in more detail in </w:t>
      </w:r>
      <w:r w:rsidR="007247D5" w:rsidRPr="00E52513">
        <w:t xml:space="preserve">Section </w:t>
      </w:r>
      <w:r w:rsidRPr="00E52513">
        <w:t>8.3</w:t>
      </w:r>
      <w:r w:rsidR="007E01E9" w:rsidRPr="00E52513">
        <w:t>.</w:t>
      </w:r>
      <w:r w:rsidRPr="00E52513">
        <w:t xml:space="preserve"> The lack of mechanisms in place to measure outcomes at the client level in relation to nationally-based standards of practice</w:t>
      </w:r>
      <w:r w:rsidR="0014650C" w:rsidRPr="00E52513">
        <w:t>,</w:t>
      </w:r>
      <w:r w:rsidRPr="00E52513">
        <w:t xml:space="preserve"> begged the question as to how decisions were being undertaken to effectively ‘handover to local services for ongoing support and meeting of specific needs’ or what assessment was being made to facilitate ‘Step back’ from clients.</w:t>
      </w:r>
    </w:p>
    <w:p w14:paraId="4FC57CEC" w14:textId="7EAEB5C3" w:rsidR="00B61EC4" w:rsidRPr="00E52513" w:rsidRDefault="00B61EC4" w:rsidP="009437A5">
      <w:pPr>
        <w:pStyle w:val="ListParagraph"/>
        <w:numPr>
          <w:ilvl w:val="0"/>
          <w:numId w:val="29"/>
        </w:numPr>
      </w:pPr>
      <w:r w:rsidRPr="00E52513">
        <w:t xml:space="preserve">It is identified as a key, realistically a critical, element of the </w:t>
      </w:r>
      <w:r w:rsidR="00E03911" w:rsidRPr="00E52513">
        <w:t>m</w:t>
      </w:r>
      <w:r w:rsidRPr="00E52513">
        <w:t xml:space="preserve">odel of </w:t>
      </w:r>
      <w:r w:rsidR="00E03911" w:rsidRPr="00E52513">
        <w:t>c</w:t>
      </w:r>
      <w:r w:rsidRPr="00E52513">
        <w:t xml:space="preserve">are, yet there is not strong evidence to show that </w:t>
      </w:r>
      <w:proofErr w:type="spellStart"/>
      <w:r w:rsidRPr="00E52513">
        <w:rPr>
          <w:i/>
          <w:iCs/>
        </w:rPr>
        <w:t>throughcare</w:t>
      </w:r>
      <w:proofErr w:type="spellEnd"/>
      <w:r w:rsidRPr="00E52513">
        <w:rPr>
          <w:i/>
          <w:iCs/>
        </w:rPr>
        <w:t xml:space="preserve"> plans</w:t>
      </w:r>
      <w:r w:rsidRPr="00E52513">
        <w:t xml:space="preserve"> are being routinely drafted, or for perhaps many incidents, drafted at all. Adherence to a </w:t>
      </w:r>
      <w:proofErr w:type="spellStart"/>
      <w:r w:rsidRPr="00E52513">
        <w:t>throughcare</w:t>
      </w:r>
      <w:proofErr w:type="spellEnd"/>
      <w:r w:rsidRPr="00E52513">
        <w:t xml:space="preserve"> planning model is stipulated in NICRS policies and part of funding agreements. A related documentation issue relates to the writing of case records. A ‘Case Records Policy’ provides some guidance on how to prepare client notes on needs and care/support tasks, and within that policy is an ‘audit checklist template’ to assess the quality of a sample of case notes. The evaluation team was advised the audit process had never been undertaken.</w:t>
      </w:r>
    </w:p>
    <w:p w14:paraId="665649CA" w14:textId="77777777" w:rsidR="00B61EC4" w:rsidRPr="00E52513" w:rsidRDefault="00B61EC4" w:rsidP="009437A5">
      <w:pPr>
        <w:pStyle w:val="ListParagraph"/>
        <w:numPr>
          <w:ilvl w:val="0"/>
          <w:numId w:val="29"/>
        </w:numPr>
      </w:pPr>
      <w:r w:rsidRPr="00E52513">
        <w:t>The CRSA role is challenging and the capability and capacity of CRSAs to perform their role well is a major area of risk. Yet there was no evidence that CRSA competence was adequately assessed at the point of recruitment or that learning needs were addressed at induction or subsequent professional development interventions. Managers and CRSAs themselves acknowledged differences between CRSAs in types and levels of competence, but only limited structures were in place to overcome possible skill deficiencies.</w:t>
      </w:r>
    </w:p>
    <w:p w14:paraId="1759C558" w14:textId="784E75EB" w:rsidR="00B61EC4" w:rsidRPr="00E52513" w:rsidRDefault="00B61EC4" w:rsidP="00B61EC4">
      <w:pPr>
        <w:rPr>
          <w:rFonts w:ascii="Arial" w:hAnsi="Arial" w:cs="Arial"/>
          <w:szCs w:val="22"/>
        </w:rPr>
      </w:pPr>
      <w:r w:rsidRPr="00E52513">
        <w:t>Another example is the inconsistent allocation of ERF (noted previously). Based on the client interviews, there was no doubt that ERF was often a major enabler for NICRS engagement with families and communities (and a recurrent need expressed by clients) but the discrepancies in allocations and variation in approved usage highlights a lack of internal oversight and accountability.</w:t>
      </w:r>
    </w:p>
    <w:p w14:paraId="69F47737" w14:textId="3FA615B1" w:rsidR="00B61EC4" w:rsidRPr="00E52513" w:rsidRDefault="00B61EC4" w:rsidP="00B61EC4">
      <w:pPr>
        <w:pStyle w:val="Heading3"/>
      </w:pPr>
      <w:r w:rsidRPr="00E52513">
        <w:t xml:space="preserve">Limited </w:t>
      </w:r>
      <w:r w:rsidR="0014650C" w:rsidRPr="00E52513">
        <w:t>Continuous Quality Improvement (</w:t>
      </w:r>
      <w:r w:rsidRPr="00E52513">
        <w:t>CQI</w:t>
      </w:r>
      <w:r w:rsidR="0014650C" w:rsidRPr="00E52513">
        <w:t>)</w:t>
      </w:r>
      <w:r w:rsidRPr="00E52513">
        <w:t xml:space="preserve"> and quality control</w:t>
      </w:r>
    </w:p>
    <w:p w14:paraId="0BF77257" w14:textId="619AFA52" w:rsidR="00B61EC4" w:rsidRPr="00E52513" w:rsidRDefault="00B61EC4" w:rsidP="00B61EC4">
      <w:r w:rsidRPr="00E52513">
        <w:t>Interviews with stakeholders and clients indicated that in the initial period of establishment of the service there was significant fluidity in response decisions, most notably</w:t>
      </w:r>
      <w:r w:rsidR="0014650C" w:rsidRPr="00E52513">
        <w:t>,</w:t>
      </w:r>
      <w:r w:rsidRPr="00E52513">
        <w:t xml:space="preserve"> in apparently </w:t>
      </w:r>
      <w:r w:rsidRPr="00E52513">
        <w:rPr>
          <w:i/>
          <w:iCs/>
        </w:rPr>
        <w:t>ad hoc</w:t>
      </w:r>
      <w:r w:rsidRPr="00E52513">
        <w:t xml:space="preserve"> allocations of ERF which appears to have been intensified by highly personality-based casework approaches. The NICRS has been operating for almost four years yet it was apparent there remains a high level of fluidity and inconsistency in how incidents are being responded to and how clients are </w:t>
      </w:r>
      <w:r w:rsidRPr="00E52513">
        <w:lastRenderedPageBreak/>
        <w:t>being supported, even in the oldest service areas. As noted in a previous section, it is not evident that CRSAs were following established NICRS protocols or policies.</w:t>
      </w:r>
    </w:p>
    <w:p w14:paraId="2EEA2955" w14:textId="750EAF0E" w:rsidR="00B61EC4" w:rsidRPr="00E52513" w:rsidRDefault="00B61EC4" w:rsidP="00B61EC4">
      <w:r w:rsidRPr="00E52513">
        <w:t>Interviews and the document reviews also indicated that there had been little</w:t>
      </w:r>
      <w:r w:rsidR="0014650C" w:rsidRPr="00E52513">
        <w:t>,</w:t>
      </w:r>
      <w:r w:rsidRPr="00E52513">
        <w:t xml:space="preserve"> if any</w:t>
      </w:r>
      <w:r w:rsidR="0014650C" w:rsidRPr="00E52513">
        <w:t>,</w:t>
      </w:r>
      <w:r w:rsidRPr="00E52513">
        <w:t xml:space="preserve"> casework review and no analysis (systematic or otherwise) of the ORS data to identify practice outcomes, critical incident markers, or assessment procedures.</w:t>
      </w:r>
    </w:p>
    <w:p w14:paraId="68405E6B" w14:textId="4F5EA17F" w:rsidR="00B61EC4" w:rsidRPr="00E52513" w:rsidRDefault="00B61EC4" w:rsidP="00B61EC4">
      <w:r w:rsidRPr="00E52513">
        <w:t>The levels of practice and professional supervision afforded to CRSAs also emerged from the interviews as an area of significant risk for the organisation, especially at the organisation governance level. It was not clear if staff were trained in risk management procedures or emergency distress technology. Yet, it was apparent that most CRSAs were operating as a travelling case worker (much like a disability contract worker or family behaviour support officer) without being tethered to clear protocols, or procedures that ensured duty of care for clients or safe working conditions for CRSAs.</w:t>
      </w:r>
    </w:p>
    <w:p w14:paraId="76C96DED" w14:textId="77777777" w:rsidR="00B61EC4" w:rsidRPr="00E52513" w:rsidRDefault="00B61EC4" w:rsidP="00B61EC4">
      <w:pPr>
        <w:pStyle w:val="Heading3"/>
      </w:pPr>
      <w:r w:rsidRPr="00E52513">
        <w:t>Lack of clarity of management roles</w:t>
      </w:r>
    </w:p>
    <w:p w14:paraId="7C76FEB6" w14:textId="4BA3DEDA" w:rsidR="00B61EC4" w:rsidRPr="00E52513" w:rsidRDefault="00B61EC4" w:rsidP="00B61EC4">
      <w:r w:rsidRPr="00E52513">
        <w:t>During interviews with CRSAs and Coordinators in the various jurisdictions in which NICRS operates</w:t>
      </w:r>
      <w:r w:rsidR="0014650C" w:rsidRPr="00E52513">
        <w:t>,</w:t>
      </w:r>
      <w:r w:rsidRPr="00E52513">
        <w:t xml:space="preserve"> it was apparent that operational management roles within the organisation were extremely confused and did not appear to follow predictable lines of reporting or accountability.</w:t>
      </w:r>
    </w:p>
    <w:p w14:paraId="7C1697EE" w14:textId="7C667740" w:rsidR="00B61EC4" w:rsidRPr="00E52513" w:rsidRDefault="00B61EC4" w:rsidP="00B61EC4">
      <w:r w:rsidRPr="00E52513">
        <w:t xml:space="preserve">The evaluation team was informed that changes introduced in late 2019 and continuing into 2020 resulted in the establishment of two state/territory-based Coordinator roles. Establishment of the two Coordination roles appears to have ‘regionalised’ the allocation of caseloads and management of CRSAs, however, this also resulted in a much larger geographic coverage by the </w:t>
      </w:r>
      <w:r w:rsidR="00E03911" w:rsidRPr="00E52513">
        <w:t>C</w:t>
      </w:r>
      <w:r w:rsidRPr="00E52513">
        <w:t xml:space="preserve">oordinators. For example, the Perth-based WA Southern Coordinator, who is responsible for all of WA, SA and other ‘southern’ area cases and staff, encompasses the largest proportion of NICRS incidents based on the ORS data. This </w:t>
      </w:r>
      <w:r w:rsidR="0014650C" w:rsidRPr="00E52513">
        <w:t>C</w:t>
      </w:r>
      <w:r w:rsidRPr="00E52513">
        <w:t xml:space="preserve">oordinator is also responsible for direct supervision and line management of the Perth-based CRSAs (see </w:t>
      </w:r>
      <w:r w:rsidR="00E03911" w:rsidRPr="00E52513">
        <w:t xml:space="preserve">previous section </w:t>
      </w:r>
      <w:r w:rsidRPr="00E52513">
        <w:t>Governance and staffing).</w:t>
      </w:r>
    </w:p>
    <w:p w14:paraId="09CF8392" w14:textId="30C3A0A3" w:rsidR="00B61EC4" w:rsidRPr="00E52513" w:rsidRDefault="00B61EC4" w:rsidP="00B61EC4">
      <w:r w:rsidRPr="00E52513">
        <w:t>While the commitment of the Coordinators is not in question, it was not clear to the evaluation team what specific training or additional management support was provided to undertake these complex roles. According to the job description they are meant to provide mentoring support to CRSAs by having regular catch up sessions to review their cases and discuss matters where they need advice and support; provide debriefing support following a critical incident response; and support CRSAs access psychological and cultural mentoring to promote self-care as required. The</w:t>
      </w:r>
      <w:r w:rsidR="0014650C" w:rsidRPr="00E52513">
        <w:t>re</w:t>
      </w:r>
      <w:r w:rsidRPr="00E52513">
        <w:t xml:space="preserve"> was no evidence that this level of support was being offered, especially as the Coordinators were still required to maintain some caseload.</w:t>
      </w:r>
    </w:p>
    <w:p w14:paraId="78F7201F" w14:textId="01F9C498" w:rsidR="00B61EC4" w:rsidRPr="00E52513" w:rsidRDefault="00B61EC4" w:rsidP="00B61EC4">
      <w:r w:rsidRPr="00E52513">
        <w:t>Through various interviews a dislocation of management lines of authority w</w:t>
      </w:r>
      <w:r w:rsidR="0014650C" w:rsidRPr="00E52513">
        <w:t>as</w:t>
      </w:r>
      <w:r w:rsidRPr="00E52513">
        <w:t xml:space="preserve"> uncovered. It was reported that Coordinators or CRSAs were often bypassed by stakeholders who would instead liaise directly with the executive level of </w:t>
      </w:r>
      <w:proofErr w:type="spellStart"/>
      <w:r w:rsidRPr="00E52513">
        <w:t>Thirrili</w:t>
      </w:r>
      <w:proofErr w:type="spellEnd"/>
      <w:r w:rsidRPr="00E52513">
        <w:t xml:space="preserve"> to resolve issues such as ERF allocation. It was reported that this </w:t>
      </w:r>
      <w:r w:rsidR="00425EFF" w:rsidRPr="00E52513">
        <w:t>often-undermined</w:t>
      </w:r>
      <w:r w:rsidRPr="00E52513">
        <w:t xml:space="preserve"> line management </w:t>
      </w:r>
      <w:r w:rsidR="0014650C" w:rsidRPr="00E52513">
        <w:t>and i</w:t>
      </w:r>
      <w:r w:rsidRPr="00E52513">
        <w:t>t affected the ability to maintain consistency in service delivery decision-making.</w:t>
      </w:r>
    </w:p>
    <w:p w14:paraId="3B984C48" w14:textId="215DC3F6" w:rsidR="00B61EC4" w:rsidRPr="00E52513" w:rsidRDefault="00B61EC4" w:rsidP="00B61EC4">
      <w:r w:rsidRPr="00E52513">
        <w:t>A good example of this dislocation of management lines and authority is the regional partnership with G</w:t>
      </w:r>
      <w:r w:rsidR="008759E9" w:rsidRPr="00E52513">
        <w:t>RAMS</w:t>
      </w:r>
      <w:r w:rsidRPr="00E52513">
        <w:t xml:space="preserve"> which has operated for the past year through a direct funding grant from </w:t>
      </w:r>
      <w:proofErr w:type="spellStart"/>
      <w:r w:rsidR="004C6A0B" w:rsidRPr="00E52513">
        <w:t>Thirrili</w:t>
      </w:r>
      <w:proofErr w:type="spellEnd"/>
      <w:r w:rsidRPr="00E52513">
        <w:t xml:space="preserve"> to GRAMS. The WA Coordinator has no direct linkage with this service. In fact, this lack of coordination is now structural as it was openly stated by GRAMS workers that they do not contact the WA NICRS Office, instead dealing directly with National Office via the CEO.</w:t>
      </w:r>
    </w:p>
    <w:p w14:paraId="20354FC1" w14:textId="45DD3A12" w:rsidR="00B61EC4" w:rsidRPr="00E52513" w:rsidRDefault="00B61EC4" w:rsidP="00B61EC4">
      <w:r w:rsidRPr="00E52513">
        <w:lastRenderedPageBreak/>
        <w:t xml:space="preserve">It was also apparent from the interviews and the document review that internal </w:t>
      </w:r>
      <w:proofErr w:type="spellStart"/>
      <w:r w:rsidRPr="00E52513">
        <w:t>Thirrili</w:t>
      </w:r>
      <w:proofErr w:type="spellEnd"/>
      <w:r w:rsidRPr="00E52513">
        <w:t xml:space="preserve"> management roles were also confused as on-the-ground staffing was not reflected in operational guidelines or policies developed in Head Office. One key example highlighted through the interviews was the policy requirement for two CRSAs to attend critical incidents (at least until assessment and planning has been undertaken). However, compliance with this policy is often not possible as most CRSAs are not co-located in one area or region. The majority of CRSAs operate fundamentally as lone service providers with the possible support of a fellow CRSA to attend crisis incidents only if travel is approved from another office or aligned with existing workload.</w:t>
      </w:r>
    </w:p>
    <w:p w14:paraId="41D5A54E" w14:textId="28CB9AD9" w:rsidR="00B61EC4" w:rsidRPr="00E52513" w:rsidRDefault="00B61EC4" w:rsidP="00B61EC4">
      <w:r w:rsidRPr="00E52513">
        <w:t>Queensland is the clearest example of this issue where only two CRSAs are based in what can be viewed as the most decentralised state. With one based in Brisbane and the other fulfilling a dual role as CRSA/Northern Coordinator, these staff were undertaking NICRS activities on a solo basis regularly. The lack of connection with regional service supports and potential partner agencies, as reported in a previous section, only serves to exacerbate this situation. This has direct implications for worker safety, risk management and long-term impacts on staff.</w:t>
      </w:r>
    </w:p>
    <w:p w14:paraId="784E32A7" w14:textId="62B5B75F" w:rsidR="006652B4" w:rsidRPr="00E52513" w:rsidRDefault="006652B4" w:rsidP="00152634">
      <w:pPr>
        <w:pStyle w:val="Heading2"/>
      </w:pPr>
      <w:bookmarkStart w:id="76" w:name="_Toc54966638"/>
      <w:r w:rsidRPr="00E52513">
        <w:t>Support services provided</w:t>
      </w:r>
      <w:bookmarkEnd w:id="76"/>
    </w:p>
    <w:p w14:paraId="13E3ADB1" w14:textId="35189B4F" w:rsidR="00325A64" w:rsidRPr="00E52513" w:rsidRDefault="00325A64" w:rsidP="002243EF">
      <w:pPr>
        <w:pStyle w:val="Heading3"/>
      </w:pPr>
      <w:r w:rsidRPr="00E52513">
        <w:t>Duration between notification and response</w:t>
      </w:r>
    </w:p>
    <w:p w14:paraId="1CD40C97" w14:textId="372540ED" w:rsidR="006652B4" w:rsidRPr="00E52513" w:rsidRDefault="006652B4" w:rsidP="009554E4">
      <w:pPr>
        <w:spacing w:after="240"/>
      </w:pPr>
      <w:r w:rsidRPr="00E52513">
        <w:t>The model of care</w:t>
      </w:r>
      <w:r w:rsidR="006A7F07" w:rsidRPr="00E52513">
        <w:t xml:space="preserve"> document</w:t>
      </w:r>
      <w:r w:rsidRPr="00E52513">
        <w:t xml:space="preserve"> (</w:t>
      </w:r>
      <w:proofErr w:type="spellStart"/>
      <w:proofErr w:type="gramStart"/>
      <w:r w:rsidRPr="00E52513">
        <w:t>Thirrili</w:t>
      </w:r>
      <w:proofErr w:type="spellEnd"/>
      <w:r w:rsidRPr="00E52513">
        <w:t>.,</w:t>
      </w:r>
      <w:proofErr w:type="gramEnd"/>
      <w:r w:rsidRPr="00E52513">
        <w:t xml:space="preserve"> </w:t>
      </w:r>
      <w:proofErr w:type="spellStart"/>
      <w:r w:rsidRPr="00E52513">
        <w:t>n.d.</w:t>
      </w:r>
      <w:proofErr w:type="spellEnd"/>
      <w:r w:rsidRPr="00E52513">
        <w:t>) does not prescribe the time that may elapse between a notification (advice) of an incident and the response to the client from an allocated NICRS CRSA</w:t>
      </w:r>
      <w:r w:rsidR="001B658E" w:rsidRPr="00E52513">
        <w:t xml:space="preserve">. However, the Response Assessment policy </w:t>
      </w:r>
      <w:r w:rsidR="002F2CD1" w:rsidRPr="00E52513">
        <w:t>(</w:t>
      </w:r>
      <w:proofErr w:type="spellStart"/>
      <w:r w:rsidR="002F2CD1" w:rsidRPr="00E52513">
        <w:t>Thirrili</w:t>
      </w:r>
      <w:proofErr w:type="spellEnd"/>
      <w:r w:rsidR="002F2CD1" w:rsidRPr="00E52513">
        <w:t xml:space="preserve">, 2018) </w:t>
      </w:r>
      <w:r w:rsidR="001B658E" w:rsidRPr="00E52513">
        <w:t>outlines the following requirements:</w:t>
      </w:r>
      <w:r w:rsidR="006F3F9F" w:rsidRPr="00E52513">
        <w:rPr>
          <w:noProof/>
        </w:rPr>
        <w:t xml:space="preserve"> </w:t>
      </w:r>
    </w:p>
    <w:p w14:paraId="1687044F" w14:textId="4C69C309" w:rsidR="001B658E" w:rsidRPr="00E52513" w:rsidRDefault="001B658E" w:rsidP="009554E4">
      <w:pPr>
        <w:pStyle w:val="content"/>
        <w:spacing w:after="360"/>
        <w:ind w:left="426"/>
        <w:rPr>
          <w:rFonts w:ascii="Segoe UI" w:hAnsi="Segoe UI" w:cs="Times New Roman"/>
          <w:i/>
          <w:szCs w:val="20"/>
          <w:lang w:val="en-AU"/>
        </w:rPr>
      </w:pPr>
      <w:r w:rsidRPr="00E52513">
        <w:rPr>
          <w:rFonts w:ascii="Segoe UI" w:hAnsi="Segoe UI" w:cs="Times New Roman"/>
          <w:i/>
          <w:szCs w:val="20"/>
          <w:lang w:val="en-AU"/>
        </w:rPr>
        <w:t xml:space="preserve">“The CRSA who receives a notification is responsible for advising the National Coordinator and NICRS Project Officer within </w:t>
      </w:r>
      <w:r w:rsidR="00E179F6" w:rsidRPr="00E52513">
        <w:rPr>
          <w:rFonts w:ascii="Segoe UI" w:hAnsi="Segoe UI" w:cs="Times New Roman"/>
          <w:i/>
          <w:szCs w:val="20"/>
          <w:lang w:val="en-AU"/>
        </w:rPr>
        <w:t>10</w:t>
      </w:r>
      <w:r w:rsidRPr="00E52513">
        <w:rPr>
          <w:rFonts w:ascii="Segoe UI" w:hAnsi="Segoe UI" w:cs="Times New Roman"/>
          <w:i/>
          <w:szCs w:val="20"/>
          <w:lang w:val="en-AU"/>
        </w:rPr>
        <w:t xml:space="preserve"> minutes of the notification, </w:t>
      </w:r>
      <w:r w:rsidR="006A7F07" w:rsidRPr="00E52513">
        <w:rPr>
          <w:rFonts w:ascii="Segoe UI" w:hAnsi="Segoe UI" w:cs="Times New Roman"/>
          <w:i/>
          <w:szCs w:val="20"/>
          <w:lang w:val="en-AU"/>
        </w:rPr>
        <w:t xml:space="preserve">… </w:t>
      </w:r>
      <w:r w:rsidRPr="00E52513">
        <w:rPr>
          <w:rFonts w:ascii="Segoe UI" w:hAnsi="Segoe UI" w:cs="Times New Roman"/>
          <w:i/>
          <w:szCs w:val="20"/>
          <w:lang w:val="en-AU"/>
        </w:rPr>
        <w:t xml:space="preserve">recording information collected in the initial notification stage in the ‘Incident file’ within one hour of notification, </w:t>
      </w:r>
      <w:r w:rsidR="006A7F07" w:rsidRPr="00E52513">
        <w:rPr>
          <w:rFonts w:ascii="Segoe UI" w:hAnsi="Segoe UI" w:cs="Times New Roman"/>
          <w:i/>
          <w:szCs w:val="20"/>
          <w:lang w:val="en-AU"/>
        </w:rPr>
        <w:t xml:space="preserve">… </w:t>
      </w:r>
      <w:r w:rsidRPr="00E52513">
        <w:rPr>
          <w:rFonts w:ascii="Segoe UI" w:hAnsi="Segoe UI" w:cs="Times New Roman"/>
          <w:i/>
          <w:szCs w:val="20"/>
          <w:lang w:val="en-AU"/>
        </w:rPr>
        <w:t>and actively seek to contact famil</w:t>
      </w:r>
      <w:r w:rsidR="006A7F07" w:rsidRPr="00E52513">
        <w:rPr>
          <w:rFonts w:ascii="Segoe UI" w:hAnsi="Segoe UI" w:cs="Times New Roman"/>
          <w:i/>
          <w:szCs w:val="20"/>
          <w:lang w:val="en-AU"/>
        </w:rPr>
        <w:t>y member(s) (potential client/s</w:t>
      </w:r>
      <w:r w:rsidRPr="00E52513">
        <w:rPr>
          <w:rFonts w:ascii="Segoe UI" w:hAnsi="Segoe UI" w:cs="Times New Roman"/>
          <w:i/>
          <w:szCs w:val="20"/>
          <w:lang w:val="en-AU"/>
        </w:rPr>
        <w:t>) to explain the role of NICRS and the nature of the support NICRS can provide (ideally within 3 days of verification) …”</w:t>
      </w:r>
    </w:p>
    <w:p w14:paraId="5E99CC69" w14:textId="584BF1FB" w:rsidR="006F3F9F" w:rsidRDefault="00325A64" w:rsidP="009554E4">
      <w:pPr>
        <w:rPr>
          <w:noProof/>
        </w:rPr>
      </w:pPr>
      <w:r w:rsidRPr="00E52513">
        <w:t xml:space="preserve">Incidents were most often advised to the NICRS within a few days of occurring (Figure </w:t>
      </w:r>
      <w:r w:rsidR="005B437D" w:rsidRPr="00E52513">
        <w:t>1</w:t>
      </w:r>
      <w:r w:rsidR="006F3F9F" w:rsidRPr="00E52513">
        <w:t>3</w:t>
      </w:r>
      <w:r w:rsidRPr="00E52513">
        <w:t xml:space="preserve">). Almost half (48%, n = 364) were </w:t>
      </w:r>
      <w:r w:rsidR="005B437D" w:rsidRPr="00E52513">
        <w:t xml:space="preserve">referred </w:t>
      </w:r>
      <w:r w:rsidRPr="00E52513">
        <w:t>to the NICRS on the same day the incident occurred, while nearly three-quarters (73.4%) were advised to the NICRS within three days. The average time for advising was 27 days, although if anomaly records (greater than 100 days, likely the result of a data entry error or a ‘left-over’ case from pre the NICRS program) are removed the average is reduced to 4.5 days.</w:t>
      </w:r>
      <w:r w:rsidR="006F3F9F" w:rsidRPr="00E52513">
        <w:rPr>
          <w:noProof/>
        </w:rPr>
        <w:t xml:space="preserve"> </w:t>
      </w:r>
    </w:p>
    <w:p w14:paraId="748F0B36" w14:textId="11A4E318" w:rsidR="004B7B6F" w:rsidRPr="00E52513" w:rsidRDefault="004B7B6F" w:rsidP="009554E4">
      <w:pPr>
        <w:rPr>
          <w:noProof/>
        </w:rPr>
      </w:pPr>
      <w:r>
        <w:rPr>
          <w:noProof/>
          <w:lang w:eastAsia="en-AU"/>
        </w:rPr>
        <w:lastRenderedPageBreak/>
        <w:drawing>
          <wp:inline distT="0" distB="0" distL="0" distR="0" wp14:anchorId="2DB2D2ED" wp14:editId="7E45D33F">
            <wp:extent cx="6172200" cy="3505200"/>
            <wp:effectExtent l="0" t="0" r="0" b="0"/>
            <wp:docPr id="205" name="Picture 205" descr="Chart, bar chart&#10;Number of days between incident and advising NICRS&#10;&#10;Same day - 175; 1 day - 56; 2 days - 19; 3 days - 17; 4 days - 12; 5 days - 8; 6 days - 3; 7 days - 6; &gt; one week - 68" title="Figure 13: Distribution of cases advised to the NICRS by days elapsed sinced the date of the incident (n=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bar chart&#10;Number of days between incident and advising NICRS&#10;&#10;Same day - 175; 1 day - 56; 2 days - 19; 3 days - 17; 4 days - 12; 5 days - 8; 6 days - 3; 7 days - 6; &gt; one week - 68"/>
                    <pic:cNvPicPr/>
                  </pic:nvPicPr>
                  <pic:blipFill>
                    <a:blip r:embed="rId26">
                      <a:extLst>
                        <a:ext uri="{28A0092B-C50C-407E-A947-70E740481C1C}">
                          <a14:useLocalDpi xmlns:a14="http://schemas.microsoft.com/office/drawing/2010/main" val="0"/>
                        </a:ext>
                      </a:extLst>
                    </a:blip>
                    <a:stretch>
                      <a:fillRect/>
                    </a:stretch>
                  </pic:blipFill>
                  <pic:spPr>
                    <a:xfrm>
                      <a:off x="0" y="0"/>
                      <a:ext cx="6172200" cy="3505200"/>
                    </a:xfrm>
                    <a:prstGeom prst="rect">
                      <a:avLst/>
                    </a:prstGeom>
                  </pic:spPr>
                </pic:pic>
              </a:graphicData>
            </a:graphic>
          </wp:inline>
        </w:drawing>
      </w:r>
    </w:p>
    <w:p w14:paraId="7F20DCC3" w14:textId="58DB8F59" w:rsidR="0077690D" w:rsidRPr="00E52513" w:rsidRDefault="00C03772" w:rsidP="002243EF">
      <w:pPr>
        <w:pStyle w:val="Heading3"/>
      </w:pPr>
      <w:bookmarkStart w:id="77" w:name="_Toc35966344"/>
      <w:r w:rsidRPr="00E52513">
        <w:t xml:space="preserve">Type of </w:t>
      </w:r>
      <w:r w:rsidR="0077690D" w:rsidRPr="00E52513">
        <w:t>support provided</w:t>
      </w:r>
      <w:bookmarkEnd w:id="77"/>
    </w:p>
    <w:p w14:paraId="6793BC5C" w14:textId="13A1EEC9" w:rsidR="00BD59E8" w:rsidRPr="00E52513" w:rsidRDefault="0077690D" w:rsidP="0077690D">
      <w:r w:rsidRPr="00E52513">
        <w:t>There were no direct records kept in the ORS of the type of intervention undertaken by CRSAs with clients, other than in the case notes.</w:t>
      </w:r>
      <w:r w:rsidR="00B35DC4" w:rsidRPr="00E52513">
        <w:t xml:space="preserve"> However, </w:t>
      </w:r>
      <w:r w:rsidRPr="00E52513">
        <w:t xml:space="preserve">some </w:t>
      </w:r>
      <w:r w:rsidR="00B35DC4" w:rsidRPr="00E52513">
        <w:t xml:space="preserve">indication </w:t>
      </w:r>
      <w:r w:rsidRPr="00E52513">
        <w:t>of the intervention</w:t>
      </w:r>
      <w:r w:rsidR="00B35DC4" w:rsidRPr="00E52513">
        <w:t>s</w:t>
      </w:r>
      <w:r w:rsidRPr="00E52513">
        <w:t xml:space="preserve"> undertaken could be derived from the field ‘Summary of Advocate actions’.</w:t>
      </w:r>
    </w:p>
    <w:p w14:paraId="2AC21C6D" w14:textId="4D5A0F66" w:rsidR="0077690D" w:rsidRPr="00E52513" w:rsidRDefault="0077690D" w:rsidP="0077690D">
      <w:r w:rsidRPr="00E52513">
        <w:t>For the purpose of the evaluation, new field</w:t>
      </w:r>
      <w:r w:rsidR="004F0F96" w:rsidRPr="00E52513">
        <w:t>s</w:t>
      </w:r>
      <w:r w:rsidRPr="00E52513">
        <w:t xml:space="preserve"> w</w:t>
      </w:r>
      <w:r w:rsidR="00BD59E8" w:rsidRPr="00E52513">
        <w:t>ere</w:t>
      </w:r>
      <w:r w:rsidRPr="00E52513">
        <w:t xml:space="preserve"> created by the evaluation team and completed based on the data in the ‘Summary of Advocate actions” field. </w:t>
      </w:r>
      <w:r w:rsidR="00BD59E8" w:rsidRPr="00E52513">
        <w:t>The constructed ‘Type of intervention’ fields allowed for three types of intervention; ERF, accidental counselling</w:t>
      </w:r>
      <w:r w:rsidR="00BD59E8" w:rsidRPr="00E52513">
        <w:rPr>
          <w:rStyle w:val="FootnoteReference"/>
        </w:rPr>
        <w:footnoteReference w:id="16"/>
      </w:r>
      <w:r w:rsidR="00BD59E8" w:rsidRPr="00E52513">
        <w:t>, referral and other, although no ‘other’ type of intervention was found</w:t>
      </w:r>
      <w:r w:rsidR="00BD59E8" w:rsidRPr="00E52513">
        <w:rPr>
          <w:rStyle w:val="FootnoteReference"/>
        </w:rPr>
        <w:footnoteReference w:id="17"/>
      </w:r>
      <w:r w:rsidR="00BD59E8" w:rsidRPr="00E52513">
        <w:t xml:space="preserve">. </w:t>
      </w:r>
      <w:r w:rsidRPr="00E52513">
        <w:t xml:space="preserve">More details on interventions could potentially be obtained from the case notes and </w:t>
      </w:r>
      <w:proofErr w:type="spellStart"/>
      <w:r w:rsidRPr="00E52513">
        <w:t>throughcare</w:t>
      </w:r>
      <w:proofErr w:type="spellEnd"/>
      <w:r w:rsidRPr="00E52513">
        <w:t xml:space="preserve"> plans but this was not considered as part of the original evaluation method</w:t>
      </w:r>
      <w:r w:rsidR="00305D30" w:rsidRPr="00E52513">
        <w:t>. E</w:t>
      </w:r>
      <w:r w:rsidRPr="00E52513">
        <w:t xml:space="preserve">thics approval was </w:t>
      </w:r>
      <w:r w:rsidR="00BD59E8" w:rsidRPr="00E52513">
        <w:t xml:space="preserve">therefore </w:t>
      </w:r>
      <w:r w:rsidRPr="00E52513">
        <w:t>not obtained to access these documents.</w:t>
      </w:r>
    </w:p>
    <w:p w14:paraId="62542843" w14:textId="6D225599" w:rsidR="00C03772" w:rsidRDefault="00C03772" w:rsidP="0043353D">
      <w:pPr>
        <w:spacing w:after="240"/>
      </w:pPr>
      <w:r w:rsidRPr="00E52513">
        <w:t xml:space="preserve">Data extracted from the ‘Summary of actions field’ indicated that not all of the 275 cases (or incidences) where a service was noted </w:t>
      </w:r>
      <w:r w:rsidR="0087528C" w:rsidRPr="00E52513">
        <w:t xml:space="preserve">in the ORS </w:t>
      </w:r>
      <w:r w:rsidRPr="00E52513">
        <w:t xml:space="preserve">as </w:t>
      </w:r>
      <w:r w:rsidR="0087528C" w:rsidRPr="00E52513">
        <w:t xml:space="preserve">being </w:t>
      </w:r>
      <w:r w:rsidRPr="00E52513">
        <w:t>provided was</w:t>
      </w:r>
      <w:r w:rsidR="0087528C" w:rsidRPr="00E52513">
        <w:t xml:space="preserve"> </w:t>
      </w:r>
      <w:r w:rsidRPr="00E52513">
        <w:t>actually delivered; at least not financial, or accidental counselling, or a referral. In fact, in 41% of cases where the ORS indicated a service response had been provided</w:t>
      </w:r>
      <w:r w:rsidR="00305D30" w:rsidRPr="00E52513">
        <w:t>,</w:t>
      </w:r>
      <w:r w:rsidRPr="00E52513">
        <w:t xml:space="preserve"> there was no evidence in the summary notes</w:t>
      </w:r>
      <w:r w:rsidR="00985C0C" w:rsidRPr="00E52513">
        <w:t xml:space="preserve"> that</w:t>
      </w:r>
      <w:r w:rsidRPr="00E52513">
        <w:t xml:space="preserve"> a service had</w:t>
      </w:r>
      <w:r w:rsidR="00BD59E8" w:rsidRPr="00E52513">
        <w:t xml:space="preserve"> </w:t>
      </w:r>
      <w:r w:rsidR="00425EFF" w:rsidRPr="00E52513">
        <w:t>been</w:t>
      </w:r>
      <w:r w:rsidRPr="00E52513">
        <w:t xml:space="preserve"> provided. Reflecting on the earlier reporting of translation of incidents into cases, the findings </w:t>
      </w:r>
      <w:r w:rsidR="00985C0C" w:rsidRPr="00E52513">
        <w:t xml:space="preserve">have been </w:t>
      </w:r>
      <w:r w:rsidRPr="00E52513">
        <w:t xml:space="preserve">summarised </w:t>
      </w:r>
      <w:r w:rsidR="00985C0C" w:rsidRPr="00E52513">
        <w:t>in Figure 1</w:t>
      </w:r>
      <w:r w:rsidR="006F3F9F" w:rsidRPr="00E52513">
        <w:t>4</w:t>
      </w:r>
      <w:r w:rsidR="00985C0C" w:rsidRPr="00E52513">
        <w:t>.</w:t>
      </w:r>
      <w:r w:rsidR="00D00D38" w:rsidRPr="00E52513">
        <w:t xml:space="preserve"> </w:t>
      </w:r>
    </w:p>
    <w:p w14:paraId="152236F9" w14:textId="164C302C" w:rsidR="006F3F9F" w:rsidRDefault="004B7B6F" w:rsidP="004B7B6F">
      <w:pPr>
        <w:spacing w:after="240"/>
        <w:jc w:val="center"/>
      </w:pPr>
      <w:r>
        <w:rPr>
          <w:noProof/>
          <w:lang w:eastAsia="en-AU"/>
        </w:rPr>
        <w:lastRenderedPageBreak/>
        <w:drawing>
          <wp:inline distT="0" distB="0" distL="0" distR="0" wp14:anchorId="6536E47E" wp14:editId="06702B36">
            <wp:extent cx="5092700" cy="3378200"/>
            <wp:effectExtent l="0" t="0" r="0" b="0"/>
            <wp:docPr id="206" name="Picture 206" descr="Diagram&#10;Translating incidents to case support&#10;&#10;Total 367 incidents; 318 requests for support (86.6%); 275 responses to requests for support (74.9%); 181 cases of support detailed (49.3%)" title="Figure 14: Number of incidents that translate to cases support by the NICRS (n=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Diagram&#10;Translating incidents to case support&#10;&#10;Total 367 incidents; 318 requests for support (86.6%); 275 responses to requests for support (74.9%); 181 cases of support detailed (49.3%)"/>
                    <pic:cNvPicPr/>
                  </pic:nvPicPr>
                  <pic:blipFill>
                    <a:blip r:embed="rId27">
                      <a:extLst>
                        <a:ext uri="{28A0092B-C50C-407E-A947-70E740481C1C}">
                          <a14:useLocalDpi xmlns:a14="http://schemas.microsoft.com/office/drawing/2010/main" val="0"/>
                        </a:ext>
                      </a:extLst>
                    </a:blip>
                    <a:stretch>
                      <a:fillRect/>
                    </a:stretch>
                  </pic:blipFill>
                  <pic:spPr>
                    <a:xfrm>
                      <a:off x="0" y="0"/>
                      <a:ext cx="5092700" cy="3378200"/>
                    </a:xfrm>
                    <a:prstGeom prst="rect">
                      <a:avLst/>
                    </a:prstGeom>
                  </pic:spPr>
                </pic:pic>
              </a:graphicData>
            </a:graphic>
          </wp:inline>
        </w:drawing>
      </w:r>
    </w:p>
    <w:p w14:paraId="139075DC" w14:textId="6274B7E4" w:rsidR="004D3FBE" w:rsidRDefault="004B7B6F" w:rsidP="004B7B6F">
      <w:pPr>
        <w:spacing w:after="240"/>
        <w:jc w:val="center"/>
      </w:pPr>
      <w:r>
        <w:rPr>
          <w:noProof/>
          <w:lang w:eastAsia="en-AU"/>
        </w:rPr>
        <w:drawing>
          <wp:inline distT="0" distB="0" distL="0" distR="0" wp14:anchorId="41A4B88E" wp14:editId="0FACDFE6">
            <wp:extent cx="3086100" cy="3708400"/>
            <wp:effectExtent l="0" t="0" r="0" b="6350"/>
            <wp:docPr id="207" name="Picture 207" descr="Bar graph of cases by type of service provided&#10;&#10;ERF - 157; accidental counselling - 40; Referral - 103" title="Figure 15: Distribution of cases where support provided by type of service provided (n=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Bar graph of cases by type of service provided&#10;&#10;ERF - 157; accidental counselling - 40; Referral - 103"/>
                    <pic:cNvPicPr/>
                  </pic:nvPicPr>
                  <pic:blipFill>
                    <a:blip r:embed="rId28">
                      <a:extLst>
                        <a:ext uri="{28A0092B-C50C-407E-A947-70E740481C1C}">
                          <a14:useLocalDpi xmlns:a14="http://schemas.microsoft.com/office/drawing/2010/main" val="0"/>
                        </a:ext>
                      </a:extLst>
                    </a:blip>
                    <a:stretch>
                      <a:fillRect/>
                    </a:stretch>
                  </pic:blipFill>
                  <pic:spPr>
                    <a:xfrm>
                      <a:off x="0" y="0"/>
                      <a:ext cx="3086100" cy="3708400"/>
                    </a:xfrm>
                    <a:prstGeom prst="rect">
                      <a:avLst/>
                    </a:prstGeom>
                  </pic:spPr>
                </pic:pic>
              </a:graphicData>
            </a:graphic>
          </wp:inline>
        </w:drawing>
      </w:r>
    </w:p>
    <w:p w14:paraId="3C7EFC42" w14:textId="727F2A8E" w:rsidR="006736B7" w:rsidRPr="00E52513" w:rsidRDefault="00DC64C2" w:rsidP="006F3F9F">
      <w:pPr>
        <w:rPr>
          <w:noProof/>
          <w:lang w:eastAsia="en-AU"/>
        </w:rPr>
      </w:pPr>
      <w:r w:rsidRPr="00E52513">
        <w:t xml:space="preserve">Where a service was provided, the most common type of service was </w:t>
      </w:r>
      <w:r w:rsidR="008759E9" w:rsidRPr="00E52513">
        <w:t xml:space="preserve">ERF </w:t>
      </w:r>
      <w:r w:rsidRPr="00E52513">
        <w:t xml:space="preserve">(82.8%, n = 181) followed by a referral (56.9%) and accidental counselling (22.1%; see Figure </w:t>
      </w:r>
      <w:r w:rsidR="000F66D0" w:rsidRPr="00E52513">
        <w:t>1</w:t>
      </w:r>
      <w:r w:rsidR="006F3F9F" w:rsidRPr="00E52513">
        <w:t>5</w:t>
      </w:r>
      <w:r w:rsidRPr="00E52513">
        <w:t>).</w:t>
      </w:r>
      <w:r w:rsidR="006736B7" w:rsidRPr="00E52513">
        <w:rPr>
          <w:noProof/>
          <w:lang w:eastAsia="en-AU"/>
        </w:rPr>
        <w:t xml:space="preserve"> </w:t>
      </w:r>
      <w:r w:rsidR="006736B7" w:rsidRPr="00E52513">
        <w:t xml:space="preserve">Based on the ORS data, 94 (34.2%, n = 275) of the incidents where a response to a request was provided received no apparent </w:t>
      </w:r>
      <w:r w:rsidR="006736B7" w:rsidRPr="00E52513">
        <w:rPr>
          <w:u w:val="single"/>
        </w:rPr>
        <w:t xml:space="preserve">recorded </w:t>
      </w:r>
      <w:r w:rsidR="006736B7" w:rsidRPr="00E52513">
        <w:t>support.</w:t>
      </w:r>
    </w:p>
    <w:p w14:paraId="665FE30F" w14:textId="2B122F48" w:rsidR="00DC64C2" w:rsidRPr="00E52513" w:rsidRDefault="00DC64C2" w:rsidP="009554E4">
      <w:pPr>
        <w:pStyle w:val="Heading3"/>
      </w:pPr>
      <w:r w:rsidRPr="00E52513">
        <w:lastRenderedPageBreak/>
        <w:t>Use of Emergency Relief Funding</w:t>
      </w:r>
      <w:r w:rsidR="008759E9" w:rsidRPr="00E52513">
        <w:t xml:space="preserve"> (ERF)</w:t>
      </w:r>
    </w:p>
    <w:p w14:paraId="079699F5" w14:textId="1F95CB92" w:rsidR="00DC64C2" w:rsidRPr="00E52513" w:rsidRDefault="00DC64C2" w:rsidP="00DC64C2">
      <w:r w:rsidRPr="00E52513">
        <w:t>The ERF amount distributed to a</w:t>
      </w:r>
      <w:r w:rsidR="00776FBB" w:rsidRPr="00E52513">
        <w:t>ny</w:t>
      </w:r>
      <w:r w:rsidRPr="00E52513">
        <w:t xml:space="preserve"> single case ranged from $50 to $5,040</w:t>
      </w:r>
      <w:r w:rsidR="00776FBB" w:rsidRPr="00E52513">
        <w:t>. One third of the</w:t>
      </w:r>
      <w:r w:rsidRPr="00E52513">
        <w:t xml:space="preserve"> cases receiv</w:t>
      </w:r>
      <w:r w:rsidR="00776FBB" w:rsidRPr="00E52513">
        <w:t>ed</w:t>
      </w:r>
      <w:r w:rsidRPr="00E52513">
        <w:t xml:space="preserve"> $500 or less (30.9%, n = 152, see Figure 1</w:t>
      </w:r>
      <w:r w:rsidR="006F3F9F" w:rsidRPr="00E52513">
        <w:t>6</w:t>
      </w:r>
      <w:r w:rsidRPr="00E52513">
        <w:t xml:space="preserve">) but </w:t>
      </w:r>
      <w:r w:rsidR="00776FBB" w:rsidRPr="00E52513">
        <w:t xml:space="preserve">over half of the </w:t>
      </w:r>
      <w:r w:rsidRPr="00E52513">
        <w:t>cases rece</w:t>
      </w:r>
      <w:r w:rsidR="00776FBB" w:rsidRPr="00E52513">
        <w:t xml:space="preserve">ived </w:t>
      </w:r>
      <w:r w:rsidRPr="00E52513">
        <w:t>more than $1000 (50.7%).</w:t>
      </w:r>
    </w:p>
    <w:p w14:paraId="379D07DF" w14:textId="32BF824A" w:rsidR="00DC64C2" w:rsidRDefault="00DC64C2" w:rsidP="00DC64C2">
      <w:r w:rsidRPr="00E52513">
        <w:t xml:space="preserve">The total ERF distributed </w:t>
      </w:r>
      <w:r w:rsidR="00776FBB" w:rsidRPr="00E52513">
        <w:t>across</w:t>
      </w:r>
      <w:r w:rsidRPr="00E52513">
        <w:t xml:space="preserve"> </w:t>
      </w:r>
      <w:r w:rsidR="00776FBB" w:rsidRPr="00E52513">
        <w:t>cases</w:t>
      </w:r>
      <w:r w:rsidRPr="00E52513">
        <w:t xml:space="preserve"> was </w:t>
      </w:r>
      <w:r w:rsidR="00776FBB" w:rsidRPr="00E52513">
        <w:t xml:space="preserve">recorded at </w:t>
      </w:r>
      <w:r w:rsidR="00B35DC4" w:rsidRPr="00E52513">
        <w:t>$131,264.11</w:t>
      </w:r>
      <w:r w:rsidR="00776FBB" w:rsidRPr="00E52513">
        <w:t>. T</w:t>
      </w:r>
      <w:r w:rsidRPr="00E52513">
        <w:t xml:space="preserve">he average level of ERF support across all </w:t>
      </w:r>
      <w:r w:rsidR="00776FBB" w:rsidRPr="00E52513">
        <w:t>cases (including those that did not receive ERF)</w:t>
      </w:r>
      <w:r w:rsidRPr="00E52513">
        <w:t xml:space="preserve"> </w:t>
      </w:r>
      <w:r w:rsidR="00776FBB" w:rsidRPr="00E52513">
        <w:t xml:space="preserve">was $654. The average amount of </w:t>
      </w:r>
      <w:r w:rsidR="00BB49D3" w:rsidRPr="00E52513">
        <w:t xml:space="preserve">ERF was $863.58 for all the </w:t>
      </w:r>
      <w:r w:rsidR="00776FBB" w:rsidRPr="00E52513">
        <w:t>cases where ERF was allocated (n=152)</w:t>
      </w:r>
      <w:r w:rsidR="00BB49D3" w:rsidRPr="00E52513">
        <w:t>.</w:t>
      </w:r>
    </w:p>
    <w:p w14:paraId="6F319AA9" w14:textId="59EB2430" w:rsidR="004D3FBE" w:rsidRDefault="004B7B6F" w:rsidP="004B7B6F">
      <w:pPr>
        <w:jc w:val="center"/>
      </w:pPr>
      <w:r>
        <w:rPr>
          <w:noProof/>
          <w:lang w:eastAsia="en-AU"/>
        </w:rPr>
        <w:drawing>
          <wp:inline distT="0" distB="0" distL="0" distR="0" wp14:anchorId="55E6C838" wp14:editId="2C46E977">
            <wp:extent cx="3098800" cy="3771900"/>
            <wp:effectExtent l="0" t="0" r="6350" b="0"/>
            <wp:docPr id="208" name="Picture 208" descr="Bar graph - case numbers by amount of ERF distributed&#10;&#10;$1-500: 47; $501-1,000: 28; $1,001-1,500: 37; &gt; $1,500: 40" title="Figure 16: Distribution of ERF amount across cases by size of distribution (n=152, miss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ar graph - case numbers by amount of ERF distributed&#10;&#10;$1-500: 47; $501-1,000: 28; $1,001-1,500: 37; &gt; $1,500: 40"/>
                    <pic:cNvPicPr/>
                  </pic:nvPicPr>
                  <pic:blipFill>
                    <a:blip r:embed="rId29">
                      <a:extLst>
                        <a:ext uri="{28A0092B-C50C-407E-A947-70E740481C1C}">
                          <a14:useLocalDpi xmlns:a14="http://schemas.microsoft.com/office/drawing/2010/main" val="0"/>
                        </a:ext>
                      </a:extLst>
                    </a:blip>
                    <a:stretch>
                      <a:fillRect/>
                    </a:stretch>
                  </pic:blipFill>
                  <pic:spPr>
                    <a:xfrm>
                      <a:off x="0" y="0"/>
                      <a:ext cx="3098800" cy="3771900"/>
                    </a:xfrm>
                    <a:prstGeom prst="rect">
                      <a:avLst/>
                    </a:prstGeom>
                  </pic:spPr>
                </pic:pic>
              </a:graphicData>
            </a:graphic>
          </wp:inline>
        </w:drawing>
      </w:r>
    </w:p>
    <w:p w14:paraId="6B26CB86" w14:textId="4A5AC39F" w:rsidR="00152634" w:rsidRDefault="00DC64C2" w:rsidP="004D3FBE">
      <w:pPr>
        <w:spacing w:before="240"/>
      </w:pPr>
      <w:r w:rsidRPr="00E52513">
        <w:t>The amount of ERF per case appears to be strongly linked to the amount of time CRSAs spend with clients providing support (Figure 1</w:t>
      </w:r>
      <w:r w:rsidR="006F3F9F" w:rsidRPr="00E52513">
        <w:t>7</w:t>
      </w:r>
      <w:r w:rsidRPr="00E52513">
        <w:t>). Thus, clients who received over 20 hours of support were also more likely to receive above $1</w:t>
      </w:r>
      <w:r w:rsidR="00734819" w:rsidRPr="00E52513">
        <w:t>,</w:t>
      </w:r>
      <w:r w:rsidRPr="00E52513">
        <w:t xml:space="preserve">500 in ERF; just </w:t>
      </w:r>
      <w:r w:rsidR="004C6A0B" w:rsidRPr="00E52513">
        <w:t>fewer than</w:t>
      </w:r>
      <w:r w:rsidRPr="00E52513">
        <w:t xml:space="preserve"> 40% received that level of funding. Conversely, clients that received limited support time, less than five hours, were less likely to receive larger amounts or any ERF. Over 70% of clients who received five hours or less CRSA support did not receive ERF. It was not possible to explore with the current data whether the low levels of ERF support were because those clients did not need support in general, or whether the low ERF support amounts were a consequence of low contact levels. Some clients, however, did receive high ERF amounts and had low levels of recorded support hours.</w:t>
      </w:r>
      <w:r w:rsidR="004B7B6F">
        <w:t xml:space="preserve"> </w:t>
      </w:r>
    </w:p>
    <w:p w14:paraId="170F92FD" w14:textId="0B9EC6CC" w:rsidR="00152634" w:rsidRDefault="00152634" w:rsidP="00152634">
      <w:pPr>
        <w:spacing w:before="240"/>
        <w:jc w:val="center"/>
      </w:pPr>
      <w:r>
        <w:rPr>
          <w:noProof/>
          <w:lang w:eastAsia="en-AU"/>
        </w:rPr>
        <w:lastRenderedPageBreak/>
        <w:drawing>
          <wp:inline distT="0" distB="0" distL="0" distR="0" wp14:anchorId="653D498A" wp14:editId="5FC631C3">
            <wp:extent cx="3479800" cy="3962400"/>
            <wp:effectExtent l="0" t="0" r="6350" b="0"/>
            <wp:docPr id="209" name="Picture 209" descr="Bar graph - amount of ERF by number of hours of support&#10;&#10;0.1-5 hours: $0: 71.3%; $1-500: 16.1%; $501-1,000: 9.8%; $1,001-1,500: 1.4%; &gt;$1,500: 1.4%.  5.1-10 hours: $0: 30%; $1-500: 22.5%; $501-1,000: 10%; $1,001-1,500: 32.5%; &gt;$1,500: 5%.  10.1-20 hours:  $0: 24.1%; $1-500: 27.6%; $501-1,000: 17.2%; $1,001-1,500: 13.8%.  &gt;20 hours: $0: 3.8%; $1-500: 20%; $501-1,000: 10.1%; $1,001-1,500: 34.4%; &gt;$1,500: 37.9%.  " title="Figure 17: Distribution of ERF amounts by level of hours of CRSA support (n=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ar graph - amount of ERF by number of hours of support&#10;&#10;0.1-5 hours: $0: 71.3%; $1-500: 16.1%; $501-1,000: 9.8%; $1,001-1,500: 1.4%; &gt;$1,500: 1.4%.  5.1-10 hours: $0: 30%; $1-500: 22.5%; $501-1,000: 10%; $1,001-1,500: 32.5%; &gt;$1,500: 5%.  10.1-20 hours:  $0: 24.1%; $1-500: 27.6%; $501-1,000: 17.2%; $1,001-1,500: 13.8%.  &gt;20 hours: $0: 3.8%; $1-500: 20%; $501-1,000: 10.1%; $1,001-1,500: 34.4%; &gt;$1,500: 37.9%.  "/>
                    <pic:cNvPicPr/>
                  </pic:nvPicPr>
                  <pic:blipFill>
                    <a:blip r:embed="rId30">
                      <a:extLst>
                        <a:ext uri="{28A0092B-C50C-407E-A947-70E740481C1C}">
                          <a14:useLocalDpi xmlns:a14="http://schemas.microsoft.com/office/drawing/2010/main" val="0"/>
                        </a:ext>
                      </a:extLst>
                    </a:blip>
                    <a:stretch>
                      <a:fillRect/>
                    </a:stretch>
                  </pic:blipFill>
                  <pic:spPr>
                    <a:xfrm>
                      <a:off x="0" y="0"/>
                      <a:ext cx="3479800" cy="3962400"/>
                    </a:xfrm>
                    <a:prstGeom prst="rect">
                      <a:avLst/>
                    </a:prstGeom>
                  </pic:spPr>
                </pic:pic>
              </a:graphicData>
            </a:graphic>
          </wp:inline>
        </w:drawing>
      </w:r>
    </w:p>
    <w:p w14:paraId="7708C5F8" w14:textId="03033F4D" w:rsidR="00DC64C2" w:rsidRPr="00E52513" w:rsidRDefault="00DC64C2" w:rsidP="004D3FBE">
      <w:pPr>
        <w:spacing w:before="240"/>
      </w:pPr>
      <w:r w:rsidRPr="00E52513">
        <w:t>Financial support available through the ERF was highly valued by all clients interviewed, yet some clients and several stakeholders noted that there was a lack of consistency, clarity or transparency in relation to the amount of financial support available. Interviews with CRSAs and the data reported above suggests almost that different ‘policy’ approaches to the ERF pertained in different states and even within states over time.</w:t>
      </w:r>
    </w:p>
    <w:p w14:paraId="269FC4AA" w14:textId="4878ED05" w:rsidR="00DC64C2" w:rsidRPr="00E52513" w:rsidRDefault="00DC64C2" w:rsidP="00DC64C2">
      <w:r w:rsidRPr="00E52513">
        <w:t>Clients and stakeholders also reported that there were often delays with approvals for financial support which could increase the client’s frustration and undermine confidence in the service:</w:t>
      </w:r>
    </w:p>
    <w:p w14:paraId="5A48741D" w14:textId="3EE165AA" w:rsidR="00DC64C2" w:rsidRPr="00E52513" w:rsidRDefault="00DC64C2" w:rsidP="00DC64C2">
      <w:pPr>
        <w:tabs>
          <w:tab w:val="left" w:pos="284"/>
        </w:tabs>
        <w:spacing w:before="120" w:after="240"/>
        <w:ind w:left="283" w:right="283"/>
        <w:rPr>
          <w:i/>
        </w:rPr>
      </w:pPr>
      <w:r w:rsidRPr="00E52513">
        <w:rPr>
          <w:i/>
        </w:rPr>
        <w:t>“I also felt the red tape would delay the process sometimes in being able to get help… and sometimes it takes a few days. It makes it harder for [the CRSA] to do their job when they have three to four days to wait for an answer back to be able to provide that support to the family.” (Client)</w:t>
      </w:r>
    </w:p>
    <w:p w14:paraId="289B6BE1" w14:textId="464F4B5E" w:rsidR="00DC64C2" w:rsidRPr="00E52513" w:rsidRDefault="00DC64C2" w:rsidP="00DC64C2">
      <w:r w:rsidRPr="00E52513">
        <w:t>Several stakeholders and CRSAs also reported that it was critical to manage client and community expectations in relation to the amount of financial support, yet it was evident that such information was possibly not being consistently communicated or financial support was not being consistently allocated. The program ERF policy states:</w:t>
      </w:r>
    </w:p>
    <w:p w14:paraId="6D866D6E" w14:textId="6437D55C" w:rsidR="00DC64C2" w:rsidRPr="00E52513" w:rsidRDefault="00DC64C2" w:rsidP="00DC64C2">
      <w:pPr>
        <w:tabs>
          <w:tab w:val="left" w:pos="284"/>
        </w:tabs>
        <w:spacing w:before="120" w:after="240"/>
        <w:ind w:left="283" w:right="283"/>
        <w:rPr>
          <w:i/>
        </w:rPr>
      </w:pPr>
      <w:r w:rsidRPr="00E52513">
        <w:rPr>
          <w:i/>
        </w:rPr>
        <w:t xml:space="preserve">“A maximum of $1,500 per family can be spent for families who are directly engaged with the Critical Response Support Advocates, unless additional funds are approved by the Project Director (for the purpose of providing Emergency Relief, family means immediate family only).” </w:t>
      </w:r>
      <w:r w:rsidRPr="00E52513">
        <w:rPr>
          <w:i/>
        </w:rPr>
        <w:tab/>
        <w:t>(NICRS Emergency Relief Fund Policy)</w:t>
      </w:r>
    </w:p>
    <w:p w14:paraId="5920F4DE" w14:textId="7073C745" w:rsidR="00DC64C2" w:rsidRPr="00E52513" w:rsidRDefault="00DC64C2" w:rsidP="00B35DC4">
      <w:r w:rsidRPr="00E52513">
        <w:t>Some clients reported that $1</w:t>
      </w:r>
      <w:r w:rsidR="00734819" w:rsidRPr="00E52513">
        <w:t>,</w:t>
      </w:r>
      <w:r w:rsidRPr="00E52513">
        <w:t xml:space="preserve">400 was available to each family annually, others reported expecting more financial support than they received because they were aware of other families receiving more </w:t>
      </w:r>
      <w:r w:rsidRPr="00E52513">
        <w:lastRenderedPageBreak/>
        <w:t>than $3</w:t>
      </w:r>
      <w:r w:rsidR="00734819" w:rsidRPr="00E52513">
        <w:t>,</w:t>
      </w:r>
      <w:r w:rsidRPr="00E52513">
        <w:t xml:space="preserve">000 in financial support (note above some cases, which may involve more than one client, received more than $1,500). One </w:t>
      </w:r>
      <w:r w:rsidR="008040F0" w:rsidRPr="00E52513">
        <w:t xml:space="preserve">client </w:t>
      </w:r>
      <w:r w:rsidRPr="00E52513">
        <w:t>reported receiving financial support for a holiday. In other cases, due to a lack of clarity around what the service could provide, the provision of financial support could increase tensions within families if there were concerns that some family members should not be able to access funds. Overall, it was evident that allocation and use of the funds needed to be clarified.</w:t>
      </w:r>
    </w:p>
    <w:p w14:paraId="605ED5AB" w14:textId="6A3D91D4" w:rsidR="00DC64C2" w:rsidRPr="004D3FBE" w:rsidRDefault="00DC64C2" w:rsidP="004D3FBE">
      <w:pPr>
        <w:pStyle w:val="Heading3"/>
      </w:pPr>
      <w:r w:rsidRPr="00E52513">
        <w:t>Referrals from NICRS</w:t>
      </w:r>
    </w:p>
    <w:p w14:paraId="3137E5FA" w14:textId="2EA01FB3" w:rsidR="00DC64C2" w:rsidRDefault="00DC64C2" w:rsidP="00DC64C2">
      <w:r w:rsidRPr="00E52513">
        <w:t>The ORS data indicates that where a request for service was responded to between January 2017 to June 2019, 180 (65%, n = 275</w:t>
      </w:r>
      <w:r w:rsidR="00BB49D3" w:rsidRPr="00E52513">
        <w:t>, see Figure 18</w:t>
      </w:r>
      <w:r w:rsidRPr="00E52513">
        <w:t xml:space="preserve">) cases involved at least one service provider in some form. How these other service providers were involved </w:t>
      </w:r>
      <w:r w:rsidR="00BB49D3" w:rsidRPr="00E52513">
        <w:t>wa</w:t>
      </w:r>
      <w:r w:rsidRPr="00E52513">
        <w:t>s not clear from the data but it could have been to seek information, assist them to provide support, work together to develop an intervention strategy or to accept a formal referral from NICRS and provide subsequent support to the NICRS client.</w:t>
      </w:r>
    </w:p>
    <w:p w14:paraId="4FECEEBE" w14:textId="5DE80C1D" w:rsidR="00152634" w:rsidRPr="00E52513" w:rsidRDefault="00152634" w:rsidP="00152634">
      <w:pPr>
        <w:jc w:val="center"/>
      </w:pPr>
      <w:r>
        <w:rPr>
          <w:noProof/>
          <w:lang w:eastAsia="en-AU"/>
        </w:rPr>
        <w:drawing>
          <wp:inline distT="0" distB="0" distL="0" distR="0" wp14:anchorId="2A25A454" wp14:editId="7A1821F8">
            <wp:extent cx="3111500" cy="3784600"/>
            <wp:effectExtent l="0" t="0" r="0" b="6350"/>
            <wp:docPr id="210" name="Picture 210" descr="Bar graph: number of service providers contacted&#10;&#10;1 service provider (SP) - 78; 2 SPs - 53; 3 SPs - 53; 4 SPs - 9; 4 SPs - 9; 5 SPs - 8; 6 SPs - 6; 6+ SPs - 10" title="Figure 18: Distribution of cases by the number of service providers contacts (n=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ar graph: number of service providers contacted&#10;&#10;1 service provider (SP) - 78; 2 SPs - 53; 3 SPs - 53; 4 SPs - 9; 4 SPs - 9; 5 SPs - 8; 6 SPs - 6; 6+ SPs - 10"/>
                    <pic:cNvPicPr/>
                  </pic:nvPicPr>
                  <pic:blipFill>
                    <a:blip r:embed="rId31">
                      <a:extLst>
                        <a:ext uri="{28A0092B-C50C-407E-A947-70E740481C1C}">
                          <a14:useLocalDpi xmlns:a14="http://schemas.microsoft.com/office/drawing/2010/main" val="0"/>
                        </a:ext>
                      </a:extLst>
                    </a:blip>
                    <a:stretch>
                      <a:fillRect/>
                    </a:stretch>
                  </pic:blipFill>
                  <pic:spPr>
                    <a:xfrm>
                      <a:off x="0" y="0"/>
                      <a:ext cx="3111500" cy="3784600"/>
                    </a:xfrm>
                    <a:prstGeom prst="rect">
                      <a:avLst/>
                    </a:prstGeom>
                  </pic:spPr>
                </pic:pic>
              </a:graphicData>
            </a:graphic>
          </wp:inline>
        </w:drawing>
      </w:r>
    </w:p>
    <w:p w14:paraId="487E6E07" w14:textId="48403058" w:rsidR="00DC64C2" w:rsidRDefault="00DC64C2" w:rsidP="00DC64C2">
      <w:r w:rsidRPr="00E52513">
        <w:t xml:space="preserve">Most cases involved only one or two service providers contacted (43%, n = 180), but some cases had as many as 10 services providing support to a client. NICRS </w:t>
      </w:r>
      <w:r w:rsidR="00E03911" w:rsidRPr="00E52513">
        <w:t>m</w:t>
      </w:r>
      <w:r w:rsidRPr="00E52513">
        <w:t xml:space="preserve">anagement advised that they believed data on service providers </w:t>
      </w:r>
      <w:r w:rsidR="00BB49D3" w:rsidRPr="00E52513">
        <w:t>wa</w:t>
      </w:r>
      <w:r w:rsidRPr="00E52513">
        <w:t>s likely to be under reported</w:t>
      </w:r>
      <w:r w:rsidR="003826AF" w:rsidRPr="00E52513">
        <w:t xml:space="preserve"> (Figure 1</w:t>
      </w:r>
      <w:r w:rsidR="006F3F9F" w:rsidRPr="00E52513">
        <w:t>8</w:t>
      </w:r>
      <w:r w:rsidR="003826AF" w:rsidRPr="00E52513">
        <w:t>)</w:t>
      </w:r>
      <w:r w:rsidRPr="00E52513">
        <w:t>.</w:t>
      </w:r>
    </w:p>
    <w:p w14:paraId="0AC1F189" w14:textId="4E7F6887" w:rsidR="004D3FBE" w:rsidRDefault="00152634" w:rsidP="00152634">
      <w:pPr>
        <w:jc w:val="center"/>
      </w:pPr>
      <w:r>
        <w:rPr>
          <w:noProof/>
          <w:lang w:eastAsia="en-AU"/>
        </w:rPr>
        <w:lastRenderedPageBreak/>
        <w:drawing>
          <wp:inline distT="0" distB="0" distL="0" distR="0" wp14:anchorId="5184A59A" wp14:editId="57330ED4">
            <wp:extent cx="3314700" cy="3886200"/>
            <wp:effectExtent l="0" t="0" r="0" b="0"/>
            <wp:docPr id="211" name="Picture 211" descr="Bar graph - Cases by type of organisation referred to&#10;&#10;Housing - 39; financial - 34; govt mental health - 11; ACCHO - 25; NGO mental health - 24; family support - 10; acute care - 4" title="Figure 19: Distribution of cases by types of organisation to which NICRS has referred (n=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Bar graph - Cases by type of organisation referred to&#10;&#10;Housing - 39; financial - 34; govt mental health - 11; ACCHO - 25; NGO mental health - 24; family support - 10; acute care - 4"/>
                    <pic:cNvPicPr/>
                  </pic:nvPicPr>
                  <pic:blipFill>
                    <a:blip r:embed="rId32">
                      <a:extLst>
                        <a:ext uri="{28A0092B-C50C-407E-A947-70E740481C1C}">
                          <a14:useLocalDpi xmlns:a14="http://schemas.microsoft.com/office/drawing/2010/main" val="0"/>
                        </a:ext>
                      </a:extLst>
                    </a:blip>
                    <a:stretch>
                      <a:fillRect/>
                    </a:stretch>
                  </pic:blipFill>
                  <pic:spPr>
                    <a:xfrm>
                      <a:off x="0" y="0"/>
                      <a:ext cx="3314700" cy="3886200"/>
                    </a:xfrm>
                    <a:prstGeom prst="rect">
                      <a:avLst/>
                    </a:prstGeom>
                  </pic:spPr>
                </pic:pic>
              </a:graphicData>
            </a:graphic>
          </wp:inline>
        </w:drawing>
      </w:r>
    </w:p>
    <w:p w14:paraId="4750C7ED" w14:textId="620F9487" w:rsidR="00DC64C2" w:rsidRPr="00E52513" w:rsidRDefault="00DC64C2" w:rsidP="004D3FBE">
      <w:pPr>
        <w:spacing w:after="120"/>
      </w:pPr>
      <w:r w:rsidRPr="00E52513">
        <w:t>Data from the constructed ‘Type of intervention’ fields showed that few of the service provider contacts made resulted in a formal referral (103 or 37.5% of cases where a response was provided; n = 275</w:t>
      </w:r>
      <w:r w:rsidR="00BB49D3" w:rsidRPr="00E52513">
        <w:t>, see Figure 19</w:t>
      </w:r>
      <w:r w:rsidRPr="00E52513">
        <w:t>).</w:t>
      </w:r>
    </w:p>
    <w:p w14:paraId="1B1767AC" w14:textId="5310411A" w:rsidR="00DC64C2" w:rsidRPr="00E52513" w:rsidRDefault="00DC64C2" w:rsidP="004D3FBE">
      <w:pPr>
        <w:spacing w:after="0"/>
      </w:pPr>
      <w:r w:rsidRPr="00E52513">
        <w:t>Based on the referral data extracted from case summaries the key service providers appear to be</w:t>
      </w:r>
      <w:r w:rsidR="008A037A" w:rsidRPr="00E52513">
        <w:t xml:space="preserve"> (Figure 19)</w:t>
      </w:r>
      <w:r w:rsidRPr="00E52513">
        <w:t>:</w:t>
      </w:r>
    </w:p>
    <w:p w14:paraId="6BF0E495" w14:textId="29DCF14F" w:rsidR="00DC64C2" w:rsidRPr="00E52513" w:rsidRDefault="00DC64C2" w:rsidP="004D3FBE">
      <w:pPr>
        <w:pStyle w:val="ListParagraph"/>
        <w:numPr>
          <w:ilvl w:val="0"/>
          <w:numId w:val="8"/>
        </w:numPr>
        <w:spacing w:before="0" w:after="0"/>
      </w:pPr>
      <w:r w:rsidRPr="00E52513">
        <w:t>housing authorities (14.2%, n = 275)</w:t>
      </w:r>
    </w:p>
    <w:p w14:paraId="137E23B0" w14:textId="77777777" w:rsidR="00DC64C2" w:rsidRPr="00E52513" w:rsidRDefault="00DC64C2" w:rsidP="004D3FBE">
      <w:pPr>
        <w:pStyle w:val="ListParagraph"/>
        <w:numPr>
          <w:ilvl w:val="0"/>
          <w:numId w:val="8"/>
        </w:numPr>
        <w:spacing w:before="0" w:after="0"/>
      </w:pPr>
      <w:proofErr w:type="gramStart"/>
      <w:r w:rsidRPr="00E52513">
        <w:t>child</w:t>
      </w:r>
      <w:proofErr w:type="gramEnd"/>
      <w:r w:rsidRPr="00E52513">
        <w:t xml:space="preserve"> protection agencies / family support services (3.6%)</w:t>
      </w:r>
    </w:p>
    <w:p w14:paraId="692BDEA4" w14:textId="624D9E90" w:rsidR="00DC64C2" w:rsidRPr="00E52513" w:rsidRDefault="00DC64C2" w:rsidP="004D3FBE">
      <w:pPr>
        <w:pStyle w:val="ListParagraph"/>
        <w:numPr>
          <w:ilvl w:val="0"/>
          <w:numId w:val="8"/>
        </w:numPr>
        <w:spacing w:before="0" w:after="0"/>
      </w:pPr>
      <w:r w:rsidRPr="00E52513">
        <w:t>Aboriginal medical services (9.1%)</w:t>
      </w:r>
    </w:p>
    <w:p w14:paraId="53093343" w14:textId="77777777" w:rsidR="00DC64C2" w:rsidRPr="00E52513" w:rsidRDefault="00DC64C2" w:rsidP="004D3FBE">
      <w:pPr>
        <w:pStyle w:val="ListParagraph"/>
        <w:numPr>
          <w:ilvl w:val="0"/>
          <w:numId w:val="8"/>
        </w:numPr>
        <w:spacing w:before="0" w:after="0"/>
      </w:pPr>
      <w:proofErr w:type="gramStart"/>
      <w:r w:rsidRPr="00E52513">
        <w:t>mental</w:t>
      </w:r>
      <w:proofErr w:type="gramEnd"/>
      <w:r w:rsidRPr="00E52513">
        <w:t xml:space="preserve"> health services (government and NGO) (12.0%)</w:t>
      </w:r>
    </w:p>
    <w:p w14:paraId="23006A95" w14:textId="6AE21D6E" w:rsidR="00DC64C2" w:rsidRPr="00E52513" w:rsidRDefault="00DC64C2" w:rsidP="004D3FBE">
      <w:pPr>
        <w:pStyle w:val="ListParagraph"/>
        <w:numPr>
          <w:ilvl w:val="0"/>
          <w:numId w:val="8"/>
        </w:numPr>
        <w:spacing w:before="0" w:after="120"/>
      </w:pPr>
      <w:proofErr w:type="gramStart"/>
      <w:r w:rsidRPr="00E52513">
        <w:t>financial</w:t>
      </w:r>
      <w:proofErr w:type="gramEnd"/>
      <w:r w:rsidRPr="00E52513">
        <w:t xml:space="preserve"> services (10.9%)</w:t>
      </w:r>
    </w:p>
    <w:p w14:paraId="52B73379" w14:textId="4D5BDD3A" w:rsidR="00673EB6" w:rsidRPr="00E52513" w:rsidRDefault="008A037A" w:rsidP="00673EB6">
      <w:r w:rsidRPr="00E52513">
        <w:t>There are many reasons why referrals might be lower than expected. Several CRSAs intimated that referrals often could not be made in the absence of adequate and relevant service providers and / or client reluctance to be referred. However, several service provider stakeholders, many of whom would be a logical partner or referral agency for NICRS, noted NICRS’s poor promotion and networking efforts. In most locations NICRS had not attended interagency meetings, suicide prevention groups or service network forums – NICRS was either unknown in many areas, despite a strong physical and case presence, or remained an enigma without any clear referral pathways or interagency referral mechanisms (either for notification or coordinating case support).</w:t>
      </w:r>
    </w:p>
    <w:p w14:paraId="7684964C" w14:textId="77777777" w:rsidR="00DC64C2" w:rsidRPr="00E52513" w:rsidRDefault="00DC64C2" w:rsidP="00DC64C2">
      <w:pPr>
        <w:pStyle w:val="Heading3"/>
      </w:pPr>
      <w:r w:rsidRPr="00E52513">
        <w:t>Accidental counselling</w:t>
      </w:r>
    </w:p>
    <w:p w14:paraId="032CF615" w14:textId="14C01ABA" w:rsidR="000837AE" w:rsidRPr="004D3FBE" w:rsidRDefault="00DC64C2" w:rsidP="004D3FBE">
      <w:r w:rsidRPr="00E52513">
        <w:t>Accidental counselling was a feature of 40 cases (14.5%, n = 275), although the qualitative data findings suggest this is an underestimate.</w:t>
      </w:r>
    </w:p>
    <w:p w14:paraId="10F6FEF3" w14:textId="5EFA8B13" w:rsidR="008D50E4" w:rsidRDefault="008D50E4" w:rsidP="00F925B9">
      <w:pPr>
        <w:pStyle w:val="Heading1"/>
      </w:pPr>
      <w:bookmarkStart w:id="78" w:name="_Toc35966346"/>
      <w:bookmarkStart w:id="79" w:name="_Toc54966639"/>
      <w:r w:rsidRPr="00E52513">
        <w:lastRenderedPageBreak/>
        <w:t>Efficiency</w:t>
      </w:r>
      <w:r w:rsidR="0001288E" w:rsidRPr="00E52513">
        <w:t xml:space="preserve"> of the </w:t>
      </w:r>
      <w:bookmarkEnd w:id="78"/>
      <w:r w:rsidR="006D6E7C" w:rsidRPr="00E52513">
        <w:t>service</w:t>
      </w:r>
      <w:bookmarkEnd w:id="79"/>
    </w:p>
    <w:p w14:paraId="051AB223" w14:textId="77777777" w:rsidR="00152634" w:rsidRPr="00E52513" w:rsidRDefault="00152634" w:rsidP="00152634">
      <w:pPr>
        <w:shd w:val="clear" w:color="auto" w:fill="FDE9D9" w:themeFill="accent6" w:themeFillTint="33"/>
        <w:spacing w:before="120" w:after="120"/>
        <w:rPr>
          <w:b/>
          <w:i/>
        </w:rPr>
      </w:pPr>
      <w:r w:rsidRPr="00E52513">
        <w:rPr>
          <w:b/>
          <w:i/>
        </w:rPr>
        <w:t>Are resources being used efficiently?</w:t>
      </w:r>
    </w:p>
    <w:p w14:paraId="6C30AA5A" w14:textId="77777777" w:rsidR="00152634" w:rsidRDefault="00152634" w:rsidP="00152634">
      <w:pPr>
        <w:shd w:val="clear" w:color="auto" w:fill="FDE9D9" w:themeFill="accent6" w:themeFillTint="33"/>
        <w:spacing w:after="240"/>
        <w:rPr>
          <w:i/>
        </w:rPr>
      </w:pPr>
      <w:r w:rsidRPr="004C6A0B">
        <w:rPr>
          <w:i/>
        </w:rPr>
        <w:t xml:space="preserve">Evaluation findings indicated that the service is needed and is potentially filling a gap in services for communities. It also does not appear to be duplicating other services in case study sites visited and several clients reported that without the service they would not have been able to cope following an incident. </w:t>
      </w:r>
    </w:p>
    <w:p w14:paraId="4CB634F6" w14:textId="22041D08" w:rsidR="00152634" w:rsidRPr="00152634" w:rsidRDefault="00152634" w:rsidP="00152634">
      <w:pPr>
        <w:shd w:val="clear" w:color="auto" w:fill="FDE9D9" w:themeFill="accent6" w:themeFillTint="33"/>
      </w:pPr>
      <w:r>
        <w:rPr>
          <w:i/>
        </w:rPr>
        <w:t>Analysis of NICRS service data revealed considerable variation in the extent of services delivered between both clients and locations, suggesting that the reasons for such variation should be carefully monitored and considered in future.  Approximately 50% of CRSA time is spent in direct client communication, with a number of other service categories registering low or no activity - the balance of service activities provided by CRSAs may require closer scrutiny to ensure effort is as closely aligned to program goals as possible.</w:t>
      </w:r>
    </w:p>
    <w:p w14:paraId="383AE329" w14:textId="061B1AF1" w:rsidR="00DF0D00" w:rsidRDefault="00DF0D00" w:rsidP="00152634">
      <w:pPr>
        <w:pStyle w:val="Heading2"/>
      </w:pPr>
      <w:bookmarkStart w:id="80" w:name="_Toc54966640"/>
      <w:r>
        <w:t>Is the NICRS duplicating services or filling gaps?</w:t>
      </w:r>
      <w:bookmarkStart w:id="81" w:name="_Toc35966347"/>
      <w:bookmarkEnd w:id="80"/>
    </w:p>
    <w:p w14:paraId="2853BDBE" w14:textId="1461F140" w:rsidR="00DF0D00" w:rsidRDefault="00DF0D00" w:rsidP="00DF0D00">
      <w:r>
        <w:t>As outlined in Section 4, the NICRS service is highly valued by most clients interview</w:t>
      </w:r>
      <w:r w:rsidR="00D25ED6">
        <w:t>ed</w:t>
      </w:r>
      <w:r>
        <w:t xml:space="preserve"> for the evaluation. Interview findings also indicated that the NICRS does not appear to be duplicating existing services with most clients, NICRS staff and other service providers indicating that they believed there was a strong demand for this type of </w:t>
      </w:r>
      <w:proofErr w:type="spellStart"/>
      <w:r>
        <w:t>postvention</w:t>
      </w:r>
      <w:proofErr w:type="spellEnd"/>
      <w:r>
        <w:t xml:space="preserve"> service. This provides a strong indication that the NICRS is filling a significant service gap that would otherwise exist for its client group. </w:t>
      </w:r>
    </w:p>
    <w:p w14:paraId="46297CED" w14:textId="26963C9E" w:rsidR="00DF0D00" w:rsidRDefault="00DF0D00" w:rsidP="00DF0D00">
      <w:r>
        <w:t xml:space="preserve">There was also </w:t>
      </w:r>
      <w:r w:rsidR="008C1BE0">
        <w:t>some</w:t>
      </w:r>
      <w:r>
        <w:t xml:space="preserve"> evidence</w:t>
      </w:r>
      <w:r w:rsidR="008C1BE0">
        <w:t xml:space="preserve">, for some clients, </w:t>
      </w:r>
      <w:r>
        <w:t xml:space="preserve">that access to a service that was separate from the local ACCHS service infrastructure allowed families privacy </w:t>
      </w:r>
      <w:r w:rsidR="008C1BE0">
        <w:t xml:space="preserve">and some level of anonymity </w:t>
      </w:r>
      <w:r>
        <w:t xml:space="preserve">that was highly valued when dealing with </w:t>
      </w:r>
      <w:r w:rsidR="008C1BE0">
        <w:t>sensitive</w:t>
      </w:r>
      <w:r>
        <w:t>, traumatic incidents</w:t>
      </w:r>
      <w:r w:rsidR="008C1BE0">
        <w:t xml:space="preserve">. </w:t>
      </w:r>
      <w:r w:rsidR="00F46A55">
        <w:t xml:space="preserve">As a separate service, the NICRS was also viewed to offer support to </w:t>
      </w:r>
      <w:r w:rsidR="008C1BE0">
        <w:t xml:space="preserve">clients in ways that other services could not such as liaising with police and coroners’ courts and other support services. With this support in place </w:t>
      </w:r>
      <w:r w:rsidR="00F46A55">
        <w:t xml:space="preserve">some </w:t>
      </w:r>
      <w:r w:rsidR="008C1BE0">
        <w:t xml:space="preserve">clients </w:t>
      </w:r>
      <w:r w:rsidR="00F46A55">
        <w:t xml:space="preserve">reported that they had more emotional </w:t>
      </w:r>
      <w:r w:rsidR="008C1BE0">
        <w:t>to deal with other arrangements</w:t>
      </w:r>
      <w:r>
        <w:t xml:space="preserve"> </w:t>
      </w:r>
      <w:r w:rsidR="008C1BE0">
        <w:t>related to the funeral.</w:t>
      </w:r>
    </w:p>
    <w:p w14:paraId="18DB9E71" w14:textId="7C556C1E" w:rsidR="006672CD" w:rsidRDefault="00F46A55" w:rsidP="00DF0D00">
      <w:r>
        <w:t xml:space="preserve">Despite the independence of the service being </w:t>
      </w:r>
      <w:r w:rsidR="00692749">
        <w:t>valued</w:t>
      </w:r>
      <w:r>
        <w:t xml:space="preserve"> by some clients, there is </w:t>
      </w:r>
      <w:r w:rsidR="00692749">
        <w:t xml:space="preserve">however some </w:t>
      </w:r>
      <w:r>
        <w:t>evidence (as noted in Section 4) that efficiency of the NICRS could be improved through increased</w:t>
      </w:r>
      <w:r w:rsidR="00DF0D00">
        <w:t xml:space="preserve"> engagement </w:t>
      </w:r>
      <w:r>
        <w:t xml:space="preserve">by </w:t>
      </w:r>
      <w:r w:rsidR="00DF0D00">
        <w:t xml:space="preserve">CRSAs with local service networks. </w:t>
      </w:r>
      <w:r w:rsidR="006672CD">
        <w:t xml:space="preserve">Interviews with clients and stakeholders indicated that awareness of the service needed to be increased </w:t>
      </w:r>
      <w:r w:rsidR="00692749">
        <w:t xml:space="preserve">to improve awareness of the availability of the service and to improve understanding of what the service offered. </w:t>
      </w:r>
      <w:r w:rsidR="006672CD">
        <w:t xml:space="preserve">Increased engagement could also improve understanding and knowledge of the </w:t>
      </w:r>
      <w:r w:rsidR="00DF0D00">
        <w:t xml:space="preserve">capacity </w:t>
      </w:r>
      <w:r w:rsidR="006672CD">
        <w:t xml:space="preserve">of </w:t>
      </w:r>
      <w:r w:rsidR="00DF0D00">
        <w:t>local service</w:t>
      </w:r>
      <w:r w:rsidR="006672CD">
        <w:t>s to ensure that coordinated and planned support is provided to by the NICRS to clients.</w:t>
      </w:r>
    </w:p>
    <w:p w14:paraId="01513518" w14:textId="77777777" w:rsidR="00692749" w:rsidRDefault="00692749" w:rsidP="00692749">
      <w:r>
        <w:t xml:space="preserve">The evaluation also indicated that </w:t>
      </w:r>
      <w:r w:rsidR="006672CD">
        <w:t xml:space="preserve">closer </w:t>
      </w:r>
      <w:r w:rsidR="00DF0D00">
        <w:t>engagement with other services</w:t>
      </w:r>
      <w:r w:rsidR="006672CD">
        <w:t xml:space="preserve"> and networks</w:t>
      </w:r>
      <w:r w:rsidR="00DF0D00">
        <w:t xml:space="preserve"> in local communities would </w:t>
      </w:r>
      <w:r w:rsidR="006672CD">
        <w:t xml:space="preserve">also </w:t>
      </w:r>
      <w:r w:rsidR="00DF0D00">
        <w:t xml:space="preserve">increase the scope for NICRS services </w:t>
      </w:r>
      <w:r>
        <w:t xml:space="preserve">to be </w:t>
      </w:r>
      <w:r w:rsidR="00DF0D00">
        <w:t xml:space="preserve">better aligned with the boundaries </w:t>
      </w:r>
      <w:r>
        <w:t xml:space="preserve">of </w:t>
      </w:r>
      <w:r w:rsidR="00DF0D00">
        <w:t>other services</w:t>
      </w:r>
      <w:r>
        <w:t xml:space="preserve">. And, given the specialised nature of the NICRS, closer and sustained engagement could also </w:t>
      </w:r>
      <w:r w:rsidR="00DF0D00">
        <w:t xml:space="preserve">provide opportunities for the NICRS to contribute to better understanding of </w:t>
      </w:r>
      <w:proofErr w:type="spellStart"/>
      <w:r w:rsidR="00DF0D00">
        <w:t>postvention</w:t>
      </w:r>
      <w:proofErr w:type="spellEnd"/>
      <w:r w:rsidR="00DF0D00">
        <w:t xml:space="preserve"> care and the strategies that have the best impact.</w:t>
      </w:r>
    </w:p>
    <w:p w14:paraId="27E9F1A6" w14:textId="407CC99A" w:rsidR="004D3FBE" w:rsidRDefault="004128AE" w:rsidP="00152634">
      <w:pPr>
        <w:pStyle w:val="Heading2"/>
      </w:pPr>
      <w:bookmarkStart w:id="82" w:name="_Toc54966641"/>
      <w:r w:rsidRPr="00E52513">
        <w:lastRenderedPageBreak/>
        <w:t>Duration of critical response contact</w:t>
      </w:r>
      <w:bookmarkEnd w:id="81"/>
      <w:bookmarkEnd w:id="82"/>
    </w:p>
    <w:p w14:paraId="63F609BF" w14:textId="77777777" w:rsidR="00152634" w:rsidRDefault="004128AE" w:rsidP="00152634">
      <w:r w:rsidRPr="00E52513">
        <w:t>Each incident response was monitored in terms of CRSA time commitment, even those for which no response was ultimately provided</w:t>
      </w:r>
      <w:r w:rsidRPr="00E52513">
        <w:rPr>
          <w:rStyle w:val="FootnoteReference"/>
        </w:rPr>
        <w:footnoteReference w:id="18"/>
      </w:r>
      <w:r w:rsidRPr="00E52513">
        <w:t>. Just over half (50.8%, n = 386</w:t>
      </w:r>
      <w:r w:rsidRPr="00E52513">
        <w:rPr>
          <w:rStyle w:val="FootnoteReference"/>
        </w:rPr>
        <w:footnoteReference w:id="19"/>
      </w:r>
      <w:r w:rsidRPr="00E52513">
        <w:t xml:space="preserve">) of the cases (see Figure </w:t>
      </w:r>
      <w:r w:rsidR="008A037A" w:rsidRPr="00E52513">
        <w:t>2</w:t>
      </w:r>
      <w:r w:rsidRPr="00E52513">
        <w:t>0) consumed less than five hours of CRSA time. Another 28% consumed between five and 20 hours, while the remained (21.2%) required more than 20 hours of CRSA time. Eight cases have so far taken over 100 hours, with one case having consumed over 300 hours.</w:t>
      </w:r>
    </w:p>
    <w:p w14:paraId="64E3A6C0" w14:textId="58843BC6" w:rsidR="00152634" w:rsidRPr="00E52513" w:rsidRDefault="00152634" w:rsidP="00152634">
      <w:pPr>
        <w:jc w:val="center"/>
      </w:pPr>
      <w:r>
        <w:rPr>
          <w:noProof/>
          <w:lang w:eastAsia="en-AU"/>
        </w:rPr>
        <w:drawing>
          <wp:inline distT="0" distB="0" distL="0" distR="0" wp14:anchorId="66C85360" wp14:editId="45084AFB">
            <wp:extent cx="3162300" cy="3695700"/>
            <wp:effectExtent l="0" t="0" r="0" b="0"/>
            <wp:docPr id="212" name="Picture 212" descr="Bar graph - cases by hours of CRSA time&#10;&#10;Up to 1 hour - 83 cases; &gt;1-2 hours - 66 cases; &gt;2-3 hours - 24 cases; &gt;3-4 hours - 23 cases; &gt;4-5 cases - 29; &gt;5-10 hurs - 48 cases; &gt;10-20 hours - 31 cases; &gt;20-30 hours - 24 cases; &gt;30-40 hours - 15 cases; &gt;40-50 hours - 12 cases; &gt;50-100 hours - 23 cases; &gt;100 hours - 8 cases" title="Figure 20: Distribution of all cases by hours of CRSA time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Bar graph - cases by hours of CRSA time&#10;&#10;Up to 1 hour - 83 cases; &gt;1-2 hours - 66 cases; &gt;2-3 hours - 24 cases; &gt;3-4 hours - 23 cases; &gt;4-5 cases - 29; &gt;5-10 hurs - 48 cases; &gt;10-20 hours - 31 cases; &gt;20-30 hours - 24 cases; &gt;30-40 hours - 15 cases; &gt;40-50 hours - 12 cases; &gt;50-100 hours - 23 cases; &gt;100 hours - 8 cases"/>
                    <pic:cNvPicPr/>
                  </pic:nvPicPr>
                  <pic:blipFill>
                    <a:blip r:embed="rId33">
                      <a:extLst>
                        <a:ext uri="{28A0092B-C50C-407E-A947-70E740481C1C}">
                          <a14:useLocalDpi xmlns:a14="http://schemas.microsoft.com/office/drawing/2010/main" val="0"/>
                        </a:ext>
                      </a:extLst>
                    </a:blip>
                    <a:stretch>
                      <a:fillRect/>
                    </a:stretch>
                  </pic:blipFill>
                  <pic:spPr>
                    <a:xfrm>
                      <a:off x="0" y="0"/>
                      <a:ext cx="3162300" cy="3695700"/>
                    </a:xfrm>
                    <a:prstGeom prst="rect">
                      <a:avLst/>
                    </a:prstGeom>
                  </pic:spPr>
                </pic:pic>
              </a:graphicData>
            </a:graphic>
          </wp:inline>
        </w:drawing>
      </w:r>
    </w:p>
    <w:p w14:paraId="0C634731" w14:textId="1DC258EC" w:rsidR="00EB6345" w:rsidRPr="00E52513" w:rsidRDefault="00EB6345" w:rsidP="008A037A">
      <w:pPr>
        <w:spacing w:after="240"/>
      </w:pPr>
      <w:r w:rsidRPr="00E52513">
        <w:t xml:space="preserve">Of the 94 incidents that did not ultimately receive any CRSA support, most (77 or 82%) received less than 5 hours of CRSA time. Oddly though, 15 (16%) received between 5 and 20 hours and </w:t>
      </w:r>
      <w:r w:rsidR="00E179F6" w:rsidRPr="00E52513">
        <w:t>two</w:t>
      </w:r>
      <w:r w:rsidRPr="00E52513">
        <w:t xml:space="preserve"> received even more hours. The average hours spent on incidents that did not convert into cases was 2.8, while the average hours spent on cases where support was provided was 21.</w:t>
      </w:r>
    </w:p>
    <w:p w14:paraId="0AAFD87C" w14:textId="75C84EB8" w:rsidR="003C19BE" w:rsidRPr="00E52513" w:rsidRDefault="003C19BE" w:rsidP="00152634">
      <w:pPr>
        <w:pStyle w:val="Heading2"/>
      </w:pPr>
      <w:bookmarkStart w:id="83" w:name="_Toc54966642"/>
      <w:r w:rsidRPr="00E52513">
        <w:t>Use of CRSA time</w:t>
      </w:r>
      <w:bookmarkEnd w:id="83"/>
    </w:p>
    <w:p w14:paraId="11AE8A84" w14:textId="70E0D706" w:rsidR="00B35DC4" w:rsidRDefault="00B35DC4" w:rsidP="00B35DC4">
      <w:r w:rsidRPr="00E52513">
        <w:t xml:space="preserve">Based on data collected by HMA (2020) from a survey of CRSA time usage over a fixed </w:t>
      </w:r>
      <w:r w:rsidR="00692749">
        <w:t xml:space="preserve">four-week </w:t>
      </w:r>
      <w:r w:rsidR="00200F1C" w:rsidRPr="00E52513">
        <w:t>period</w:t>
      </w:r>
      <w:r w:rsidRPr="00E52513">
        <w:t xml:space="preserve">, Figure </w:t>
      </w:r>
      <w:r w:rsidR="00400046" w:rsidRPr="00E52513">
        <w:t>21</w:t>
      </w:r>
      <w:r w:rsidRPr="00E52513">
        <w:t xml:space="preserve"> shows what types of direct care activities CRSAs, on average, undertook with clients. A large proportion of time is spent supporting clients through face</w:t>
      </w:r>
      <w:r w:rsidR="00D73661" w:rsidRPr="00E52513">
        <w:t xml:space="preserve"> </w:t>
      </w:r>
      <w:r w:rsidRPr="00E52513">
        <w:t>to</w:t>
      </w:r>
      <w:r w:rsidR="00D73661" w:rsidRPr="00E52513">
        <w:t xml:space="preserve"> </w:t>
      </w:r>
      <w:r w:rsidRPr="00E52513">
        <w:t>face contact</w:t>
      </w:r>
      <w:r w:rsidRPr="00E52513">
        <w:rPr>
          <w:rStyle w:val="FootnoteReference"/>
        </w:rPr>
        <w:footnoteReference w:id="20"/>
      </w:r>
      <w:r w:rsidRPr="00E52513">
        <w:t xml:space="preserve"> (25.9%) and via telephone/video contact (23.9%). That is almost half their time is spent in conversation with clients, during which presumably needs are being assessed, some education is being provided </w:t>
      </w:r>
      <w:r w:rsidRPr="00E52513">
        <w:lastRenderedPageBreak/>
        <w:t xml:space="preserve">(about </w:t>
      </w:r>
      <w:proofErr w:type="spellStart"/>
      <w:r w:rsidRPr="00E52513">
        <w:t>postvention</w:t>
      </w:r>
      <w:proofErr w:type="spellEnd"/>
      <w:r w:rsidRPr="00E52513">
        <w:t xml:space="preserve"> reactions) and accidental counselling occurring. The other main areas of time allocation are to follow-up (11.2%) and providing advocacy to gain access to services (11.8%). Minimal time was recorded as being spent on developing </w:t>
      </w:r>
      <w:proofErr w:type="spellStart"/>
      <w:r w:rsidRPr="00E52513">
        <w:t>throughcare</w:t>
      </w:r>
      <w:proofErr w:type="spellEnd"/>
      <w:r w:rsidRPr="00E52513">
        <w:t xml:space="preserve"> plans (0.5%), providing funeral assistance (0.8%; despite this being constantly raised in CRSA and stakeholder interviews as a key </w:t>
      </w:r>
      <w:proofErr w:type="spellStart"/>
      <w:r w:rsidRPr="00E52513">
        <w:t>postvention</w:t>
      </w:r>
      <w:proofErr w:type="spellEnd"/>
      <w:r w:rsidRPr="00E52513">
        <w:t xml:space="preserve"> issue) and emailing clients (0.8%).</w:t>
      </w:r>
    </w:p>
    <w:p w14:paraId="7CA5FDEF" w14:textId="64AAD5CB" w:rsidR="00152634" w:rsidRPr="00E52513" w:rsidRDefault="00152634" w:rsidP="00B35DC4">
      <w:r>
        <w:rPr>
          <w:noProof/>
          <w:lang w:eastAsia="en-AU"/>
        </w:rPr>
        <w:drawing>
          <wp:inline distT="0" distB="0" distL="0" distR="0" wp14:anchorId="08D8B2F4" wp14:editId="564FE2F0">
            <wp:extent cx="6096000" cy="4432300"/>
            <wp:effectExtent l="0" t="0" r="0" b="6350"/>
            <wp:docPr id="213" name="Picture 213" descr="Chart, waterfall chart - Type of CRSA activity&#10;&#10;Response assessment - 2.3%; initial visit - 2.3%; develop throughcare plan -  0.5%; ERF application - 3.5%; funeral assistance - 0.8%; accompanying clients to appointments - 1.5%; face to face contact with clients - 26%; telephone contact with clients - 23.8%; email contact with client - 0.8%; follow up - 11.5%; advocacy to gain access to services - 12.5%; responding to pressing issues of family - 4.2%; mentoring clients - 1.5%; ORS case documentation - 10%" title="Figure 21: Proportion of CRSA time spent on various direct client support activities (source, HM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waterfall chart - Type of CRSA activity&#10;&#10;Response assessment - 2.3%; initial visit - 2.3%; develop throughcare plan -  0.5%; ERF application - 3.5%; funeral assistance - 0.8%; accompanying clients to appointments - 1.5%; face to face contact with clients - 26%; telephone contact with clients - 23.8%; email contact with client - 0.8%; follow up - 11.5%; advocacy to gain access to services - 12.5%; responding to pressing issues of family - 4.2%; mentoring clients - 1.5%; ORS case documentation - 10%"/>
                    <pic:cNvPicPr/>
                  </pic:nvPicPr>
                  <pic:blipFill>
                    <a:blip r:embed="rId34">
                      <a:extLst>
                        <a:ext uri="{28A0092B-C50C-407E-A947-70E740481C1C}">
                          <a14:useLocalDpi xmlns:a14="http://schemas.microsoft.com/office/drawing/2010/main" val="0"/>
                        </a:ext>
                      </a:extLst>
                    </a:blip>
                    <a:stretch>
                      <a:fillRect/>
                    </a:stretch>
                  </pic:blipFill>
                  <pic:spPr>
                    <a:xfrm>
                      <a:off x="0" y="0"/>
                      <a:ext cx="6096000" cy="4432300"/>
                    </a:xfrm>
                    <a:prstGeom prst="rect">
                      <a:avLst/>
                    </a:prstGeom>
                  </pic:spPr>
                </pic:pic>
              </a:graphicData>
            </a:graphic>
          </wp:inline>
        </w:drawing>
      </w:r>
    </w:p>
    <w:p w14:paraId="21B1A1C5" w14:textId="35E1CA27" w:rsidR="00B35DC4" w:rsidRPr="00E52513" w:rsidRDefault="00425EFF" w:rsidP="00B35DC4">
      <w:r w:rsidRPr="00E52513">
        <w:t>Several</w:t>
      </w:r>
      <w:r w:rsidR="00B35DC4" w:rsidRPr="00E52513">
        <w:t xml:space="preserve"> direct support activities had no time logged against them over the survey period, these included:</w:t>
      </w:r>
    </w:p>
    <w:p w14:paraId="3697C208" w14:textId="77777777" w:rsidR="00B35DC4" w:rsidRPr="00E52513" w:rsidRDefault="00B35DC4" w:rsidP="009437A5">
      <w:pPr>
        <w:pStyle w:val="ListParagraph"/>
        <w:numPr>
          <w:ilvl w:val="0"/>
          <w:numId w:val="33"/>
        </w:numPr>
        <w:ind w:left="714" w:hanging="357"/>
        <w:contextualSpacing/>
      </w:pPr>
      <w:r w:rsidRPr="00E52513">
        <w:t>tracing family members</w:t>
      </w:r>
    </w:p>
    <w:p w14:paraId="76FB80F9" w14:textId="77777777" w:rsidR="00B35DC4" w:rsidRPr="00E52513" w:rsidRDefault="00B35DC4" w:rsidP="009437A5">
      <w:pPr>
        <w:pStyle w:val="ListParagraph"/>
        <w:numPr>
          <w:ilvl w:val="0"/>
          <w:numId w:val="33"/>
        </w:numPr>
        <w:ind w:left="714" w:hanging="357"/>
        <w:contextualSpacing/>
      </w:pPr>
      <w:r w:rsidRPr="00E52513">
        <w:t>emergency relief assessment</w:t>
      </w:r>
    </w:p>
    <w:p w14:paraId="298FC905" w14:textId="77777777" w:rsidR="00B35DC4" w:rsidRPr="00E52513" w:rsidRDefault="00B35DC4" w:rsidP="009437A5">
      <w:pPr>
        <w:pStyle w:val="ListParagraph"/>
        <w:numPr>
          <w:ilvl w:val="0"/>
          <w:numId w:val="33"/>
        </w:numPr>
        <w:ind w:left="714" w:hanging="357"/>
        <w:contextualSpacing/>
      </w:pPr>
      <w:r w:rsidRPr="00E52513">
        <w:t>emergency relief – purchase of goods</w:t>
      </w:r>
    </w:p>
    <w:p w14:paraId="0C1F8256" w14:textId="77777777" w:rsidR="00B35DC4" w:rsidRPr="00E52513" w:rsidRDefault="00B35DC4" w:rsidP="009437A5">
      <w:pPr>
        <w:pStyle w:val="ListParagraph"/>
        <w:numPr>
          <w:ilvl w:val="0"/>
          <w:numId w:val="33"/>
        </w:numPr>
        <w:ind w:left="714" w:hanging="357"/>
        <w:contextualSpacing/>
      </w:pPr>
      <w:r w:rsidRPr="00E52513">
        <w:t>financial assistance (Centrelink, financial counsellors)</w:t>
      </w:r>
    </w:p>
    <w:p w14:paraId="2FD7D597" w14:textId="77777777" w:rsidR="00B35DC4" w:rsidRPr="00E52513" w:rsidRDefault="00B35DC4" w:rsidP="009437A5">
      <w:pPr>
        <w:pStyle w:val="ListParagraph"/>
        <w:numPr>
          <w:ilvl w:val="0"/>
          <w:numId w:val="33"/>
        </w:numPr>
        <w:ind w:left="714" w:hanging="357"/>
        <w:contextualSpacing/>
      </w:pPr>
      <w:r w:rsidRPr="00E52513">
        <w:t>support to repatriate body (although this was noted by GRAMS as something they routinely assisted with)</w:t>
      </w:r>
    </w:p>
    <w:p w14:paraId="0629CC1D" w14:textId="77777777" w:rsidR="00B35DC4" w:rsidRPr="00E52513" w:rsidRDefault="00B35DC4" w:rsidP="009437A5">
      <w:pPr>
        <w:pStyle w:val="ListParagraph"/>
        <w:numPr>
          <w:ilvl w:val="0"/>
          <w:numId w:val="33"/>
        </w:numPr>
        <w:ind w:left="714" w:hanging="357"/>
        <w:contextualSpacing/>
      </w:pPr>
      <w:r w:rsidRPr="00E52513">
        <w:t>social media contact with client</w:t>
      </w:r>
    </w:p>
    <w:p w14:paraId="0C88283D" w14:textId="77777777" w:rsidR="00B35DC4" w:rsidRPr="00E52513" w:rsidRDefault="00B35DC4" w:rsidP="009437A5">
      <w:pPr>
        <w:pStyle w:val="ListParagraph"/>
        <w:numPr>
          <w:ilvl w:val="0"/>
          <w:numId w:val="33"/>
        </w:numPr>
        <w:ind w:left="714" w:hanging="357"/>
        <w:contextualSpacing/>
      </w:pPr>
      <w:r w:rsidRPr="00E52513">
        <w:t>prison visit</w:t>
      </w:r>
    </w:p>
    <w:p w14:paraId="5E7C6C5F" w14:textId="77777777" w:rsidR="00B35DC4" w:rsidRPr="00E52513" w:rsidRDefault="00B35DC4" w:rsidP="009437A5">
      <w:pPr>
        <w:pStyle w:val="ListParagraph"/>
        <w:numPr>
          <w:ilvl w:val="0"/>
          <w:numId w:val="33"/>
        </w:numPr>
        <w:ind w:left="714" w:hanging="357"/>
        <w:contextualSpacing/>
      </w:pPr>
      <w:r w:rsidRPr="00E52513">
        <w:t>cultural activities</w:t>
      </w:r>
    </w:p>
    <w:p w14:paraId="66566BE6" w14:textId="1FD999EF" w:rsidR="00B35DC4" w:rsidRPr="00E52513" w:rsidRDefault="00B35DC4" w:rsidP="009437A5">
      <w:pPr>
        <w:pStyle w:val="ListParagraph"/>
        <w:numPr>
          <w:ilvl w:val="0"/>
          <w:numId w:val="33"/>
        </w:numPr>
        <w:ind w:left="714" w:hanging="357"/>
        <w:contextualSpacing/>
      </w:pPr>
      <w:proofErr w:type="gramStart"/>
      <w:r w:rsidRPr="00E52513">
        <w:t>healing</w:t>
      </w:r>
      <w:proofErr w:type="gramEnd"/>
      <w:r w:rsidRPr="00E52513">
        <w:t xml:space="preserve"> activities</w:t>
      </w:r>
      <w:r w:rsidR="00734819" w:rsidRPr="00E52513">
        <w:t>.</w:t>
      </w:r>
    </w:p>
    <w:p w14:paraId="3260DD05" w14:textId="77777777" w:rsidR="00B35DC4" w:rsidRPr="00E52513" w:rsidRDefault="00B35DC4">
      <w:pPr>
        <w:spacing w:line="276" w:lineRule="auto"/>
        <w:rPr>
          <w:rFonts w:eastAsiaTheme="majorEastAsia"/>
          <w:b/>
          <w:bCs/>
          <w:color w:val="0050B5"/>
          <w:sz w:val="40"/>
          <w:szCs w:val="28"/>
        </w:rPr>
      </w:pPr>
      <w:bookmarkStart w:id="84" w:name="_Toc35966348"/>
      <w:r w:rsidRPr="00E52513">
        <w:br w:type="page"/>
      </w:r>
    </w:p>
    <w:p w14:paraId="367B296C" w14:textId="3CF9EF50" w:rsidR="00FA2F50" w:rsidRDefault="00FA2F50" w:rsidP="00F925B9">
      <w:pPr>
        <w:pStyle w:val="Heading1"/>
      </w:pPr>
      <w:bookmarkStart w:id="85" w:name="_Toc54966643"/>
      <w:r w:rsidRPr="00E52513">
        <w:lastRenderedPageBreak/>
        <w:t xml:space="preserve">Impact </w:t>
      </w:r>
      <w:r w:rsidR="0001288E" w:rsidRPr="00E52513">
        <w:t xml:space="preserve">of the </w:t>
      </w:r>
      <w:bookmarkEnd w:id="84"/>
      <w:r w:rsidR="00050D8B" w:rsidRPr="00E52513">
        <w:t>service</w:t>
      </w:r>
      <w:bookmarkEnd w:id="85"/>
    </w:p>
    <w:p w14:paraId="65CE2D61" w14:textId="77777777" w:rsidR="00152634" w:rsidRPr="00E52513" w:rsidRDefault="00152634" w:rsidP="00152634">
      <w:pPr>
        <w:shd w:val="clear" w:color="auto" w:fill="FDE9D9" w:themeFill="accent6" w:themeFillTint="33"/>
        <w:spacing w:before="120" w:after="120"/>
        <w:rPr>
          <w:b/>
          <w:i/>
        </w:rPr>
      </w:pPr>
      <w:r w:rsidRPr="00E52513">
        <w:rPr>
          <w:b/>
          <w:i/>
        </w:rPr>
        <w:t>What difference did the service make? Can the effects be attributed to the service or would they have occurred anyway?</w:t>
      </w:r>
    </w:p>
    <w:p w14:paraId="5B5E9AB1" w14:textId="41ABF073" w:rsidR="00152634" w:rsidRPr="00152634" w:rsidRDefault="00152634" w:rsidP="00152634">
      <w:pPr>
        <w:shd w:val="clear" w:color="auto" w:fill="FDE9D9" w:themeFill="accent6" w:themeFillTint="33"/>
        <w:rPr>
          <w:i/>
        </w:rPr>
      </w:pPr>
      <w:r w:rsidRPr="00E52513">
        <w:rPr>
          <w:i/>
        </w:rPr>
        <w:t>Clients and stakeholders reported that, immediately after an incident, the service</w:t>
      </w:r>
      <w:r>
        <w:rPr>
          <w:i/>
        </w:rPr>
        <w:t xml:space="preserve"> appeared to be making </w:t>
      </w:r>
      <w:r w:rsidRPr="00E52513">
        <w:rPr>
          <w:i/>
        </w:rPr>
        <w:t xml:space="preserve">an impact in </w:t>
      </w:r>
      <w:r>
        <w:rPr>
          <w:i/>
        </w:rPr>
        <w:t>clients’</w:t>
      </w:r>
      <w:r w:rsidRPr="00E52513">
        <w:rPr>
          <w:i/>
        </w:rPr>
        <w:t xml:space="preserve"> lives by assisting them emotionally and financially, but also in practical ways </w:t>
      </w:r>
      <w:r>
        <w:rPr>
          <w:i/>
        </w:rPr>
        <w:t xml:space="preserve">such as </w:t>
      </w:r>
      <w:r w:rsidRPr="00E52513">
        <w:rPr>
          <w:i/>
        </w:rPr>
        <w:t xml:space="preserve">through advocacy support. In the short-term, at least, the service appeared to be having an impact on the stability of families. The long-term and broader impacts of the service, however, </w:t>
      </w:r>
      <w:r>
        <w:rPr>
          <w:i/>
        </w:rPr>
        <w:t>were</w:t>
      </w:r>
      <w:r w:rsidRPr="00E52513">
        <w:rPr>
          <w:i/>
        </w:rPr>
        <w:t xml:space="preserve"> not possible to objectively determine. This is primarily due to a lack of objective measures or tools</w:t>
      </w:r>
      <w:r>
        <w:rPr>
          <w:i/>
        </w:rPr>
        <w:t xml:space="preserve"> being utilised by the service</w:t>
      </w:r>
      <w:r w:rsidRPr="00E52513">
        <w:rPr>
          <w:i/>
        </w:rPr>
        <w:t xml:space="preserve"> to capture pre and post improvements in SEWB of clients and their families supported by the service.</w:t>
      </w:r>
    </w:p>
    <w:p w14:paraId="1C44C623" w14:textId="34DCACE4" w:rsidR="008040F0" w:rsidRPr="00E52513" w:rsidRDefault="008040F0" w:rsidP="00152634">
      <w:pPr>
        <w:pStyle w:val="Heading2"/>
      </w:pPr>
      <w:bookmarkStart w:id="86" w:name="_Toc54966644"/>
      <w:r w:rsidRPr="00E52513">
        <w:t>Subjective impressions</w:t>
      </w:r>
      <w:bookmarkEnd w:id="86"/>
    </w:p>
    <w:p w14:paraId="1571E477" w14:textId="5975A6B1" w:rsidR="008040F0" w:rsidRPr="00E52513" w:rsidRDefault="008040F0" w:rsidP="008040F0">
      <w:r w:rsidRPr="00E52513">
        <w:t>Most clients interviewed for the evaluation reported that they valued the financial and emo</w:t>
      </w:r>
      <w:r w:rsidR="006D0937" w:rsidRPr="00E52513">
        <w:t xml:space="preserve">tional support from the service </w:t>
      </w:r>
      <w:r w:rsidRPr="00E52513">
        <w:t>to maintain their relationships and support their families</w:t>
      </w:r>
      <w:r w:rsidR="006D0937" w:rsidRPr="00E52513">
        <w:t>, with some clients reporting that the support they received was pivotal in building their resilience:</w:t>
      </w:r>
    </w:p>
    <w:p w14:paraId="4D56621A" w14:textId="77777777" w:rsidR="008040F0" w:rsidRPr="00E52513" w:rsidRDefault="008040F0" w:rsidP="008040F0">
      <w:pPr>
        <w:tabs>
          <w:tab w:val="left" w:pos="284"/>
        </w:tabs>
        <w:spacing w:before="120" w:after="240"/>
        <w:ind w:left="283" w:right="283"/>
        <w:rPr>
          <w:i/>
        </w:rPr>
      </w:pPr>
      <w:r w:rsidRPr="00E52513">
        <w:rPr>
          <w:i/>
        </w:rPr>
        <w:t>“The emotional support provided to me by the service has been life changing, it’s helped me to stay strong for my other children.” (Client)</w:t>
      </w:r>
    </w:p>
    <w:p w14:paraId="05FE541E" w14:textId="77777777" w:rsidR="008040F0" w:rsidRPr="00E52513" w:rsidRDefault="008040F0" w:rsidP="008040F0">
      <w:r w:rsidRPr="00E52513">
        <w:t>Some stakeholders reported that, immediately after an incident, the service made an impact in client lives by assisting them emotionally and financially, but also in practical ways through advocacy support. CRSAs similarly reported that they were having an impact on the stability of families’ lives by assisting with housing, employment and welfare issues or developing clients’ confidence and capacity to advocate for themselves with other services and agencies.</w:t>
      </w:r>
    </w:p>
    <w:p w14:paraId="23F001BD" w14:textId="77777777" w:rsidR="008040F0" w:rsidRPr="00E52513" w:rsidRDefault="008040F0" w:rsidP="008040F0">
      <w:r w:rsidRPr="00E52513">
        <w:t>Analysis of the MSC stories indicated that, from the perspective of CRSAs, the positive impacts of the service included:</w:t>
      </w:r>
    </w:p>
    <w:p w14:paraId="497F6409" w14:textId="77777777" w:rsidR="008040F0" w:rsidRPr="00E52513" w:rsidRDefault="008040F0" w:rsidP="00CF21DA">
      <w:pPr>
        <w:numPr>
          <w:ilvl w:val="0"/>
          <w:numId w:val="10"/>
        </w:numPr>
        <w:tabs>
          <w:tab w:val="left" w:pos="284"/>
        </w:tabs>
        <w:spacing w:before="120"/>
        <w:rPr>
          <w:rFonts w:eastAsiaTheme="minorEastAsia" w:cs="Microsoft Sans Serif"/>
          <w:szCs w:val="24"/>
        </w:rPr>
      </w:pPr>
      <w:r w:rsidRPr="00E52513">
        <w:rPr>
          <w:rFonts w:eastAsiaTheme="minorEastAsia" w:cs="Microsoft Sans Serif"/>
          <w:szCs w:val="24"/>
        </w:rPr>
        <w:t>capacity building of clients – developing confidence, self-esteem and empowering clients to advocate for themselves</w:t>
      </w:r>
    </w:p>
    <w:p w14:paraId="372D85D6" w14:textId="77777777" w:rsidR="008040F0" w:rsidRPr="00E52513" w:rsidRDefault="008040F0" w:rsidP="00CF21DA">
      <w:pPr>
        <w:numPr>
          <w:ilvl w:val="0"/>
          <w:numId w:val="10"/>
        </w:numPr>
        <w:tabs>
          <w:tab w:val="left" w:pos="284"/>
        </w:tabs>
        <w:spacing w:before="120"/>
        <w:rPr>
          <w:rFonts w:eastAsiaTheme="minorEastAsia" w:cs="Microsoft Sans Serif"/>
          <w:szCs w:val="24"/>
        </w:rPr>
      </w:pPr>
      <w:r w:rsidRPr="00E52513">
        <w:rPr>
          <w:rFonts w:eastAsiaTheme="minorEastAsia" w:cs="Microsoft Sans Serif"/>
          <w:szCs w:val="24"/>
        </w:rPr>
        <w:t>enabling connections with family and culture to reduce isolation</w:t>
      </w:r>
    </w:p>
    <w:p w14:paraId="6874310A" w14:textId="77777777" w:rsidR="008040F0" w:rsidRPr="00E52513" w:rsidRDefault="008040F0" w:rsidP="00CF21DA">
      <w:pPr>
        <w:numPr>
          <w:ilvl w:val="0"/>
          <w:numId w:val="10"/>
        </w:numPr>
        <w:tabs>
          <w:tab w:val="left" w:pos="284"/>
        </w:tabs>
        <w:spacing w:before="120"/>
        <w:rPr>
          <w:rFonts w:eastAsiaTheme="minorEastAsia" w:cs="Microsoft Sans Serif"/>
          <w:szCs w:val="24"/>
        </w:rPr>
      </w:pPr>
      <w:r w:rsidRPr="00E52513">
        <w:rPr>
          <w:rFonts w:eastAsiaTheme="minorEastAsia" w:cs="Microsoft Sans Serif"/>
          <w:szCs w:val="24"/>
        </w:rPr>
        <w:t>stability for families where alternate safe and secure housing was able to be put in place</w:t>
      </w:r>
    </w:p>
    <w:p w14:paraId="4C8A45B7" w14:textId="77777777" w:rsidR="008040F0" w:rsidRPr="00E52513" w:rsidRDefault="008040F0" w:rsidP="00CF21DA">
      <w:pPr>
        <w:numPr>
          <w:ilvl w:val="0"/>
          <w:numId w:val="10"/>
        </w:numPr>
        <w:tabs>
          <w:tab w:val="left" w:pos="284"/>
        </w:tabs>
        <w:spacing w:before="120"/>
        <w:rPr>
          <w:rFonts w:eastAsiaTheme="minorEastAsia" w:cs="Microsoft Sans Serif"/>
          <w:szCs w:val="24"/>
        </w:rPr>
      </w:pPr>
      <w:r w:rsidRPr="00E52513">
        <w:rPr>
          <w:rFonts w:eastAsiaTheme="minorEastAsia" w:cs="Microsoft Sans Serif"/>
          <w:szCs w:val="24"/>
        </w:rPr>
        <w:t>ongoing support and advocacy with government agencies to reduce stressors and negotiate for family reunification</w:t>
      </w:r>
    </w:p>
    <w:p w14:paraId="6FA16BB3" w14:textId="53E8E66E" w:rsidR="008040F0" w:rsidRDefault="008040F0" w:rsidP="00CF21DA">
      <w:pPr>
        <w:numPr>
          <w:ilvl w:val="0"/>
          <w:numId w:val="10"/>
        </w:numPr>
        <w:tabs>
          <w:tab w:val="left" w:pos="284"/>
        </w:tabs>
        <w:spacing w:before="120"/>
        <w:rPr>
          <w:rFonts w:eastAsiaTheme="minorEastAsia" w:cs="Microsoft Sans Serif"/>
          <w:szCs w:val="24"/>
        </w:rPr>
      </w:pPr>
      <w:proofErr w:type="gramStart"/>
      <w:r w:rsidRPr="00E52513">
        <w:rPr>
          <w:rFonts w:eastAsiaTheme="minorEastAsia" w:cs="Microsoft Sans Serif"/>
          <w:szCs w:val="24"/>
        </w:rPr>
        <w:t>working</w:t>
      </w:r>
      <w:proofErr w:type="gramEnd"/>
      <w:r w:rsidRPr="00E52513">
        <w:rPr>
          <w:rFonts w:eastAsiaTheme="minorEastAsia" w:cs="Microsoft Sans Serif"/>
          <w:szCs w:val="24"/>
        </w:rPr>
        <w:t xml:space="preserve"> collaboratively with other suicide prevention, aftercare and </w:t>
      </w:r>
      <w:proofErr w:type="spellStart"/>
      <w:r w:rsidRPr="00E52513">
        <w:rPr>
          <w:rFonts w:eastAsiaTheme="minorEastAsia" w:cs="Microsoft Sans Serif"/>
          <w:szCs w:val="24"/>
        </w:rPr>
        <w:t>postvention</w:t>
      </w:r>
      <w:proofErr w:type="spellEnd"/>
      <w:r w:rsidRPr="00E52513">
        <w:rPr>
          <w:rFonts w:eastAsiaTheme="minorEastAsia" w:cs="Microsoft Sans Serif"/>
          <w:szCs w:val="24"/>
        </w:rPr>
        <w:t xml:space="preserve"> services.</w:t>
      </w:r>
    </w:p>
    <w:p w14:paraId="3EF92BAD" w14:textId="2CA3447B" w:rsidR="00692749" w:rsidRPr="00692749" w:rsidRDefault="00C761DD" w:rsidP="00692749">
      <w:pPr>
        <w:rPr>
          <w:rFonts w:eastAsiaTheme="minorEastAsia"/>
        </w:rPr>
      </w:pPr>
      <w:r>
        <w:rPr>
          <w:rFonts w:eastAsiaTheme="minorEastAsia"/>
        </w:rPr>
        <w:t>T</w:t>
      </w:r>
      <w:r w:rsidR="00692749" w:rsidRPr="00692749">
        <w:rPr>
          <w:rFonts w:eastAsiaTheme="minorEastAsia"/>
        </w:rPr>
        <w:t>he scope of this evaluation did not include review of the formal community capacity-building (or Stream 2) of the NICRS program activities,</w:t>
      </w:r>
      <w:r>
        <w:rPr>
          <w:rFonts w:eastAsiaTheme="minorEastAsia"/>
        </w:rPr>
        <w:t xml:space="preserve"> however, </w:t>
      </w:r>
      <w:r w:rsidR="00692749">
        <w:rPr>
          <w:rFonts w:eastAsiaTheme="minorEastAsia"/>
        </w:rPr>
        <w:t>there was</w:t>
      </w:r>
      <w:r w:rsidR="003501E5">
        <w:rPr>
          <w:rFonts w:eastAsiaTheme="minorEastAsia"/>
        </w:rPr>
        <w:t xml:space="preserve"> some</w:t>
      </w:r>
      <w:r w:rsidR="00692749">
        <w:rPr>
          <w:rFonts w:eastAsiaTheme="minorEastAsia"/>
        </w:rPr>
        <w:t xml:space="preserve"> evidence</w:t>
      </w:r>
      <w:r>
        <w:rPr>
          <w:rFonts w:eastAsiaTheme="minorEastAsia"/>
        </w:rPr>
        <w:t>, primarily from the stakeholder interviews,</w:t>
      </w:r>
      <w:r w:rsidR="00692749">
        <w:rPr>
          <w:rFonts w:eastAsiaTheme="minorEastAsia"/>
        </w:rPr>
        <w:t xml:space="preserve"> </w:t>
      </w:r>
      <w:r w:rsidR="00692749" w:rsidRPr="00692749">
        <w:rPr>
          <w:rFonts w:eastAsiaTheme="minorEastAsia"/>
        </w:rPr>
        <w:t>that there ha</w:t>
      </w:r>
      <w:r w:rsidR="008F348E">
        <w:rPr>
          <w:rFonts w:eastAsiaTheme="minorEastAsia"/>
        </w:rPr>
        <w:t>d</w:t>
      </w:r>
      <w:r w:rsidR="00692749" w:rsidRPr="00692749">
        <w:rPr>
          <w:rFonts w:eastAsiaTheme="minorEastAsia"/>
        </w:rPr>
        <w:t xml:space="preserve"> been little investment of effort to date by NICRS staff in capacity-building type activit</w:t>
      </w:r>
      <w:r w:rsidR="008F348E">
        <w:rPr>
          <w:rFonts w:eastAsiaTheme="minorEastAsia"/>
        </w:rPr>
        <w:t>ies</w:t>
      </w:r>
      <w:r w:rsidR="00692749" w:rsidRPr="00692749">
        <w:rPr>
          <w:rFonts w:eastAsiaTheme="minorEastAsia"/>
        </w:rPr>
        <w:t xml:space="preserve"> into their program of work. </w:t>
      </w:r>
      <w:r>
        <w:rPr>
          <w:rFonts w:eastAsiaTheme="minorEastAsia"/>
        </w:rPr>
        <w:t>T</w:t>
      </w:r>
      <w:r w:rsidR="00692749" w:rsidRPr="00692749">
        <w:rPr>
          <w:rFonts w:eastAsiaTheme="minorEastAsia"/>
        </w:rPr>
        <w:t>he majority of service provision ha</w:t>
      </w:r>
      <w:r w:rsidR="008F348E">
        <w:rPr>
          <w:rFonts w:eastAsiaTheme="minorEastAsia"/>
        </w:rPr>
        <w:t>d</w:t>
      </w:r>
      <w:r w:rsidR="00692749" w:rsidRPr="00692749">
        <w:rPr>
          <w:rFonts w:eastAsiaTheme="minorEastAsia"/>
        </w:rPr>
        <w:t xml:space="preserve"> been focussed on direct client </w:t>
      </w:r>
      <w:r>
        <w:rPr>
          <w:rFonts w:eastAsiaTheme="minorEastAsia"/>
        </w:rPr>
        <w:t>support</w:t>
      </w:r>
      <w:r w:rsidR="00692749" w:rsidRPr="00692749">
        <w:rPr>
          <w:rFonts w:eastAsiaTheme="minorEastAsia"/>
        </w:rPr>
        <w:t xml:space="preserve"> rather </w:t>
      </w:r>
      <w:r w:rsidRPr="00692749">
        <w:rPr>
          <w:rFonts w:eastAsiaTheme="minorEastAsia"/>
        </w:rPr>
        <w:t>than</w:t>
      </w:r>
      <w:r w:rsidR="00692749" w:rsidRPr="00692749">
        <w:rPr>
          <w:rFonts w:eastAsiaTheme="minorEastAsia"/>
        </w:rPr>
        <w:t xml:space="preserve"> networking or other forms of engagement </w:t>
      </w:r>
      <w:r>
        <w:rPr>
          <w:rFonts w:eastAsiaTheme="minorEastAsia"/>
        </w:rPr>
        <w:t>related</w:t>
      </w:r>
      <w:r w:rsidR="00692749" w:rsidRPr="00692749">
        <w:rPr>
          <w:rFonts w:eastAsiaTheme="minorEastAsia"/>
        </w:rPr>
        <w:t xml:space="preserve"> to build capacity in either </w:t>
      </w:r>
      <w:proofErr w:type="spellStart"/>
      <w:r w:rsidR="00692749" w:rsidRPr="00692749">
        <w:rPr>
          <w:rFonts w:eastAsiaTheme="minorEastAsia"/>
        </w:rPr>
        <w:t>postvention</w:t>
      </w:r>
      <w:proofErr w:type="spellEnd"/>
      <w:r w:rsidR="00692749" w:rsidRPr="00692749">
        <w:rPr>
          <w:rFonts w:eastAsiaTheme="minorEastAsia"/>
        </w:rPr>
        <w:t xml:space="preserve"> service provision or in culturally appropriate strategies for support.</w:t>
      </w:r>
    </w:p>
    <w:p w14:paraId="1EAD9349" w14:textId="490316E5" w:rsidR="008040F0" w:rsidRPr="00E52513" w:rsidRDefault="008040F0" w:rsidP="00152634">
      <w:pPr>
        <w:pStyle w:val="Heading2"/>
      </w:pPr>
      <w:bookmarkStart w:id="87" w:name="_Toc54966645"/>
      <w:r w:rsidRPr="00E52513">
        <w:lastRenderedPageBreak/>
        <w:t>Objective measurement</w:t>
      </w:r>
      <w:bookmarkEnd w:id="87"/>
    </w:p>
    <w:p w14:paraId="03F82885" w14:textId="669CF916" w:rsidR="008040F0" w:rsidRPr="00E52513" w:rsidRDefault="008040F0" w:rsidP="008040F0">
      <w:r w:rsidRPr="00E52513">
        <w:t>The above information gathered from clients, CRSAs and engaged stakeholders provides some indication that the service was having a positive impact, at least in the initial period of support, for clients. However, in the absence of plans (that have stated client objectives), objective tools or measures, or structured client feedback mechanisms, it was not possible to definitively determine the immediate, intermediate, or long</w:t>
      </w:r>
      <w:r w:rsidR="00B275A6" w:rsidRPr="00E52513">
        <w:t>-</w:t>
      </w:r>
      <w:r w:rsidRPr="00E52513">
        <w:t>term impacts of the service.</w:t>
      </w:r>
    </w:p>
    <w:p w14:paraId="6237375A" w14:textId="6016A2C8" w:rsidR="008040F0" w:rsidRPr="00E52513" w:rsidRDefault="008040F0" w:rsidP="008040F0">
      <w:pPr>
        <w:rPr>
          <w:rFonts w:asciiTheme="minorHAnsi" w:hAnsiTheme="minorHAnsi"/>
          <w:lang w:eastAsia="en-AU"/>
        </w:rPr>
      </w:pPr>
      <w:r w:rsidRPr="00E52513">
        <w:t>A core element of the model of care is the development of a ‘</w:t>
      </w:r>
      <w:proofErr w:type="spellStart"/>
      <w:r w:rsidRPr="00E52513">
        <w:t>throughcare</w:t>
      </w:r>
      <w:proofErr w:type="spellEnd"/>
      <w:r w:rsidRPr="00E52513">
        <w:t xml:space="preserve"> plan’. The </w:t>
      </w:r>
      <w:r w:rsidRPr="00E52513">
        <w:rPr>
          <w:lang w:eastAsia="en-AU"/>
        </w:rPr>
        <w:t xml:space="preserve">NICRS </w:t>
      </w:r>
      <w:r w:rsidR="00E03911" w:rsidRPr="00E52513">
        <w:rPr>
          <w:lang w:eastAsia="en-AU"/>
        </w:rPr>
        <w:t>m</w:t>
      </w:r>
      <w:r w:rsidRPr="00E52513">
        <w:rPr>
          <w:lang w:eastAsia="en-AU"/>
        </w:rPr>
        <w:t xml:space="preserve">odel of </w:t>
      </w:r>
      <w:r w:rsidR="00E03911" w:rsidRPr="00E52513">
        <w:rPr>
          <w:lang w:eastAsia="en-AU"/>
        </w:rPr>
        <w:t>c</w:t>
      </w:r>
      <w:r w:rsidRPr="00E52513">
        <w:rPr>
          <w:lang w:eastAsia="en-AU"/>
        </w:rPr>
        <w:t>are (</w:t>
      </w:r>
      <w:proofErr w:type="spellStart"/>
      <w:r w:rsidRPr="00E52513">
        <w:rPr>
          <w:lang w:eastAsia="en-AU"/>
        </w:rPr>
        <w:t>Thirrili</w:t>
      </w:r>
      <w:proofErr w:type="spellEnd"/>
      <w:r w:rsidRPr="00E52513">
        <w:rPr>
          <w:lang w:eastAsia="en-AU"/>
        </w:rPr>
        <w:t xml:space="preserve">, 2018) defines </w:t>
      </w:r>
      <w:proofErr w:type="spellStart"/>
      <w:r w:rsidRPr="00E52513">
        <w:rPr>
          <w:b/>
          <w:lang w:eastAsia="en-AU"/>
        </w:rPr>
        <w:t>Postvention</w:t>
      </w:r>
      <w:proofErr w:type="spellEnd"/>
      <w:r w:rsidRPr="00E52513">
        <w:rPr>
          <w:b/>
          <w:lang w:eastAsia="en-AU"/>
        </w:rPr>
        <w:t xml:space="preserve"> </w:t>
      </w:r>
      <w:proofErr w:type="spellStart"/>
      <w:r w:rsidRPr="00E52513">
        <w:rPr>
          <w:b/>
          <w:lang w:eastAsia="en-AU"/>
        </w:rPr>
        <w:t>Throughcare</w:t>
      </w:r>
      <w:proofErr w:type="spellEnd"/>
      <w:r w:rsidRPr="00E52513">
        <w:rPr>
          <w:lang w:eastAsia="en-AU"/>
        </w:rPr>
        <w:t xml:space="preserve"> as:</w:t>
      </w:r>
    </w:p>
    <w:p w14:paraId="7B536B02" w14:textId="41C452AA" w:rsidR="008040F0" w:rsidRPr="00E52513" w:rsidRDefault="008040F0" w:rsidP="008040F0">
      <w:pPr>
        <w:ind w:left="284" w:right="284"/>
        <w:rPr>
          <w:i/>
          <w:lang w:eastAsia="en-AU"/>
        </w:rPr>
      </w:pPr>
      <w:r w:rsidRPr="00E52513">
        <w:rPr>
          <w:i/>
          <w:lang w:eastAsia="en-AU"/>
        </w:rPr>
        <w:t>“Provision of coordinated and culturally responsive support to individuals and families affected by suicide or other trauma... we work to enable families to access social and emotional wellbeing services to support them in their journey of healing and over time live safe and meaningful lives in the context of urban and remote settings. Simultaneously we work with the Traditional Owners, local communities and service providers to ensure individuals and families are well supported.”</w:t>
      </w:r>
    </w:p>
    <w:p w14:paraId="4A3D1A78" w14:textId="7E4B522D" w:rsidR="008040F0" w:rsidRPr="00E52513" w:rsidRDefault="008040F0" w:rsidP="008040F0">
      <w:r w:rsidRPr="00E52513">
        <w:t>On the invitation of the client</w:t>
      </w:r>
      <w:r w:rsidR="00BB49D3" w:rsidRPr="00E52513">
        <w:t>,</w:t>
      </w:r>
      <w:r w:rsidRPr="00E52513">
        <w:t xml:space="preserve"> CRSAs assess their needs </w:t>
      </w:r>
      <w:r w:rsidR="00425EFF" w:rsidRPr="00E52513">
        <w:t>regarding</w:t>
      </w:r>
      <w:r w:rsidRPr="00E52513">
        <w:t>:</w:t>
      </w:r>
    </w:p>
    <w:p w14:paraId="252D5945" w14:textId="77777777" w:rsidR="008040F0" w:rsidRPr="00E52513" w:rsidRDefault="008040F0" w:rsidP="009437A5">
      <w:pPr>
        <w:numPr>
          <w:ilvl w:val="0"/>
          <w:numId w:val="27"/>
        </w:numPr>
        <w:tabs>
          <w:tab w:val="left" w:pos="284"/>
        </w:tabs>
        <w:spacing w:before="120"/>
        <w:rPr>
          <w:rFonts w:eastAsiaTheme="minorEastAsia" w:cs="Microsoft Sans Serif"/>
          <w:szCs w:val="24"/>
        </w:rPr>
      </w:pPr>
      <w:r w:rsidRPr="00E52513">
        <w:rPr>
          <w:rFonts w:eastAsiaTheme="minorEastAsia" w:cs="Microsoft Sans Serif"/>
          <w:szCs w:val="24"/>
        </w:rPr>
        <w:t>emotional health</w:t>
      </w:r>
    </w:p>
    <w:p w14:paraId="57C66037" w14:textId="77777777" w:rsidR="008040F0" w:rsidRPr="00E52513" w:rsidRDefault="008040F0" w:rsidP="009437A5">
      <w:pPr>
        <w:numPr>
          <w:ilvl w:val="0"/>
          <w:numId w:val="27"/>
        </w:numPr>
        <w:tabs>
          <w:tab w:val="left" w:pos="284"/>
        </w:tabs>
        <w:spacing w:before="120"/>
        <w:rPr>
          <w:rFonts w:eastAsiaTheme="minorEastAsia" w:cs="Microsoft Sans Serif"/>
          <w:szCs w:val="24"/>
        </w:rPr>
      </w:pPr>
      <w:r w:rsidRPr="00E52513">
        <w:rPr>
          <w:rFonts w:eastAsiaTheme="minorEastAsia" w:cs="Microsoft Sans Serif"/>
          <w:szCs w:val="24"/>
        </w:rPr>
        <w:t>cultural and spiritual health</w:t>
      </w:r>
    </w:p>
    <w:p w14:paraId="70660800" w14:textId="77777777" w:rsidR="008040F0" w:rsidRPr="00E52513" w:rsidRDefault="008040F0" w:rsidP="009437A5">
      <w:pPr>
        <w:numPr>
          <w:ilvl w:val="0"/>
          <w:numId w:val="27"/>
        </w:numPr>
        <w:tabs>
          <w:tab w:val="left" w:pos="284"/>
        </w:tabs>
        <w:spacing w:before="120"/>
        <w:rPr>
          <w:rFonts w:eastAsiaTheme="minorEastAsia" w:cs="Microsoft Sans Serif"/>
          <w:szCs w:val="24"/>
        </w:rPr>
      </w:pPr>
      <w:r w:rsidRPr="00E52513">
        <w:rPr>
          <w:rFonts w:eastAsiaTheme="minorEastAsia" w:cs="Microsoft Sans Serif"/>
          <w:szCs w:val="24"/>
        </w:rPr>
        <w:t>physical health</w:t>
      </w:r>
    </w:p>
    <w:p w14:paraId="154DE908" w14:textId="77777777" w:rsidR="008040F0" w:rsidRPr="00E52513" w:rsidRDefault="008040F0" w:rsidP="009437A5">
      <w:pPr>
        <w:numPr>
          <w:ilvl w:val="0"/>
          <w:numId w:val="27"/>
        </w:numPr>
        <w:tabs>
          <w:tab w:val="left" w:pos="284"/>
        </w:tabs>
        <w:spacing w:before="120"/>
        <w:rPr>
          <w:rFonts w:eastAsiaTheme="minorEastAsia" w:cs="Microsoft Sans Serif"/>
          <w:szCs w:val="24"/>
        </w:rPr>
      </w:pPr>
      <w:r w:rsidRPr="00E52513">
        <w:rPr>
          <w:rFonts w:eastAsiaTheme="minorEastAsia" w:cs="Microsoft Sans Serif"/>
          <w:szCs w:val="24"/>
        </w:rPr>
        <w:t>social, family and community health</w:t>
      </w:r>
    </w:p>
    <w:p w14:paraId="68F18323" w14:textId="77777777" w:rsidR="008040F0" w:rsidRPr="00E52513" w:rsidRDefault="008040F0" w:rsidP="008040F0">
      <w:r w:rsidRPr="00E52513">
        <w:t xml:space="preserve">Based on the needs identified, a </w:t>
      </w:r>
      <w:proofErr w:type="spellStart"/>
      <w:r w:rsidRPr="00E52513">
        <w:t>throughcare</w:t>
      </w:r>
      <w:proofErr w:type="spellEnd"/>
      <w:r w:rsidRPr="00E52513">
        <w:t xml:space="preserve"> support plan is developed “... </w:t>
      </w:r>
      <w:r w:rsidRPr="00E52513">
        <w:rPr>
          <w:i/>
          <w:iCs/>
        </w:rPr>
        <w:t>to strengthen individual and/or families social and emotional wellbeing to support their journey of healing</w:t>
      </w:r>
      <w:r w:rsidRPr="00E52513">
        <w:t>” (</w:t>
      </w:r>
      <w:proofErr w:type="spellStart"/>
      <w:r w:rsidRPr="00E52513">
        <w:t>Thirrili</w:t>
      </w:r>
      <w:proofErr w:type="spellEnd"/>
      <w:r w:rsidRPr="00E52513">
        <w:t>, 2018).</w:t>
      </w:r>
    </w:p>
    <w:p w14:paraId="1440CE81" w14:textId="3086A12E" w:rsidR="008040F0" w:rsidRPr="00E52513" w:rsidRDefault="008040F0" w:rsidP="008040F0">
      <w:r w:rsidRPr="00E52513">
        <w:t xml:space="preserve">However, there was no clear evidence from any of the interviews, MSC stories, ORS data or document review that </w:t>
      </w:r>
      <w:proofErr w:type="spellStart"/>
      <w:r w:rsidRPr="00E52513">
        <w:t>throughcare</w:t>
      </w:r>
      <w:proofErr w:type="spellEnd"/>
      <w:r w:rsidRPr="00E52513">
        <w:t xml:space="preserve"> plans were being routinely </w:t>
      </w:r>
      <w:r w:rsidR="00B275A6" w:rsidRPr="00E52513">
        <w:t xml:space="preserve">and </w:t>
      </w:r>
      <w:r w:rsidRPr="00E52513">
        <w:t>formally prepared nor implemented for any clients in any jurisdiction. A survey of CRSA time allocation over a four-week period in 2019 (HMA, 2020) showed that less than half a percent of their total time was spent on ‘d</w:t>
      </w:r>
      <w:r w:rsidR="006D0937" w:rsidRPr="00E52513">
        <w:t xml:space="preserve">eveloping [a] </w:t>
      </w:r>
      <w:proofErr w:type="spellStart"/>
      <w:r w:rsidR="006D0937" w:rsidRPr="00E52513">
        <w:t>throughcare</w:t>
      </w:r>
      <w:proofErr w:type="spellEnd"/>
      <w:r w:rsidR="006D0937" w:rsidRPr="00E52513">
        <w:t xml:space="preserve"> plan’ -</w:t>
      </w:r>
      <w:r w:rsidRPr="00E52513">
        <w:t xml:space="preserve"> </w:t>
      </w:r>
      <w:r w:rsidR="006D0937" w:rsidRPr="00E52513">
        <w:t xml:space="preserve">a </w:t>
      </w:r>
      <w:r w:rsidRPr="00E52513">
        <w:t>seemingly totally inadequate time allocation to prepare a structured plan with clear [client] objectives and a strong understanding of the strategies to be followed.</w:t>
      </w:r>
    </w:p>
    <w:p w14:paraId="153ED6D9" w14:textId="2108BADB" w:rsidR="008040F0" w:rsidRPr="00E52513" w:rsidRDefault="008040F0" w:rsidP="008040F0">
      <w:proofErr w:type="spellStart"/>
      <w:r w:rsidRPr="00E52513">
        <w:t>Throughcare</w:t>
      </w:r>
      <w:proofErr w:type="spellEnd"/>
      <w:r w:rsidRPr="00E52513">
        <w:t xml:space="preserve"> support plans could provide individual client objectives (e.g. link to a specific service provider, negotiate rental assistance, re-integrate a child into school, facilitate contact with an affordable funeral director, etc.) that could be used to determine the immediate impacts of the service by comparing what support clients should have received against what they actually received, and what objectives of support were intended and were they achieved.</w:t>
      </w:r>
    </w:p>
    <w:p w14:paraId="26C50E36" w14:textId="77777777" w:rsidR="008040F0" w:rsidRPr="00E52513" w:rsidRDefault="008040F0" w:rsidP="008040F0">
      <w:r w:rsidRPr="00E52513">
        <w:t xml:space="preserve">In the absence of widely developed and used </w:t>
      </w:r>
      <w:proofErr w:type="spellStart"/>
      <w:r w:rsidRPr="00E52513">
        <w:t>throughcare</w:t>
      </w:r>
      <w:proofErr w:type="spellEnd"/>
      <w:r w:rsidRPr="00E52513">
        <w:t xml:space="preserve"> plans, there is also no evidence that the needs of clients being assessed - emotional, cultural, physical and social – is through the use of objective tools despite numerous tools to measure these aspects available, some of which have been developed specifically to be culturally acceptable. It is therefore unclear how clients’ needs are documented when they commence with the service or how CRSAs assessed when it was appropriate to ‘Step back’ (Step 8 of the model of care) from clients – presumably after there has been sufficient </w:t>
      </w:r>
      <w:r w:rsidRPr="00E52513">
        <w:lastRenderedPageBreak/>
        <w:t>change in their emotional, social or physical wellbeing. Within the NICRS management and staff there appears to be a level of resistance to the use of objective tools, particularly the common psychometric means of measuring mental ill health (e.g. K10 for depression, Living in Community Questionnaire (LCQ) [AMHOCN, 2015] for measuring of social inclusion and recovery). This resistance is based on a view that they are “culturally inappropriate” or that they are too “clinically oriented” and therefore not relevant to the task of the CRSA and the objectives of the NICRS.</w:t>
      </w:r>
    </w:p>
    <w:p w14:paraId="70BEFD1D" w14:textId="77777777" w:rsidR="008040F0" w:rsidRPr="00E52513" w:rsidRDefault="008040F0" w:rsidP="008040F0">
      <w:r w:rsidRPr="00E52513">
        <w:t>Data collected through such processes could assist with measuring intermediate impacts such as strengthened resilience and social and emotional wellbeing, or long-term impacts, such as whether communities are receiving a culturally appropriate and holistic service. However, without data collected through such processes or mechanisms, it was difficult to determine the intermediate impacts or long-term impacts of the service.</w:t>
      </w:r>
    </w:p>
    <w:p w14:paraId="0C6C239C" w14:textId="4FD7B03C" w:rsidR="00992241" w:rsidRPr="00E52513" w:rsidRDefault="00992241" w:rsidP="00152634">
      <w:pPr>
        <w:pStyle w:val="Heading2"/>
      </w:pPr>
      <w:bookmarkStart w:id="88" w:name="_Toc54966646"/>
      <w:r w:rsidRPr="00E52513">
        <w:t>Process of data collection</w:t>
      </w:r>
      <w:bookmarkStart w:id="89" w:name="_Hlk36906224"/>
      <w:bookmarkStart w:id="90" w:name="_Toc35966350"/>
      <w:bookmarkEnd w:id="88"/>
    </w:p>
    <w:p w14:paraId="0B9F00CB" w14:textId="3CA52274" w:rsidR="001C504C" w:rsidRPr="00E52513" w:rsidRDefault="00992241" w:rsidP="00992241">
      <w:r w:rsidRPr="00E52513">
        <w:t xml:space="preserve">Operation of the NICRS model of care requires the capture of a range of data types. A significant amount of this data is </w:t>
      </w:r>
      <w:r w:rsidR="00200F1C" w:rsidRPr="00E52513">
        <w:t>sensitive</w:t>
      </w:r>
      <w:r w:rsidRPr="00E52513">
        <w:t xml:space="preserve"> personal data and an appropriately secure mechanism has been adopted to hold this information</w:t>
      </w:r>
    </w:p>
    <w:p w14:paraId="2B9ED856" w14:textId="10031EC7" w:rsidR="00992241" w:rsidRPr="00E52513" w:rsidRDefault="001C504C" w:rsidP="00992241">
      <w:r w:rsidRPr="00E52513">
        <w:t>Nevertheless</w:t>
      </w:r>
      <w:r w:rsidR="0014650C" w:rsidRPr="00E52513">
        <w:t>,</w:t>
      </w:r>
      <w:r w:rsidRPr="00E52513">
        <w:t xml:space="preserve"> </w:t>
      </w:r>
      <w:r w:rsidR="00992241" w:rsidRPr="00E52513">
        <w:t xml:space="preserve">there are issues with the </w:t>
      </w:r>
      <w:r w:rsidR="00992241" w:rsidRPr="00E52513">
        <w:rPr>
          <w:u w:val="single"/>
        </w:rPr>
        <w:t>process</w:t>
      </w:r>
      <w:r w:rsidR="00992241" w:rsidRPr="00E52513">
        <w:t xml:space="preserve"> of data capture. It was clear from both the qualitative data and the ORS </w:t>
      </w:r>
      <w:r w:rsidR="0014650C" w:rsidRPr="00E52513">
        <w:t xml:space="preserve">data </w:t>
      </w:r>
      <w:r w:rsidR="00992241" w:rsidRPr="00E52513">
        <w:t>analysis that this system is not operating optimally to capture all types of data. These deficiencies are resulting in significant data gaps and delays of data entry.</w:t>
      </w:r>
    </w:p>
    <w:bookmarkEnd w:id="89"/>
    <w:p w14:paraId="0EFB5C62" w14:textId="77777777" w:rsidR="00B35DC4" w:rsidRPr="00E52513" w:rsidRDefault="00B35DC4" w:rsidP="008040F0"/>
    <w:p w14:paraId="6979CCC4" w14:textId="77777777" w:rsidR="009D7259" w:rsidRPr="00E52513" w:rsidRDefault="009D7259" w:rsidP="009D7259">
      <w:pPr>
        <w:spacing w:line="276" w:lineRule="auto"/>
        <w:rPr>
          <w:rFonts w:ascii="Lato Medium" w:eastAsiaTheme="majorEastAsia" w:hAnsi="Lato Medium" w:cstheme="majorBidi"/>
          <w:b/>
          <w:bCs/>
          <w:color w:val="009CDA"/>
          <w:sz w:val="32"/>
          <w:szCs w:val="26"/>
        </w:rPr>
      </w:pPr>
      <w:r w:rsidRPr="00E52513">
        <w:br w:type="page"/>
      </w:r>
    </w:p>
    <w:p w14:paraId="766DC565" w14:textId="4A06FD08" w:rsidR="00FA2F50" w:rsidRDefault="00FA2F50" w:rsidP="00F925B9">
      <w:pPr>
        <w:pStyle w:val="Heading1"/>
      </w:pPr>
      <w:bookmarkStart w:id="91" w:name="_Toc54966647"/>
      <w:r w:rsidRPr="00E52513">
        <w:lastRenderedPageBreak/>
        <w:t>Sustainability</w:t>
      </w:r>
      <w:r w:rsidR="0001288E" w:rsidRPr="00E52513">
        <w:t xml:space="preserve"> of the </w:t>
      </w:r>
      <w:bookmarkEnd w:id="90"/>
      <w:r w:rsidR="006D6E7C" w:rsidRPr="00E52513">
        <w:t>service</w:t>
      </w:r>
      <w:bookmarkEnd w:id="91"/>
    </w:p>
    <w:p w14:paraId="3FCD4389" w14:textId="77777777" w:rsidR="00152634" w:rsidRPr="00E52513" w:rsidRDefault="00152634" w:rsidP="00152634">
      <w:pPr>
        <w:shd w:val="clear" w:color="auto" w:fill="FDE9D9" w:themeFill="accent6" w:themeFillTint="33"/>
        <w:rPr>
          <w:b/>
          <w:i/>
          <w:iCs/>
        </w:rPr>
      </w:pPr>
      <w:r w:rsidRPr="00E52513">
        <w:rPr>
          <w:b/>
          <w:i/>
          <w:iCs/>
        </w:rPr>
        <w:t>Are the observed outcomes likely to produce ongoing results?</w:t>
      </w:r>
    </w:p>
    <w:p w14:paraId="7D8ED73C" w14:textId="44315003" w:rsidR="00FA2F50" w:rsidRPr="00E52513" w:rsidRDefault="00152634" w:rsidP="00152634">
      <w:pPr>
        <w:shd w:val="clear" w:color="auto" w:fill="FDE9D9" w:themeFill="accent6" w:themeFillTint="33"/>
      </w:pPr>
      <w:r w:rsidRPr="00E52513">
        <w:rPr>
          <w:i/>
          <w:iCs/>
        </w:rPr>
        <w:t>As a national service, the NICRS aims to support clients across a variety of locations in metro, regional, rural and remote areas in Australia. However, the evaluation findings suggested that current staff resources may be inadequate to rapidly respond to incidents, to meet a broad cross section of social, emotional and cultural needs, or to cover large geographic distances and regions across and within jurisdictions. The evaluation also suggested that limited formal workplace induction, training, clinical and cultural supervision processes were in place to support staff to manage complex and safe working conditions. With limited support and limited staff resources, the safety of staff and clients is potentially being compromised, which in turn may be impacting on the sustainability of the service.</w:t>
      </w:r>
    </w:p>
    <w:p w14:paraId="62F17A61" w14:textId="77139364" w:rsidR="006A4F83" w:rsidRPr="00E52513" w:rsidRDefault="008F348E" w:rsidP="00152634">
      <w:pPr>
        <w:pStyle w:val="Heading2"/>
      </w:pPr>
      <w:bookmarkStart w:id="92" w:name="_Toc54966648"/>
      <w:bookmarkStart w:id="93" w:name="_Toc35966351"/>
      <w:bookmarkStart w:id="94" w:name="_Toc36482276"/>
      <w:bookmarkStart w:id="95" w:name="_Toc35966354"/>
      <w:r>
        <w:t>Adequacy of staff resources</w:t>
      </w:r>
      <w:bookmarkEnd w:id="92"/>
    </w:p>
    <w:p w14:paraId="032B7D40" w14:textId="66A56767" w:rsidR="006A4F83" w:rsidRPr="00E52513" w:rsidRDefault="001E37D1" w:rsidP="006A4F83">
      <w:r w:rsidRPr="00E52513">
        <w:t>Qualitative data analysis</w:t>
      </w:r>
      <w:r w:rsidR="006A4F83" w:rsidRPr="00E52513">
        <w:t xml:space="preserve"> suggested that more staff were needed to respond </w:t>
      </w:r>
      <w:r w:rsidRPr="00E52513">
        <w:t xml:space="preserve">more </w:t>
      </w:r>
      <w:r w:rsidR="006A4F83" w:rsidRPr="00E52513">
        <w:t xml:space="preserve">swiftly to incidents and to provide support to clients and families, who were all experiencing high levels of psychosocial complexities. </w:t>
      </w:r>
      <w:r w:rsidRPr="00E52513">
        <w:t>The reality of this situation can be tested in several ways:</w:t>
      </w:r>
    </w:p>
    <w:p w14:paraId="1614C5B6" w14:textId="7EC0E72B" w:rsidR="001E37D1" w:rsidRPr="00E52513" w:rsidRDefault="001E37D1" w:rsidP="009437A5">
      <w:pPr>
        <w:pStyle w:val="ListParagraph"/>
        <w:numPr>
          <w:ilvl w:val="0"/>
          <w:numId w:val="36"/>
        </w:numPr>
      </w:pPr>
      <w:r w:rsidRPr="00E52513">
        <w:t>Is there an unmet demand?</w:t>
      </w:r>
    </w:p>
    <w:p w14:paraId="4971636B" w14:textId="4D4D4B12" w:rsidR="001E37D1" w:rsidRPr="00E52513" w:rsidRDefault="001E37D1" w:rsidP="009437A5">
      <w:pPr>
        <w:pStyle w:val="ListParagraph"/>
        <w:numPr>
          <w:ilvl w:val="0"/>
          <w:numId w:val="36"/>
        </w:numPr>
      </w:pPr>
      <w:r w:rsidRPr="00E52513">
        <w:t>Is there a delay between incident notification and NICRS response?</w:t>
      </w:r>
    </w:p>
    <w:p w14:paraId="2945CBE7" w14:textId="5C2FAB01" w:rsidR="001E37D1" w:rsidRPr="00E52513" w:rsidRDefault="001E37D1" w:rsidP="009437A5">
      <w:pPr>
        <w:pStyle w:val="ListParagraph"/>
        <w:numPr>
          <w:ilvl w:val="0"/>
          <w:numId w:val="36"/>
        </w:numPr>
      </w:pPr>
      <w:r w:rsidRPr="00E52513">
        <w:t>Staff workload</w:t>
      </w:r>
    </w:p>
    <w:p w14:paraId="2BC021AD" w14:textId="1AA961FD" w:rsidR="001E37D1" w:rsidRPr="00E52513" w:rsidRDefault="001E37D1" w:rsidP="009437A5">
      <w:pPr>
        <w:pStyle w:val="ListParagraph"/>
        <w:numPr>
          <w:ilvl w:val="0"/>
          <w:numId w:val="36"/>
        </w:numPr>
      </w:pPr>
      <w:r w:rsidRPr="00E52513">
        <w:t>Staff overtime</w:t>
      </w:r>
    </w:p>
    <w:p w14:paraId="6F20D61D" w14:textId="0C947376" w:rsidR="001E37D1" w:rsidRPr="00E52513" w:rsidRDefault="001E37D1" w:rsidP="009437A5">
      <w:pPr>
        <w:pStyle w:val="ListParagraph"/>
        <w:numPr>
          <w:ilvl w:val="0"/>
          <w:numId w:val="36"/>
        </w:numPr>
      </w:pPr>
      <w:r w:rsidRPr="00E52513">
        <w:t>Are cultural requirements being met?</w:t>
      </w:r>
    </w:p>
    <w:p w14:paraId="7D7EC537" w14:textId="0B7CD557" w:rsidR="001E37D1" w:rsidRPr="00E52513" w:rsidRDefault="001E37D1" w:rsidP="001E37D1">
      <w:pPr>
        <w:pStyle w:val="Heading3"/>
      </w:pPr>
      <w:r w:rsidRPr="00E52513">
        <w:t>Unmet demand</w:t>
      </w:r>
    </w:p>
    <w:p w14:paraId="4F112760" w14:textId="62C06061" w:rsidR="001E37D1" w:rsidRPr="00E52513" w:rsidRDefault="001E37D1" w:rsidP="001E37D1">
      <w:r w:rsidRPr="00E52513">
        <w:t xml:space="preserve">A common way of services managing demand is to apply filters to service access, </w:t>
      </w:r>
      <w:r w:rsidR="00E179F6" w:rsidRPr="00E52513">
        <w:t>for example</w:t>
      </w:r>
      <w:r w:rsidRPr="00E52513">
        <w:t xml:space="preserve"> for mental health services to accept only seriously ill</w:t>
      </w:r>
      <w:r w:rsidR="00300D28" w:rsidRPr="00E52513">
        <w:t xml:space="preserve"> clients</w:t>
      </w:r>
      <w:r w:rsidRPr="00E52513">
        <w:t xml:space="preserve">, or in emergency departments to triage cases and refer some to GPs. The possible mechanism for this in the NICRS is the classification of incidents as to whether they are ‘in’ or ‘out’ of scope. Reasons apparently are provided for the scoping decision in the </w:t>
      </w:r>
      <w:r w:rsidR="00425EFF" w:rsidRPr="00E52513">
        <w:t>ORS,</w:t>
      </w:r>
      <w:r w:rsidRPr="00E52513">
        <w:t xml:space="preserve"> but th</w:t>
      </w:r>
      <w:r w:rsidR="00300D28" w:rsidRPr="00E52513">
        <w:t>is data</w:t>
      </w:r>
      <w:r w:rsidRPr="00E52513">
        <w:t xml:space="preserve"> w</w:t>
      </w:r>
      <w:r w:rsidR="00300D28" w:rsidRPr="00E52513">
        <w:t>as</w:t>
      </w:r>
      <w:r w:rsidRPr="00E52513">
        <w:t xml:space="preserve"> not made available to the evaluation team. </w:t>
      </w:r>
      <w:r w:rsidR="008A4D65" w:rsidRPr="00E52513">
        <w:t>The fact that a reasonable proportion of ‘out of scope’ incidents ended up receiving a service</w:t>
      </w:r>
      <w:r w:rsidR="00300D28" w:rsidRPr="00E52513">
        <w:t>,</w:t>
      </w:r>
      <w:r w:rsidR="008A4D65" w:rsidRPr="00E52513">
        <w:t xml:space="preserve"> though</w:t>
      </w:r>
      <w:r w:rsidR="00300D28" w:rsidRPr="00E52513">
        <w:t>,</w:t>
      </w:r>
      <w:r w:rsidR="008A4D65" w:rsidRPr="00E52513">
        <w:t xml:space="preserve"> suggests </w:t>
      </w:r>
      <w:r w:rsidR="00300D28" w:rsidRPr="00E52513">
        <w:t xml:space="preserve">that </w:t>
      </w:r>
      <w:r w:rsidR="008A4D65" w:rsidRPr="00E52513">
        <w:t>this mechanism is not used to control demand.</w:t>
      </w:r>
    </w:p>
    <w:p w14:paraId="1C75AC1C" w14:textId="2FBC3267" w:rsidR="008A4D65" w:rsidRPr="00E52513" w:rsidRDefault="008A4D65" w:rsidP="001E37D1">
      <w:r w:rsidRPr="00E52513">
        <w:t xml:space="preserve">Another possibility is that service levels </w:t>
      </w:r>
      <w:r w:rsidR="008139C5" w:rsidRPr="00E52513">
        <w:t xml:space="preserve">might </w:t>
      </w:r>
      <w:r w:rsidRPr="00E52513">
        <w:t xml:space="preserve">vary between client types, with some client categories </w:t>
      </w:r>
      <w:r w:rsidR="008139C5" w:rsidRPr="00E52513">
        <w:t>receiving less service than others, and therefore representing a sub-population with</w:t>
      </w:r>
      <w:r w:rsidRPr="00E52513">
        <w:t xml:space="preserve"> unmet demands.</w:t>
      </w:r>
    </w:p>
    <w:p w14:paraId="1FA09F10" w14:textId="55B7A69E" w:rsidR="008A4D65" w:rsidRPr="00E52513" w:rsidRDefault="008A4D65" w:rsidP="001E37D1">
      <w:r w:rsidRPr="00E52513">
        <w:t xml:space="preserve">A small analysis of cases in WA, where the service has operated the longest, shows that the average case in Perth and towns in the Perth environs received on average 45.8 hours of CRSA support. All other WA cases outside of Perth </w:t>
      </w:r>
      <w:r w:rsidR="008139C5" w:rsidRPr="00E52513">
        <w:t xml:space="preserve">on average </w:t>
      </w:r>
      <w:r w:rsidR="006B4E5D" w:rsidRPr="00E52513">
        <w:t>received only 28.6 hours of C</w:t>
      </w:r>
      <w:r w:rsidRPr="00E52513">
        <w:t>R</w:t>
      </w:r>
      <w:r w:rsidR="006B4E5D" w:rsidRPr="00E52513">
        <w:t>S</w:t>
      </w:r>
      <w:r w:rsidRPr="00E52513">
        <w:t>A support</w:t>
      </w:r>
      <w:r w:rsidR="008139C5" w:rsidRPr="00E52513">
        <w:t xml:space="preserve"> (just over 60% of what Perth clients receive)</w:t>
      </w:r>
      <w:r w:rsidRPr="00E52513">
        <w:t xml:space="preserve">. In addition, much more of the support </w:t>
      </w:r>
      <w:r w:rsidR="00300D28" w:rsidRPr="00E52513">
        <w:t xml:space="preserve">provided </w:t>
      </w:r>
      <w:r w:rsidRPr="00E52513">
        <w:t xml:space="preserve">for cases outside of Perth was </w:t>
      </w:r>
      <w:r w:rsidR="00300D28" w:rsidRPr="00E52513">
        <w:t>given via</w:t>
      </w:r>
      <w:r w:rsidRPr="00E52513">
        <w:t xml:space="preserve"> telephone only</w:t>
      </w:r>
      <w:r w:rsidR="00300D28" w:rsidRPr="00E52513">
        <w:t>,</w:t>
      </w:r>
      <w:r w:rsidRPr="00E52513">
        <w:t xml:space="preserve"> or telephone and face to face</w:t>
      </w:r>
      <w:r w:rsidR="00300D28" w:rsidRPr="00E52513">
        <w:t xml:space="preserve"> combined</w:t>
      </w:r>
      <w:r w:rsidRPr="00E52513">
        <w:t xml:space="preserve">, whereas </w:t>
      </w:r>
      <w:r w:rsidR="00200F1C" w:rsidRPr="00E52513">
        <w:t>most</w:t>
      </w:r>
      <w:r w:rsidRPr="00E52513">
        <w:t xml:space="preserve"> support </w:t>
      </w:r>
      <w:r w:rsidR="00300D28" w:rsidRPr="00E52513">
        <w:t xml:space="preserve">given </w:t>
      </w:r>
      <w:r w:rsidRPr="00E52513">
        <w:t xml:space="preserve">to Perth cases was </w:t>
      </w:r>
      <w:r w:rsidR="00300D28" w:rsidRPr="00E52513">
        <w:t xml:space="preserve">provided </w:t>
      </w:r>
      <w:r w:rsidRPr="00E52513">
        <w:t>face to face. This provides some evidence of unmet demand.</w:t>
      </w:r>
    </w:p>
    <w:p w14:paraId="242658E2" w14:textId="77777777" w:rsidR="008A4D65" w:rsidRPr="00E52513" w:rsidRDefault="008A4D65" w:rsidP="00E671B9">
      <w:pPr>
        <w:pStyle w:val="Heading3"/>
      </w:pPr>
      <w:r w:rsidRPr="00E52513">
        <w:lastRenderedPageBreak/>
        <w:t>Time delay to response</w:t>
      </w:r>
    </w:p>
    <w:p w14:paraId="3670AC15" w14:textId="58CCC8BF" w:rsidR="006A4F83" w:rsidRPr="00E52513" w:rsidRDefault="006A4F83" w:rsidP="006A4F83">
      <w:pPr>
        <w:spacing w:after="0"/>
      </w:pPr>
      <w:r w:rsidRPr="00E52513">
        <w:t xml:space="preserve">Several clients </w:t>
      </w:r>
      <w:r w:rsidR="00300D28" w:rsidRPr="00E52513">
        <w:t xml:space="preserve">who were </w:t>
      </w:r>
      <w:r w:rsidRPr="00E52513">
        <w:t>interviewed reported experiencing a delay of several days before a CRSA responded in person to an incident:</w:t>
      </w:r>
    </w:p>
    <w:p w14:paraId="1B868570" w14:textId="77777777" w:rsidR="006A4F83" w:rsidRPr="00E52513" w:rsidRDefault="006A4F83" w:rsidP="006A4F83">
      <w:pPr>
        <w:tabs>
          <w:tab w:val="left" w:pos="284"/>
        </w:tabs>
        <w:spacing w:before="120" w:after="240"/>
        <w:ind w:left="283" w:right="283"/>
        <w:rPr>
          <w:i/>
        </w:rPr>
      </w:pPr>
      <w:r w:rsidRPr="00E52513">
        <w:rPr>
          <w:i/>
        </w:rPr>
        <w:t>“It took them about five days to make contact with me after I initially called them.” (Client)</w:t>
      </w:r>
    </w:p>
    <w:p w14:paraId="2957A0ED" w14:textId="1F891DD1" w:rsidR="00021F7A" w:rsidRPr="00E52513" w:rsidRDefault="00021F7A" w:rsidP="006A4F83">
      <w:r w:rsidRPr="00E52513">
        <w:t xml:space="preserve">It is difficult to assess </w:t>
      </w:r>
      <w:r w:rsidR="00300D28" w:rsidRPr="00E52513">
        <w:t xml:space="preserve">the </w:t>
      </w:r>
      <w:r w:rsidRPr="00E52513">
        <w:t xml:space="preserve">validity of any suggestion of a significant delay between date of notification and date of first contact with </w:t>
      </w:r>
      <w:r w:rsidR="00200F1C" w:rsidRPr="00E52513">
        <w:t>client since</w:t>
      </w:r>
      <w:r w:rsidRPr="00E52513">
        <w:t xml:space="preserve"> the latter data is not collected in the ORS. The evaluation team attempted to assess this issue by constructing a date of first contact field from data in the ‘Case summary’ field. In this way</w:t>
      </w:r>
      <w:r w:rsidR="00300D28" w:rsidRPr="00E52513">
        <w:t>,</w:t>
      </w:r>
      <w:r w:rsidRPr="00E52513">
        <w:t xml:space="preserve"> 91 case</w:t>
      </w:r>
      <w:r w:rsidR="00064D1F" w:rsidRPr="00E52513">
        <w:t xml:space="preserve"> record</w:t>
      </w:r>
      <w:r w:rsidRPr="00E52513">
        <w:t xml:space="preserve">s were able to be constructed with a </w:t>
      </w:r>
      <w:r w:rsidR="00064D1F" w:rsidRPr="00E52513">
        <w:t>notification and first contact date, but two outlier cases were rejected because they had excessive numbers. Based on the remaining 89 records</w:t>
      </w:r>
      <w:r w:rsidR="00300D28" w:rsidRPr="00E52513">
        <w:t>,</w:t>
      </w:r>
      <w:r w:rsidR="00064D1F" w:rsidRPr="00E52513">
        <w:t xml:space="preserve"> the average time between notification and first contact was 13.6 days.</w:t>
      </w:r>
    </w:p>
    <w:p w14:paraId="5D14C1E2" w14:textId="32309FA1" w:rsidR="00064D1F" w:rsidRPr="00E52513" w:rsidRDefault="00064D1F" w:rsidP="006A4F83">
      <w:r w:rsidRPr="00E52513">
        <w:t>This data certainly needs to be gathered more rigorously</w:t>
      </w:r>
      <w:r w:rsidR="00300D28" w:rsidRPr="00E52513">
        <w:t xml:space="preserve"> in future. B</w:t>
      </w:r>
      <w:r w:rsidRPr="00E52513">
        <w:t>ut if this figure is accurate then the delay would appear to suggest staff resources inadequacy – or inefficient procedures for allocating incidents to CRSAs.</w:t>
      </w:r>
    </w:p>
    <w:p w14:paraId="6A09B6CF" w14:textId="6165BC24" w:rsidR="00064D1F" w:rsidRPr="00E52513" w:rsidRDefault="00064D1F" w:rsidP="00E671B9">
      <w:pPr>
        <w:pStyle w:val="Heading3"/>
      </w:pPr>
      <w:r w:rsidRPr="00E52513">
        <w:t>Staff workload</w:t>
      </w:r>
    </w:p>
    <w:p w14:paraId="12B9E212" w14:textId="673AE06A" w:rsidR="006A4F83" w:rsidRPr="00E52513" w:rsidRDefault="006A4F83" w:rsidP="006A4F83">
      <w:r w:rsidRPr="00E52513">
        <w:t xml:space="preserve">It was evident </w:t>
      </w:r>
      <w:r w:rsidR="00300D28" w:rsidRPr="00E52513">
        <w:t xml:space="preserve">from the qualitative data that </w:t>
      </w:r>
      <w:r w:rsidRPr="00E52513">
        <w:t>client</w:t>
      </w:r>
      <w:r w:rsidR="00064D1F" w:rsidRPr="00E52513">
        <w:t>s</w:t>
      </w:r>
      <w:r w:rsidRPr="00E52513">
        <w:t xml:space="preserve"> and stakeholder</w:t>
      </w:r>
      <w:r w:rsidR="00064D1F" w:rsidRPr="00E52513">
        <w:t>s</w:t>
      </w:r>
      <w:r w:rsidRPr="00E52513">
        <w:t xml:space="preserve"> were concerned about the capacity of the service to respond to more cases or to continue supporting existing cases. One stakeholder reported not referring all potential cases to the service due to concerns about capacity; several clients also reported being restrained about calling on CRSAs for support, either because they were conscious of their high caseload or because they knew it might take time for them to respond:</w:t>
      </w:r>
    </w:p>
    <w:p w14:paraId="002291DA" w14:textId="77777777" w:rsidR="006A4F83" w:rsidRPr="00E52513" w:rsidRDefault="006A4F83" w:rsidP="006A4F83">
      <w:pPr>
        <w:tabs>
          <w:tab w:val="left" w:pos="284"/>
        </w:tabs>
        <w:spacing w:before="120" w:after="240"/>
        <w:ind w:left="283" w:right="283"/>
        <w:rPr>
          <w:i/>
        </w:rPr>
      </w:pPr>
      <w:r w:rsidRPr="00E52513">
        <w:rPr>
          <w:i/>
        </w:rPr>
        <w:t>“The worker is amazing … I am always supported and respected…they are so busy and always honest about when and how long it will take to help… [</w:t>
      </w:r>
      <w:proofErr w:type="gramStart"/>
      <w:r w:rsidRPr="00E52513">
        <w:rPr>
          <w:i/>
        </w:rPr>
        <w:t>the</w:t>
      </w:r>
      <w:proofErr w:type="gramEnd"/>
      <w:r w:rsidRPr="00E52513">
        <w:rPr>
          <w:i/>
        </w:rPr>
        <w:t xml:space="preserve"> CRSA] was spread really thin.” (Client)</w:t>
      </w:r>
    </w:p>
    <w:p w14:paraId="5B600CD1" w14:textId="352AB530" w:rsidR="00064D1F" w:rsidRPr="00E52513" w:rsidRDefault="00064D1F" w:rsidP="006A4F83">
      <w:r w:rsidRPr="00E52513">
        <w:t>Based on ORS data, it is difficult to determine an average caseload for CRSAs over the duration of the program so far (at least until June 2019), especially given the variation in staff numbers. But assuming</w:t>
      </w:r>
      <w:r w:rsidR="00300D28" w:rsidRPr="00E52513">
        <w:rPr>
          <w:rStyle w:val="FootnoteReference"/>
        </w:rPr>
        <w:footnoteReference w:id="21"/>
      </w:r>
      <w:r w:rsidRPr="00E52513">
        <w:t xml:space="preserve"> there were between two to three CRSAs in 2016, five in 2018 and seven in 2019, the average number of </w:t>
      </w:r>
      <w:r w:rsidRPr="00E52513">
        <w:rPr>
          <w:b/>
          <w:bCs/>
          <w:i/>
          <w:iCs/>
        </w:rPr>
        <w:t>cases</w:t>
      </w:r>
      <w:r w:rsidRPr="00E52513">
        <w:t xml:space="preserve"> being assisted by each CRSA would be between 24 and 30 per annum, the average number of clients would be between 15 and 28 per annum, and the average number of family members would be between 50 and 150 per annum. It has been pointed out elsewhere that some cases are quite long in duration (one to two years) and that CRSAs could be supporting clients for the</w:t>
      </w:r>
      <w:r w:rsidR="00300D28" w:rsidRPr="00E52513">
        <w:t xml:space="preserve"> (unclearly defined)</w:t>
      </w:r>
      <w:r w:rsidRPr="00E52513">
        <w:t xml:space="preserve"> “long haul”. </w:t>
      </w:r>
      <w:r w:rsidR="00CF0670" w:rsidRPr="00E52513">
        <w:t xml:space="preserve">The HMA (2020) analysis of CRSA workload based on a survey of their time allocation found on average they managed 15 </w:t>
      </w:r>
      <w:r w:rsidR="00CF0670" w:rsidRPr="00E52513">
        <w:rPr>
          <w:b/>
          <w:bCs/>
          <w:i/>
          <w:iCs/>
        </w:rPr>
        <w:t>incidents</w:t>
      </w:r>
      <w:r w:rsidR="00CF0670" w:rsidRPr="00E52513">
        <w:t xml:space="preserve"> (per CRSA) per month and they had an average of 12 open </w:t>
      </w:r>
      <w:r w:rsidR="00CF0670" w:rsidRPr="00E52513">
        <w:rPr>
          <w:b/>
          <w:bCs/>
          <w:i/>
          <w:iCs/>
        </w:rPr>
        <w:t>cases</w:t>
      </w:r>
      <w:r w:rsidR="00CF0670" w:rsidRPr="00E52513">
        <w:t xml:space="preserve"> per month. They noted significant variation between CRSAs in caseload, ranging from 3 per month to 31 per month.</w:t>
      </w:r>
    </w:p>
    <w:p w14:paraId="0EDF0D67" w14:textId="77C393B4" w:rsidR="00CF0670" w:rsidRPr="00E52513" w:rsidRDefault="00CF0670" w:rsidP="006A4F83">
      <w:r w:rsidRPr="00E52513">
        <w:t>Without an established norm of what an appropriate caseload should be</w:t>
      </w:r>
      <w:r w:rsidR="00300D28" w:rsidRPr="00E52513">
        <w:t>,</w:t>
      </w:r>
      <w:r w:rsidRPr="00E52513">
        <w:t xml:space="preserve"> it is difficult to interpret this data regarding staff resource adequacy.</w:t>
      </w:r>
    </w:p>
    <w:p w14:paraId="25A9272F" w14:textId="2A27CE4C" w:rsidR="00064D1F" w:rsidRPr="00E52513" w:rsidRDefault="00CF0670" w:rsidP="00E671B9">
      <w:pPr>
        <w:pStyle w:val="Heading3"/>
      </w:pPr>
      <w:r w:rsidRPr="00E52513">
        <w:lastRenderedPageBreak/>
        <w:t>Staff hours</w:t>
      </w:r>
    </w:p>
    <w:p w14:paraId="49420C58" w14:textId="55615DA1" w:rsidR="006A4F83" w:rsidRPr="00E52513" w:rsidRDefault="006A4F83" w:rsidP="006A4F83">
      <w:r w:rsidRPr="00E52513">
        <w:t xml:space="preserve">From the interviews, it was also unclear what backup support was provided to CRSAs to ensure they were working reasonable hours and to take holiday or sick leave. </w:t>
      </w:r>
      <w:r w:rsidR="00CF0670" w:rsidRPr="00E52513">
        <w:t>The HMA (2020) analysis of the CRSA survey of time spent data indicated that 96% of CRSA total work time was spent working during standard hours of 8 am to 6 pm, Monday to Friday</w:t>
      </w:r>
      <w:r w:rsidR="00CF0670" w:rsidRPr="00E52513">
        <w:rPr>
          <w:rStyle w:val="FootnoteReference"/>
        </w:rPr>
        <w:footnoteReference w:id="22"/>
      </w:r>
      <w:r w:rsidR="00CF0670" w:rsidRPr="00E52513">
        <w:t xml:space="preserve">. The survey was undertaken </w:t>
      </w:r>
      <w:r w:rsidR="00BD3C9E" w:rsidRPr="00E52513">
        <w:t>during February to May, which does not include the period of the year with the greatest number of new incidents</w:t>
      </w:r>
      <w:r w:rsidR="00300D28" w:rsidRPr="00E52513">
        <w:t xml:space="preserve"> (namely, the Christmas/</w:t>
      </w:r>
      <w:r w:rsidR="00E03911" w:rsidRPr="00E52513">
        <w:t>n</w:t>
      </w:r>
      <w:r w:rsidR="00300D28" w:rsidRPr="00E52513">
        <w:t xml:space="preserve">ew </w:t>
      </w:r>
      <w:r w:rsidR="00E03911" w:rsidRPr="00E52513">
        <w:t>y</w:t>
      </w:r>
      <w:r w:rsidR="00300D28" w:rsidRPr="00E52513">
        <w:t>ear period)</w:t>
      </w:r>
      <w:r w:rsidR="00BD3C9E" w:rsidRPr="00E52513">
        <w:t>.</w:t>
      </w:r>
    </w:p>
    <w:p w14:paraId="3B36A62A" w14:textId="6D435780" w:rsidR="00BD3C9E" w:rsidRPr="00E52513" w:rsidRDefault="00BD3C9E" w:rsidP="00E671B9">
      <w:pPr>
        <w:pStyle w:val="Heading3"/>
      </w:pPr>
      <w:r w:rsidRPr="00E52513">
        <w:t>Cultural appropriateness</w:t>
      </w:r>
    </w:p>
    <w:p w14:paraId="05E075FF" w14:textId="27722E58" w:rsidR="006A4F83" w:rsidRPr="00E52513" w:rsidRDefault="006A4F83" w:rsidP="006A4F83">
      <w:r w:rsidRPr="00E52513">
        <w:t xml:space="preserve">Several clients and stakeholders also explicitly stated that greater availability of male and female CRSAs in each location was required </w:t>
      </w:r>
      <w:r w:rsidR="00200F1C" w:rsidRPr="00E52513">
        <w:t>to</w:t>
      </w:r>
      <w:r w:rsidRPr="00E52513">
        <w:t xml:space="preserve"> ensure </w:t>
      </w:r>
      <w:r w:rsidR="00300D28" w:rsidRPr="00E52513">
        <w:t xml:space="preserve">that </w:t>
      </w:r>
      <w:r w:rsidRPr="00E52513">
        <w:t>clients had the option of speaking to a male or female. Some interviewees noted that such an approach would be in keeping with the culture of their community:</w:t>
      </w:r>
    </w:p>
    <w:p w14:paraId="0F1B7A54" w14:textId="77777777" w:rsidR="006A4F83" w:rsidRPr="00E52513" w:rsidRDefault="006A4F83" w:rsidP="006A4F83">
      <w:pPr>
        <w:tabs>
          <w:tab w:val="left" w:pos="284"/>
        </w:tabs>
        <w:spacing w:before="120" w:after="240"/>
        <w:ind w:left="283" w:right="283"/>
        <w:rPr>
          <w:i/>
        </w:rPr>
      </w:pPr>
      <w:r w:rsidRPr="00E52513">
        <w:rPr>
          <w:i/>
        </w:rPr>
        <w:t xml:space="preserve">“The grandfather was happy to talk to [worker] but they probably didn’t get as much information as they </w:t>
      </w:r>
      <w:proofErr w:type="gramStart"/>
      <w:r w:rsidRPr="00E52513">
        <w:rPr>
          <w:i/>
        </w:rPr>
        <w:t>could’ve</w:t>
      </w:r>
      <w:proofErr w:type="gramEnd"/>
      <w:r w:rsidRPr="00E52513">
        <w:rPr>
          <w:i/>
        </w:rPr>
        <w:t xml:space="preserve"> about how he was feeling if he was speaking to a male worker…” (Stakeholder)</w:t>
      </w:r>
    </w:p>
    <w:p w14:paraId="2C308EF5" w14:textId="103E7BF6" w:rsidR="006A4F83" w:rsidRPr="00E52513" w:rsidRDefault="006A4F83" w:rsidP="006A4F83">
      <w:pPr>
        <w:tabs>
          <w:tab w:val="left" w:pos="284"/>
        </w:tabs>
        <w:spacing w:before="120" w:after="360"/>
        <w:ind w:left="283" w:right="283"/>
        <w:rPr>
          <w:i/>
        </w:rPr>
      </w:pPr>
      <w:r w:rsidRPr="00E52513">
        <w:rPr>
          <w:i/>
        </w:rPr>
        <w:t>“I think it would be good if the females could have an option of a female worker and males have a male worker. That fits culturally with our mob.” (Client)</w:t>
      </w:r>
    </w:p>
    <w:p w14:paraId="5DE90772" w14:textId="77777777" w:rsidR="006A4F83" w:rsidRPr="00E52513" w:rsidRDefault="006A4F83" w:rsidP="00152634">
      <w:pPr>
        <w:pStyle w:val="Heading2"/>
      </w:pPr>
      <w:bookmarkStart w:id="96" w:name="_Toc54966649"/>
      <w:r w:rsidRPr="00E52513">
        <w:t>Geographic distribution of staff</w:t>
      </w:r>
      <w:bookmarkEnd w:id="96"/>
    </w:p>
    <w:p w14:paraId="1E54B222" w14:textId="77777777" w:rsidR="00AE2312" w:rsidRPr="00E52513" w:rsidRDefault="00AE2312" w:rsidP="00E671B9">
      <w:pPr>
        <w:pStyle w:val="Heading3"/>
      </w:pPr>
      <w:r w:rsidRPr="00E52513">
        <w:t>Impressions from qualitative data</w:t>
      </w:r>
    </w:p>
    <w:p w14:paraId="4FCF9454" w14:textId="627E7547" w:rsidR="006A4F83" w:rsidRPr="00E52513" w:rsidRDefault="006A4F83" w:rsidP="006A4F83">
      <w:r w:rsidRPr="00E52513">
        <w:t xml:space="preserve">It was evident from </w:t>
      </w:r>
      <w:r w:rsidR="00AE2312" w:rsidRPr="00E52513">
        <w:t>analysis of the qualitative data</w:t>
      </w:r>
      <w:r w:rsidRPr="00E52513">
        <w:t xml:space="preserve"> that the geographic areas that current staff were required to cover were too large and were unsustainable for the safety of CRSAs and the resources of the services.</w:t>
      </w:r>
    </w:p>
    <w:p w14:paraId="697A3447" w14:textId="286620BA" w:rsidR="006A4F83" w:rsidRPr="00E52513" w:rsidRDefault="006A4F83" w:rsidP="006A4F83">
      <w:r w:rsidRPr="00E52513">
        <w:t xml:space="preserve">Several clients and many stakeholders expressed concern about the distances CRSAs were required to </w:t>
      </w:r>
      <w:r w:rsidR="00AE2312" w:rsidRPr="00E52513">
        <w:t xml:space="preserve">travel </w:t>
      </w:r>
      <w:r w:rsidRPr="00E52513">
        <w:t>in their work; in some instances</w:t>
      </w:r>
      <w:r w:rsidR="008139C5" w:rsidRPr="00E52513">
        <w:t>,</w:t>
      </w:r>
      <w:r w:rsidRPr="00E52513">
        <w:t xml:space="preserve"> it was reported that CRSAs appeared fatigued and overworked:</w:t>
      </w:r>
    </w:p>
    <w:p w14:paraId="103478DD" w14:textId="0804D424" w:rsidR="006A4F83" w:rsidRPr="00E52513" w:rsidRDefault="006A4F83" w:rsidP="006A4F83">
      <w:pPr>
        <w:tabs>
          <w:tab w:val="left" w:pos="284"/>
        </w:tabs>
        <w:spacing w:before="120" w:after="240"/>
        <w:ind w:left="283" w:right="283"/>
        <w:rPr>
          <w:i/>
        </w:rPr>
      </w:pPr>
      <w:r w:rsidRPr="00E52513">
        <w:rPr>
          <w:i/>
        </w:rPr>
        <w:t>“… [</w:t>
      </w:r>
      <w:proofErr w:type="gramStart"/>
      <w:r w:rsidR="00AE2312" w:rsidRPr="00E52513">
        <w:rPr>
          <w:i/>
        </w:rPr>
        <w:t>the</w:t>
      </w:r>
      <w:proofErr w:type="gramEnd"/>
      <w:r w:rsidR="00AE2312" w:rsidRPr="00E52513">
        <w:rPr>
          <w:i/>
        </w:rPr>
        <w:t xml:space="preserve"> </w:t>
      </w:r>
      <w:r w:rsidRPr="00E52513">
        <w:rPr>
          <w:i/>
        </w:rPr>
        <w:t>CRSA</w:t>
      </w:r>
      <w:r w:rsidR="00AE2312" w:rsidRPr="00E52513">
        <w:rPr>
          <w:i/>
        </w:rPr>
        <w:t>]</w:t>
      </w:r>
      <w:r w:rsidRPr="00E52513">
        <w:rPr>
          <w:i/>
        </w:rPr>
        <w:t xml:space="preserve"> appeared very overworked – they said they had been working 14 days straight and they seemed tired and fatigued…this is very unsafe for anyone.” (Stakeholder)</w:t>
      </w:r>
    </w:p>
    <w:p w14:paraId="480D6D6F" w14:textId="77777777" w:rsidR="006A4F83" w:rsidRPr="00E52513" w:rsidRDefault="006A4F83" w:rsidP="006A4F83">
      <w:pPr>
        <w:tabs>
          <w:tab w:val="left" w:pos="284"/>
        </w:tabs>
        <w:spacing w:before="120" w:after="240"/>
        <w:ind w:left="283" w:right="283"/>
        <w:rPr>
          <w:i/>
        </w:rPr>
      </w:pPr>
      <w:r w:rsidRPr="00E52513">
        <w:rPr>
          <w:i/>
        </w:rPr>
        <w:t>“I think we need more workers as one person cannot possibly long-term cover that huge area and not be spread too thin.” (Client)</w:t>
      </w:r>
    </w:p>
    <w:p w14:paraId="462C092D" w14:textId="23425106" w:rsidR="006A4F83" w:rsidRPr="00E52513" w:rsidRDefault="006A4F83" w:rsidP="006A4F83">
      <w:r w:rsidRPr="00E52513">
        <w:t>As most of the CRSAs were expected to cover large geographic regions, it was evident from the interviews that there was a prevailing understanding and acceptance that CRSAs were expected (even required) to work within a ‘solo worker’ model rather than as part of a team approach or integrated partnering approach. It was reported that this ‘solo worker’ model was reinforced</w:t>
      </w:r>
      <w:r w:rsidR="007E0770" w:rsidRPr="00E52513">
        <w:t xml:space="preserve"> at the management/coordination level</w:t>
      </w:r>
      <w:r w:rsidRPr="00E52513">
        <w:t>, with one CRSA being informed during their initial job interview:</w:t>
      </w:r>
    </w:p>
    <w:p w14:paraId="2268D2A0" w14:textId="422B27EC" w:rsidR="006A4F83" w:rsidRPr="00E52513" w:rsidRDefault="006A4F83" w:rsidP="006A4F83">
      <w:pPr>
        <w:ind w:left="283" w:right="283"/>
        <w:rPr>
          <w:i/>
        </w:rPr>
      </w:pPr>
      <w:r w:rsidRPr="00E52513">
        <w:rPr>
          <w:i/>
        </w:rPr>
        <w:lastRenderedPageBreak/>
        <w:t>“If you can’t do this job on your own you are the wrong person for the job”. (</w:t>
      </w:r>
      <w:r w:rsidR="007E0770" w:rsidRPr="00E52513">
        <w:rPr>
          <w:i/>
        </w:rPr>
        <w:t>CRSA</w:t>
      </w:r>
      <w:r w:rsidRPr="00E52513">
        <w:rPr>
          <w:i/>
        </w:rPr>
        <w:t>)</w:t>
      </w:r>
    </w:p>
    <w:p w14:paraId="2A64FE59" w14:textId="6361E75D" w:rsidR="006A4F83" w:rsidRPr="00E52513" w:rsidRDefault="006A4F83" w:rsidP="006A4F83">
      <w:r w:rsidRPr="00E52513">
        <w:t xml:space="preserve">There were several instances </w:t>
      </w:r>
      <w:r w:rsidR="00300D28" w:rsidRPr="00E52513">
        <w:t xml:space="preserve">reported </w:t>
      </w:r>
      <w:r w:rsidRPr="00E52513">
        <w:t>of back-up support being provided for CRSAs in the form of other NICRS staff travelling to a location to manage a new or complicated case, independent of the ‘local’ CRSA who had received the notification. There was limited evidence that case coordination or team-based case management planning was being consistently implemented.</w:t>
      </w:r>
    </w:p>
    <w:p w14:paraId="7F7E54F9" w14:textId="314B95DB" w:rsidR="006A4F83" w:rsidRPr="00E52513" w:rsidRDefault="006A4F83" w:rsidP="006A4F83">
      <w:r w:rsidRPr="00E52513">
        <w:t xml:space="preserve">One exception to this solo and dispersed approach was evident in the NT office, where the service was delivered in conjunction with the </w:t>
      </w:r>
      <w:proofErr w:type="spellStart"/>
      <w:r w:rsidRPr="00E52513">
        <w:t>StandBy</w:t>
      </w:r>
      <w:proofErr w:type="spellEnd"/>
      <w:r w:rsidRPr="00E52513">
        <w:t xml:space="preserve"> service. This co-location arrangement appeared to enable a team-based approach and </w:t>
      </w:r>
      <w:r w:rsidR="004233B4" w:rsidRPr="00E52513">
        <w:t xml:space="preserve">more effective </w:t>
      </w:r>
      <w:r w:rsidRPr="00E52513">
        <w:t xml:space="preserve">cross-organisational resource allocation. It also appeared to enable an approach that ensured that the NICRS partnered </w:t>
      </w:r>
      <w:r w:rsidR="007E0770" w:rsidRPr="00E52513">
        <w:t xml:space="preserve">better </w:t>
      </w:r>
      <w:r w:rsidRPr="00E52513">
        <w:t>with local services. In other locations, the team-based approach was not apparent unless the CRSA or Coordinator leveraged personal relationships and networks.</w:t>
      </w:r>
    </w:p>
    <w:p w14:paraId="2C8EE0F3" w14:textId="72965841" w:rsidR="006A4F83" w:rsidRPr="00E52513" w:rsidRDefault="006A4F83" w:rsidP="006A4F83">
      <w:r w:rsidRPr="00E52513">
        <w:t>Despite the large and remote geographic areas CRSAs were expected to cover</w:t>
      </w:r>
      <w:r w:rsidR="008139C5" w:rsidRPr="00E52513">
        <w:t xml:space="preserve"> (including in the NT)</w:t>
      </w:r>
      <w:r w:rsidRPr="00E52513">
        <w:t>, it was not evident that CRSAs had access to personal distress devices, mandated safety check-in processes or reporting arrangements in the field. Given the highly emotional and often highly volatile community settings in which suicide and traumatic events occur, it is highly likely that CRSAs were being exposed to unsafe working conditions.</w:t>
      </w:r>
    </w:p>
    <w:p w14:paraId="005893F0" w14:textId="7CFA991E" w:rsidR="006A4F83" w:rsidRPr="00E52513" w:rsidRDefault="006A4F83" w:rsidP="006A4F83">
      <w:r w:rsidRPr="00E52513">
        <w:t xml:space="preserve">It was reported by NICRS managers that some attempt was being made by the service to rectify staff safety issues, whereby a policy change was enacted that required a minimum of two workers to respond to a notification. However, several CRSAs reported that </w:t>
      </w:r>
      <w:r w:rsidR="004233B4" w:rsidRPr="00E52513">
        <w:t xml:space="preserve">very often </w:t>
      </w:r>
      <w:r w:rsidRPr="00E52513">
        <w:t>it was not possible to comply with th</w:t>
      </w:r>
      <w:r w:rsidR="004233B4" w:rsidRPr="00E52513">
        <w:t>at</w:t>
      </w:r>
      <w:r w:rsidRPr="00E52513">
        <w:t xml:space="preserve"> policy because </w:t>
      </w:r>
      <w:r w:rsidR="007E0770" w:rsidRPr="00E52513">
        <w:t xml:space="preserve">in most cases </w:t>
      </w:r>
      <w:r w:rsidRPr="00E52513">
        <w:t>they were dispersed across large geographic areas and not co-located with other colleagues.</w:t>
      </w:r>
    </w:p>
    <w:p w14:paraId="44D05A6B" w14:textId="495FDE71" w:rsidR="005E5EA2" w:rsidRDefault="007E0770" w:rsidP="00152634">
      <w:pPr>
        <w:pStyle w:val="Heading3"/>
      </w:pPr>
      <w:r w:rsidRPr="00E52513">
        <w:t>Service implications of geographic deployment</w:t>
      </w:r>
    </w:p>
    <w:p w14:paraId="211B358E" w14:textId="5223F313" w:rsidR="00400046" w:rsidRDefault="00400046" w:rsidP="00400046">
      <w:r w:rsidRPr="00E52513">
        <w:t>A survey of CRSA time allocation over a four-week period in early 2019 (HMA, 2020) showed that a large proportion of indirect client support time (see Figure 22) was spent travelling to visit clients (50.8%) and on logistics (e.g. scheduling of appointments and organising travel). This means that travel and organising travel on average took up nearly one-fifth (18.3%) of total CRSA time.</w:t>
      </w:r>
    </w:p>
    <w:p w14:paraId="18A4EE50" w14:textId="77777777" w:rsidR="00152634" w:rsidRPr="00E52513" w:rsidRDefault="00152634" w:rsidP="00152634">
      <w:r w:rsidRPr="00E52513">
        <w:t>Based on 2018/19 financial accounts for the NICRS, ‘indirect costs’ accounted for 21% of total costs (see Section 9 and Figure 23 for more details). Indirect costs, that is overhead costs such as administrative, finance or communication activities, rent and utilities, are those accrued because of providing services but do not ‘directly’ provide service. In theory, the lower the level of indirect costs the better, since that implies a greater proportion of resources going into direct care.</w:t>
      </w:r>
    </w:p>
    <w:p w14:paraId="4830F146" w14:textId="77777777" w:rsidR="00152634" w:rsidRDefault="00152634" w:rsidP="00400046"/>
    <w:p w14:paraId="0BE3DED3" w14:textId="2BD8869C" w:rsidR="00152634" w:rsidRPr="00E52513" w:rsidRDefault="00152634" w:rsidP="00152634">
      <w:pPr>
        <w:jc w:val="center"/>
      </w:pPr>
      <w:r>
        <w:rPr>
          <w:noProof/>
          <w:lang w:eastAsia="en-AU"/>
        </w:rPr>
        <w:lastRenderedPageBreak/>
        <w:drawing>
          <wp:inline distT="0" distB="0" distL="0" distR="0" wp14:anchorId="2CB0E165" wp14:editId="51EB8B34">
            <wp:extent cx="3695700" cy="3797300"/>
            <wp:effectExtent l="0" t="0" r="0" b="0"/>
            <wp:docPr id="214" name="Picture 214" descr="Bar graph - CRSA time across indirect service-related activities&#10;&#10;Logistics - 34.5%; travel - 50.8%; case coordination - 0.8%; collaboration with colleagues - 3.2%; networking - 10.7%" title="Figure 22: Allocation of CRSA time across different 'Indirect' service-related activities (Source: HM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Bar graph - CRSA time across indirect service-related activities&#10;&#10;Logistics - 34.5%; travel - 50.8%; case coordination - 0.8%; collaboration with colleagues - 3.2%; networking - 10.7%"/>
                    <pic:cNvPicPr/>
                  </pic:nvPicPr>
                  <pic:blipFill>
                    <a:blip r:embed="rId35">
                      <a:extLst>
                        <a:ext uri="{28A0092B-C50C-407E-A947-70E740481C1C}">
                          <a14:useLocalDpi xmlns:a14="http://schemas.microsoft.com/office/drawing/2010/main" val="0"/>
                        </a:ext>
                      </a:extLst>
                    </a:blip>
                    <a:stretch>
                      <a:fillRect/>
                    </a:stretch>
                  </pic:blipFill>
                  <pic:spPr>
                    <a:xfrm>
                      <a:off x="0" y="0"/>
                      <a:ext cx="3695700" cy="3797300"/>
                    </a:xfrm>
                    <a:prstGeom prst="rect">
                      <a:avLst/>
                    </a:prstGeom>
                  </pic:spPr>
                </pic:pic>
              </a:graphicData>
            </a:graphic>
          </wp:inline>
        </w:drawing>
      </w:r>
    </w:p>
    <w:p w14:paraId="7C7642C5" w14:textId="0F34A92A" w:rsidR="006A4F83" w:rsidRPr="00E52513" w:rsidRDefault="006A4F83" w:rsidP="00152634">
      <w:pPr>
        <w:pStyle w:val="Heading2"/>
      </w:pPr>
      <w:bookmarkStart w:id="97" w:name="_Ref20237109"/>
      <w:bookmarkStart w:id="98" w:name="_Toc54966650"/>
      <w:bookmarkEnd w:id="97"/>
      <w:r w:rsidRPr="00E52513">
        <w:t>Staff training and support</w:t>
      </w:r>
      <w:bookmarkEnd w:id="93"/>
      <w:bookmarkEnd w:id="94"/>
      <w:bookmarkEnd w:id="98"/>
    </w:p>
    <w:p w14:paraId="5FEC8CA8" w14:textId="3642566D" w:rsidR="006A4F83" w:rsidRPr="00E52513" w:rsidRDefault="006A4F83" w:rsidP="006A4F83">
      <w:pPr>
        <w:pStyle w:val="Heading3"/>
      </w:pPr>
      <w:r w:rsidRPr="00E52513">
        <w:t>Induction</w:t>
      </w:r>
    </w:p>
    <w:p w14:paraId="10DCE413" w14:textId="29FA69FE" w:rsidR="006A4F83" w:rsidRPr="00E52513" w:rsidRDefault="006A4F83" w:rsidP="006A4F83">
      <w:r w:rsidRPr="00E52513">
        <w:t>Combined with the MSC stories,</w:t>
      </w:r>
      <w:r w:rsidRPr="00E52513" w:rsidDel="009A0ADF">
        <w:t xml:space="preserve"> </w:t>
      </w:r>
      <w:r w:rsidRPr="00E52513">
        <w:t>interviews with clients, stakeholders, and CRSAs underscored the commitment and dedication of CRSAs to supporting clients and their families. However, there was also a strong indication from those interviews that there w</w:t>
      </w:r>
      <w:r w:rsidR="007E0770" w:rsidRPr="00E52513">
        <w:t>as</w:t>
      </w:r>
      <w:r w:rsidRPr="00E52513">
        <w:t xml:space="preserve"> insufficient support and training </w:t>
      </w:r>
      <w:r w:rsidR="007E0770" w:rsidRPr="00E52513">
        <w:t xml:space="preserve">of the CRSAs </w:t>
      </w:r>
      <w:r w:rsidRPr="00E52513">
        <w:t xml:space="preserve">to meet the complex needs of </w:t>
      </w:r>
      <w:r w:rsidR="007E0770" w:rsidRPr="00E52513">
        <w:t xml:space="preserve">their </w:t>
      </w:r>
      <w:r w:rsidRPr="00E52513">
        <w:t>clients</w:t>
      </w:r>
      <w:r w:rsidR="007E0770" w:rsidRPr="00E52513">
        <w:t>.</w:t>
      </w:r>
    </w:p>
    <w:p w14:paraId="0526549E" w14:textId="06C0F950" w:rsidR="006A4F83" w:rsidRPr="00E52513" w:rsidRDefault="006A4F83" w:rsidP="006A4F83">
      <w:r w:rsidRPr="00E52513">
        <w:t xml:space="preserve">During the evaluation period, changes were undertaken to Coordinator positions and this change was reported to have increased </w:t>
      </w:r>
      <w:r w:rsidR="00B625ED" w:rsidRPr="00E52513">
        <w:t xml:space="preserve">the </w:t>
      </w:r>
      <w:r w:rsidRPr="00E52513">
        <w:t xml:space="preserve">internal focus on staff capacity and support. However, prior to this change it was reported that several CRSAs had not been trained to use the ORS and consequently had no experience entering and maintaining client data of assigned cases. It was further reported that training had since commenced but was being conducted </w:t>
      </w:r>
      <w:r w:rsidR="00B625ED" w:rsidRPr="00E52513">
        <w:t>‘</w:t>
      </w:r>
      <w:r w:rsidRPr="00E52513">
        <w:t>in-house</w:t>
      </w:r>
      <w:r w:rsidR="00B625ED" w:rsidRPr="00E52513">
        <w:t>’</w:t>
      </w:r>
      <w:r w:rsidRPr="00E52513">
        <w:t xml:space="preserve"> between team members and was dependent on other CRSAs</w:t>
      </w:r>
      <w:r w:rsidR="004233B4" w:rsidRPr="00E52513">
        <w:t>’</w:t>
      </w:r>
      <w:r w:rsidRPr="00E52513">
        <w:t xml:space="preserve"> time </w:t>
      </w:r>
      <w:r w:rsidR="00B625ED" w:rsidRPr="00E52513">
        <w:t xml:space="preserve">availability </w:t>
      </w:r>
      <w:r w:rsidRPr="00E52513">
        <w:t>to provide individual support and guidance. There was also some indication that this process was a longstanding</w:t>
      </w:r>
      <w:r w:rsidR="004233B4" w:rsidRPr="00E52513">
        <w:t>, if not widely undertaken,</w:t>
      </w:r>
      <w:r w:rsidRPr="00E52513">
        <w:t xml:space="preserve"> practice.</w:t>
      </w:r>
    </w:p>
    <w:p w14:paraId="2A88EF37" w14:textId="420F1316" w:rsidR="006A4F83" w:rsidRPr="00E52513" w:rsidRDefault="006A4F83" w:rsidP="006A4F83">
      <w:r w:rsidRPr="00E52513">
        <w:t xml:space="preserve">There was </w:t>
      </w:r>
      <w:r w:rsidR="00B625ED" w:rsidRPr="00E52513">
        <w:t xml:space="preserve">other </w:t>
      </w:r>
      <w:r w:rsidRPr="00E52513">
        <w:t xml:space="preserve">evidence that staff had </w:t>
      </w:r>
      <w:r w:rsidR="00B625ED" w:rsidRPr="00E52513">
        <w:t xml:space="preserve">limited </w:t>
      </w:r>
      <w:r w:rsidRPr="00E52513">
        <w:t xml:space="preserve">access to formal orientation and induction processes or assessments of </w:t>
      </w:r>
      <w:r w:rsidR="00B625ED" w:rsidRPr="00E52513">
        <w:t xml:space="preserve">their initial </w:t>
      </w:r>
      <w:r w:rsidRPr="00E52513">
        <w:t xml:space="preserve">competency </w:t>
      </w:r>
      <w:r w:rsidR="00B625ED" w:rsidRPr="00E52513">
        <w:t xml:space="preserve">at the time of recruitment to meet minimum </w:t>
      </w:r>
      <w:r w:rsidRPr="00E52513">
        <w:t>capa</w:t>
      </w:r>
      <w:r w:rsidR="00B625ED" w:rsidRPr="00E52513">
        <w:t>bility</w:t>
      </w:r>
      <w:r w:rsidRPr="00E52513">
        <w:t xml:space="preserve"> levels. Some staff reported undertaking personally</w:t>
      </w:r>
      <w:r w:rsidR="00B625ED" w:rsidRPr="00E52513">
        <w:t xml:space="preserve"> </w:t>
      </w:r>
      <w:r w:rsidRPr="00E52513">
        <w:t>sourced and funded education to develop what they regarded as fundamental skills for their role</w:t>
      </w:r>
      <w:r w:rsidR="004233B4" w:rsidRPr="00E52513">
        <w:t xml:space="preserve"> on</w:t>
      </w:r>
      <w:r w:rsidR="00876EC9" w:rsidRPr="00E52513">
        <w:t>c</w:t>
      </w:r>
      <w:r w:rsidR="004233B4" w:rsidRPr="00E52513">
        <w:t>e they</w:t>
      </w:r>
      <w:r w:rsidR="00876EC9" w:rsidRPr="00E52513">
        <w:t xml:space="preserve"> were familiar with</w:t>
      </w:r>
      <w:r w:rsidR="004233B4" w:rsidRPr="00E52513">
        <w:t xml:space="preserve"> their role</w:t>
      </w:r>
      <w:r w:rsidRPr="00E52513">
        <w:t>.</w:t>
      </w:r>
    </w:p>
    <w:p w14:paraId="624DE533" w14:textId="292A7576" w:rsidR="006A4F83" w:rsidRPr="00E52513" w:rsidRDefault="006A4F83" w:rsidP="006A4F83">
      <w:r w:rsidRPr="00E52513">
        <w:t>The insufficient formal or systematic induction processes suggest that policies for induction and staff training were not being well translated into practice, with the likely consequence that staff would be inconsistent</w:t>
      </w:r>
      <w:r w:rsidR="00B625ED" w:rsidRPr="00E52513">
        <w:t>ly</w:t>
      </w:r>
      <w:r w:rsidRPr="00E52513">
        <w:t xml:space="preserve"> interpret</w:t>
      </w:r>
      <w:r w:rsidR="00B625ED" w:rsidRPr="00E52513">
        <w:t>ing</w:t>
      </w:r>
      <w:r w:rsidRPr="00E52513">
        <w:t xml:space="preserve"> policy and practice</w:t>
      </w:r>
      <w:r w:rsidR="00B625ED" w:rsidRPr="00E52513">
        <w:t xml:space="preserve"> guidelines – leading to idiosyncratic approaches once </w:t>
      </w:r>
      <w:r w:rsidR="004233B4" w:rsidRPr="00E52513">
        <w:t xml:space="preserve">they were </w:t>
      </w:r>
      <w:r w:rsidR="00B625ED" w:rsidRPr="00E52513">
        <w:t>in the field</w:t>
      </w:r>
      <w:r w:rsidRPr="00E52513">
        <w:t xml:space="preserve">. Additionally, without formal induction processes it was </w:t>
      </w:r>
      <w:r w:rsidRPr="00E52513">
        <w:lastRenderedPageBreak/>
        <w:t>unclear if introductions to service protocols such as risk assessments, personal safety training, distress protocols and equipment, and high</w:t>
      </w:r>
      <w:r w:rsidR="00B625ED" w:rsidRPr="00E52513">
        <w:t>-</w:t>
      </w:r>
      <w:r w:rsidRPr="00E52513">
        <w:t>risk environment situational awareness training had been consistently implemented for all staff members.</w:t>
      </w:r>
    </w:p>
    <w:p w14:paraId="615EB5A9" w14:textId="5CE90429" w:rsidR="006A4F83" w:rsidRPr="00E52513" w:rsidRDefault="006A4F83" w:rsidP="006A4F83">
      <w:pPr>
        <w:pStyle w:val="Heading3"/>
      </w:pPr>
      <w:bookmarkStart w:id="99" w:name="_Toc35966353"/>
      <w:r w:rsidRPr="00E52513">
        <w:t>Training and supervision</w:t>
      </w:r>
      <w:bookmarkEnd w:id="99"/>
    </w:p>
    <w:p w14:paraId="096BEFF6" w14:textId="28D201FA" w:rsidR="006A4F83" w:rsidRPr="00E52513" w:rsidRDefault="006A4F83" w:rsidP="006A4F83">
      <w:r w:rsidRPr="00E52513">
        <w:t xml:space="preserve">There was some indication from the </w:t>
      </w:r>
      <w:r w:rsidR="00B625ED" w:rsidRPr="00E52513">
        <w:t xml:space="preserve">qualitative data analysis and a review of policy documentation </w:t>
      </w:r>
      <w:r w:rsidRPr="00E52513">
        <w:t xml:space="preserve">that CRSAs were undertaking relevant training and had </w:t>
      </w:r>
      <w:r w:rsidR="004233B4" w:rsidRPr="00E52513">
        <w:t xml:space="preserve">some </w:t>
      </w:r>
      <w:r w:rsidRPr="00E52513">
        <w:t xml:space="preserve">access to </w:t>
      </w:r>
      <w:r w:rsidR="004233B4" w:rsidRPr="00E52513">
        <w:t xml:space="preserve">both </w:t>
      </w:r>
      <w:r w:rsidRPr="00E52513">
        <w:t>practice</w:t>
      </w:r>
      <w:r w:rsidR="00B625ED" w:rsidRPr="00E52513">
        <w:rPr>
          <w:rStyle w:val="FootnoteReference"/>
        </w:rPr>
        <w:footnoteReference w:id="23"/>
      </w:r>
      <w:r w:rsidRPr="00E52513">
        <w:t xml:space="preserve"> and cultural supervision. However, information from the </w:t>
      </w:r>
      <w:r w:rsidR="00B625ED" w:rsidRPr="00E52513">
        <w:t xml:space="preserve">CRSA </w:t>
      </w:r>
      <w:r w:rsidR="00425EFF" w:rsidRPr="00E52513">
        <w:t>interviews, indicated</w:t>
      </w:r>
      <w:r w:rsidRPr="00E52513">
        <w:t xml:space="preserve"> that these opportunities were irregular rather than available in a </w:t>
      </w:r>
      <w:r w:rsidR="00B625ED" w:rsidRPr="00E52513">
        <w:t xml:space="preserve">structured </w:t>
      </w:r>
      <w:r w:rsidRPr="00E52513">
        <w:t>and systematic manner.</w:t>
      </w:r>
    </w:p>
    <w:p w14:paraId="0CE1627F" w14:textId="77777777" w:rsidR="006A4F83" w:rsidRPr="00E52513" w:rsidRDefault="006A4F83" w:rsidP="006A4F83">
      <w:pPr>
        <w:pStyle w:val="Heading4"/>
      </w:pPr>
      <w:r w:rsidRPr="00E52513">
        <w:t>Appropriate training</w:t>
      </w:r>
    </w:p>
    <w:p w14:paraId="4B230F1F" w14:textId="72517FFE" w:rsidR="001E641C" w:rsidRPr="00E52513" w:rsidRDefault="006A4F83" w:rsidP="006A4F83">
      <w:r w:rsidRPr="00E52513">
        <w:t>As previously discussed, whil</w:t>
      </w:r>
      <w:r w:rsidR="00E179F6" w:rsidRPr="00E52513">
        <w:t>e</w:t>
      </w:r>
      <w:r w:rsidRPr="00E52513">
        <w:t xml:space="preserve"> the service is not a healing or counselling service</w:t>
      </w:r>
      <w:r w:rsidR="001E641C" w:rsidRPr="00E52513">
        <w:t xml:space="preserve"> </w:t>
      </w:r>
      <w:r w:rsidR="001E641C" w:rsidRPr="00E52513">
        <w:rPr>
          <w:i/>
          <w:iCs/>
        </w:rPr>
        <w:t>per se</w:t>
      </w:r>
      <w:r w:rsidRPr="00E52513">
        <w:t>, it was apparent that some CRSAs were undertaking a counselling role with clients</w:t>
      </w:r>
      <w:r w:rsidR="004233B4" w:rsidRPr="00E52513">
        <w:t>,</w:t>
      </w:r>
      <w:r w:rsidRPr="00E52513">
        <w:t xml:space="preserve"> at least during the immediate response but also on an ongoing basis</w:t>
      </w:r>
      <w:r w:rsidR="004233B4" w:rsidRPr="00E52513">
        <w:t xml:space="preserve"> in some cases</w:t>
      </w:r>
      <w:r w:rsidRPr="00E52513">
        <w:t xml:space="preserve"> – far more than would be appropriate to be termed ‘accidental counselling’</w:t>
      </w:r>
      <w:r w:rsidR="001E641C" w:rsidRPr="00E52513">
        <w:rPr>
          <w:rStyle w:val="FootnoteReference"/>
        </w:rPr>
        <w:footnoteReference w:id="24"/>
      </w:r>
      <w:r w:rsidRPr="00E52513">
        <w:t>.</w:t>
      </w:r>
    </w:p>
    <w:p w14:paraId="3D8C6978" w14:textId="77A77CD4" w:rsidR="006A4F83" w:rsidRPr="00E52513" w:rsidRDefault="001E641C" w:rsidP="006A4F83">
      <w:r w:rsidRPr="00E52513">
        <w:t xml:space="preserve">Some CRSAs acknowledged the delicate and fine line between accidental counselling and counselling proper but argued the difficulty of referring clients </w:t>
      </w:r>
      <w:r w:rsidR="007135D9" w:rsidRPr="00E52513">
        <w:t>when</w:t>
      </w:r>
      <w:r w:rsidR="00EF3E4C" w:rsidRPr="00E52513">
        <w:t>: a)</w:t>
      </w:r>
      <w:r w:rsidR="007135D9" w:rsidRPr="00E52513">
        <w:t xml:space="preserve"> </w:t>
      </w:r>
      <w:r w:rsidR="006A4F83" w:rsidRPr="00E52513">
        <w:t xml:space="preserve">sometimes </w:t>
      </w:r>
      <w:r w:rsidRPr="00E52513">
        <w:t xml:space="preserve">they </w:t>
      </w:r>
      <w:r w:rsidR="006A4F83" w:rsidRPr="00E52513">
        <w:t>did not want to speak to other services</w:t>
      </w:r>
      <w:r w:rsidR="007135D9" w:rsidRPr="00E52513">
        <w:t xml:space="preserve"> (for instance</w:t>
      </w:r>
      <w:r w:rsidR="00EF3E4C" w:rsidRPr="00E52513">
        <w:t>,</w:t>
      </w:r>
      <w:r w:rsidR="007135D9" w:rsidRPr="00E52513">
        <w:t xml:space="preserve"> because of a past bad experience)</w:t>
      </w:r>
      <w:r w:rsidR="006A4F83" w:rsidRPr="00E52513">
        <w:t xml:space="preserve">, </w:t>
      </w:r>
      <w:r w:rsidR="007135D9" w:rsidRPr="00E52513">
        <w:t xml:space="preserve">or </w:t>
      </w:r>
      <w:r w:rsidR="00EF3E4C" w:rsidRPr="00E52513">
        <w:t xml:space="preserve">b) </w:t>
      </w:r>
      <w:r w:rsidR="007135D9" w:rsidRPr="00E52513">
        <w:t xml:space="preserve">no service is easily accessible, </w:t>
      </w:r>
      <w:r w:rsidR="006A4F83" w:rsidRPr="00E52513">
        <w:t xml:space="preserve">or </w:t>
      </w:r>
      <w:r w:rsidR="00EF3E4C" w:rsidRPr="00E52513">
        <w:t xml:space="preserve">c) </w:t>
      </w:r>
      <w:r w:rsidR="006A4F83" w:rsidRPr="00E52513">
        <w:t>they could be in denial about needing counselling support:</w:t>
      </w:r>
    </w:p>
    <w:p w14:paraId="4EB6F76F" w14:textId="77777777" w:rsidR="006A4F83" w:rsidRPr="00E52513" w:rsidRDefault="006A4F83" w:rsidP="006A4F83">
      <w:pPr>
        <w:tabs>
          <w:tab w:val="left" w:pos="284"/>
        </w:tabs>
        <w:spacing w:before="120" w:after="240"/>
        <w:ind w:left="283" w:right="283"/>
        <w:rPr>
          <w:i/>
        </w:rPr>
      </w:pPr>
      <w:r w:rsidRPr="00E52513">
        <w:rPr>
          <w:i/>
        </w:rPr>
        <w:t xml:space="preserve">“I initially said no to the counselling – yeah good for the kids but not for me. But I do need it. </w:t>
      </w:r>
      <w:proofErr w:type="gramStart"/>
      <w:r w:rsidRPr="00E52513">
        <w:rPr>
          <w:i/>
        </w:rPr>
        <w:t>Me</w:t>
      </w:r>
      <w:proofErr w:type="gramEnd"/>
      <w:r w:rsidRPr="00E52513">
        <w:rPr>
          <w:i/>
        </w:rPr>
        <w:t xml:space="preserve"> and the kids need counselling. They directed me which way to go.” (Client)</w:t>
      </w:r>
    </w:p>
    <w:p w14:paraId="5C3F4B2B" w14:textId="626EDBD6" w:rsidR="006A4F83" w:rsidRPr="00E52513" w:rsidRDefault="006A4F83" w:rsidP="006A4F83">
      <w:r w:rsidRPr="00E52513">
        <w:t xml:space="preserve">But in some </w:t>
      </w:r>
      <w:r w:rsidR="00425EFF" w:rsidRPr="00E52513">
        <w:t>cases,</w:t>
      </w:r>
      <w:r w:rsidR="007135D9" w:rsidRPr="00E52513">
        <w:t xml:space="preserve"> discussed</w:t>
      </w:r>
      <w:r w:rsidR="00EF3E4C" w:rsidRPr="00E52513">
        <w:t xml:space="preserve"> with CRSAs and/or clients,</w:t>
      </w:r>
      <w:r w:rsidRPr="00E52513">
        <w:t xml:space="preserve"> it was not actually clear </w:t>
      </w:r>
      <w:r w:rsidR="007135D9" w:rsidRPr="00E52513">
        <w:t xml:space="preserve">why </w:t>
      </w:r>
      <w:r w:rsidRPr="00E52513">
        <w:t xml:space="preserve">clients were </w:t>
      </w:r>
      <w:r w:rsidR="007135D9" w:rsidRPr="00E52513">
        <w:t xml:space="preserve">not </w:t>
      </w:r>
      <w:r w:rsidRPr="00E52513">
        <w:t xml:space="preserve">being appropriately referred to counselling support, particularly after </w:t>
      </w:r>
      <w:r w:rsidR="00425EFF" w:rsidRPr="00E52513">
        <w:t>a period</w:t>
      </w:r>
      <w:r w:rsidRPr="00E52513">
        <w:t xml:space="preserve"> had passed and clients </w:t>
      </w:r>
      <w:r w:rsidR="00EF3E4C" w:rsidRPr="00E52513">
        <w:t xml:space="preserve">still </w:t>
      </w:r>
      <w:r w:rsidRPr="00E52513">
        <w:t>reported calling CRSAs to just ‘talk‘.</w:t>
      </w:r>
    </w:p>
    <w:p w14:paraId="03339567" w14:textId="3BA83114" w:rsidR="006A4F83" w:rsidRPr="00E52513" w:rsidRDefault="006A4F83" w:rsidP="006A4F83">
      <w:r w:rsidRPr="00E52513">
        <w:t xml:space="preserve">Given this </w:t>
      </w:r>
      <w:r w:rsidR="007135D9" w:rsidRPr="00E52513">
        <w:rPr>
          <w:i/>
          <w:iCs/>
        </w:rPr>
        <w:t>de facto</w:t>
      </w:r>
      <w:r w:rsidR="007135D9" w:rsidRPr="00E52513">
        <w:t xml:space="preserve"> </w:t>
      </w:r>
      <w:r w:rsidRPr="00E52513">
        <w:t>counselling role that CRSAs appeared to be undertaking, there was limited evidence that CRSAs were sufficiently trained or supervised to provide counselling support. At the time of the evaluation, at least two CRSAs interviewed were undertaking a Diploma or Certificate IV level qualification in Mental Health; another CRSA already held an appropriate tertiary level qualification.</w:t>
      </w:r>
    </w:p>
    <w:p w14:paraId="6CF74FA8" w14:textId="6C2AB5E1" w:rsidR="006A4F83" w:rsidRPr="00E52513" w:rsidRDefault="007135D9" w:rsidP="006A4F83">
      <w:pPr>
        <w:pStyle w:val="Heading4"/>
      </w:pPr>
      <w:r w:rsidRPr="00E52513">
        <w:t xml:space="preserve">Practice </w:t>
      </w:r>
      <w:r w:rsidR="006A4F83" w:rsidRPr="00E52513">
        <w:t>supervision</w:t>
      </w:r>
    </w:p>
    <w:p w14:paraId="66B7C58F" w14:textId="3E6FA535" w:rsidR="006A4F83" w:rsidRPr="00E52513" w:rsidRDefault="006A4F83" w:rsidP="006A4F83">
      <w:r w:rsidRPr="00E52513">
        <w:t xml:space="preserve">Interviews </w:t>
      </w:r>
      <w:r w:rsidR="007135D9" w:rsidRPr="00E52513">
        <w:t xml:space="preserve">with CRSAs and management </w:t>
      </w:r>
      <w:r w:rsidRPr="00E52513">
        <w:t xml:space="preserve">confirmed that clinical supervision delivered by an Indigenous clinical psychologist via a monthly Zoom video conference was available to all CRSAs. It was reported </w:t>
      </w:r>
      <w:r w:rsidR="00EF3E4C" w:rsidRPr="00E52513">
        <w:t>in</w:t>
      </w:r>
      <w:r w:rsidRPr="00E52513">
        <w:t xml:space="preserve"> the interviews that the supervision model was not intended to be individual clinical supervision and was primarily an informal monthly </w:t>
      </w:r>
      <w:r w:rsidR="007135D9" w:rsidRPr="00E52513">
        <w:t>“</w:t>
      </w:r>
      <w:r w:rsidRPr="00E52513">
        <w:rPr>
          <w:i/>
          <w:iCs/>
        </w:rPr>
        <w:t>catch up</w:t>
      </w:r>
      <w:r w:rsidR="007135D9" w:rsidRPr="00E52513">
        <w:rPr>
          <w:i/>
          <w:iCs/>
        </w:rPr>
        <w:t>”</w:t>
      </w:r>
      <w:r w:rsidRPr="00E52513">
        <w:t xml:space="preserve"> in which the ’big issues’ are discussed. </w:t>
      </w:r>
      <w:r w:rsidRPr="00E52513">
        <w:lastRenderedPageBreak/>
        <w:t>Common discussion topics were reported to include self-care and setting boundaries, the issue of ‘case closure’ and the associated need to prevent dependency developing in the client relationship.</w:t>
      </w:r>
    </w:p>
    <w:p w14:paraId="3322F483" w14:textId="5C21AD08" w:rsidR="006A4F83" w:rsidRPr="00E52513" w:rsidRDefault="006A4F83" w:rsidP="006A4F83">
      <w:r w:rsidRPr="00E52513">
        <w:t xml:space="preserve">While these critical issues were reported to be raised by CRSAs, it was not evident from interviews with CRSAs, clients </w:t>
      </w:r>
      <w:r w:rsidR="00EF3E4C" w:rsidRPr="00E52513">
        <w:t>(n</w:t>
      </w:r>
      <w:r w:rsidRPr="00E52513">
        <w:t>or analysis of the ORS data</w:t>
      </w:r>
      <w:r w:rsidR="00EF3E4C" w:rsidRPr="00E52513">
        <w:t>)</w:t>
      </w:r>
      <w:r w:rsidRPr="00E52513">
        <w:t xml:space="preserve"> that the current level or format of clinical supervision was sufficient to assist CRSAs to sustainably manage their role. The incidence of ‘accidental counselling’ described above was one example </w:t>
      </w:r>
      <w:r w:rsidR="00EF3E4C" w:rsidRPr="00E52513">
        <w:t xml:space="preserve">of CRSA practice </w:t>
      </w:r>
      <w:r w:rsidRPr="00E52513">
        <w:t>that the current model of clinical supervision was not sufficient to address. It was also indicated that some CRSAs were ‘holding onto</w:t>
      </w:r>
      <w:r w:rsidR="007135D9" w:rsidRPr="00E52513">
        <w:t>’</w:t>
      </w:r>
      <w:r w:rsidRPr="00E52513">
        <w:t xml:space="preserve"> clients - even in NICRS offices with multiple FTEs where there was potentially more capacity to implement a team approach - rather than making appropriate referrals. This example points to a possibly insufficient level of guidance and supervision</w:t>
      </w:r>
      <w:r w:rsidR="00EF3E4C" w:rsidRPr="00E52513">
        <w:t xml:space="preserve"> within and between CRSA </w:t>
      </w:r>
      <w:proofErr w:type="gramStart"/>
      <w:r w:rsidR="00EF3E4C" w:rsidRPr="00E52513">
        <w:t>practice</w:t>
      </w:r>
      <w:proofErr w:type="gramEnd"/>
      <w:r w:rsidRPr="00E52513">
        <w:t>.</w:t>
      </w:r>
    </w:p>
    <w:p w14:paraId="5F0B1F34" w14:textId="40DC6B6F" w:rsidR="006A4F83" w:rsidRPr="00E52513" w:rsidRDefault="006A4F83" w:rsidP="006A4F83">
      <w:r w:rsidRPr="00E52513">
        <w:t xml:space="preserve">A lack of formal or regular supervision processes was </w:t>
      </w:r>
      <w:r w:rsidR="007135D9" w:rsidRPr="00E52513">
        <w:t>indicated by</w:t>
      </w:r>
      <w:r w:rsidRPr="00E52513">
        <w:t xml:space="preserve"> the reported expectation that CRSAs were responsible for seeking support if they needed to supplement the monthly </w:t>
      </w:r>
      <w:proofErr w:type="spellStart"/>
      <w:r w:rsidR="00200F1C" w:rsidRPr="00E52513">
        <w:t>catchups</w:t>
      </w:r>
      <w:proofErr w:type="spellEnd"/>
      <w:r w:rsidRPr="00E52513">
        <w:t>, rather than formal ‘check-in’ processes being in place. Additionally, it was not evident that CRSAs had access to structured case review processes to inform, assess or justify case closures or reductions in contact requirements.</w:t>
      </w:r>
    </w:p>
    <w:p w14:paraId="48B8F105" w14:textId="12F7F063" w:rsidR="006A4F83" w:rsidRPr="00E52513" w:rsidRDefault="006A4F83" w:rsidP="006A4F83">
      <w:r w:rsidRPr="00E52513">
        <w:t xml:space="preserve">It was also reported that it was assumed </w:t>
      </w:r>
      <w:r w:rsidR="007135D9" w:rsidRPr="00E52513">
        <w:t xml:space="preserve">(by managers) </w:t>
      </w:r>
      <w:r w:rsidRPr="00E52513">
        <w:t xml:space="preserve">that Coordinators were providing the direct operational supervision and personal </w:t>
      </w:r>
      <w:r w:rsidR="00A810C9" w:rsidRPr="00E52513">
        <w:t xml:space="preserve">practice </w:t>
      </w:r>
      <w:r w:rsidRPr="00E52513">
        <w:t xml:space="preserve">supervision. And, given that CRSAs were not raising significant issues, it was also assumed that Coordinators were conducting supervision effectively. However, neither of the current Coordinators interviewed, nor the previous Coordinators, reported any training or procedures being provided that would facilitate </w:t>
      </w:r>
      <w:r w:rsidR="00A810C9" w:rsidRPr="00E52513">
        <w:t xml:space="preserve">their competence to undertake practice </w:t>
      </w:r>
      <w:r w:rsidRPr="00E52513">
        <w:t>supervision for staff.</w:t>
      </w:r>
    </w:p>
    <w:p w14:paraId="7A033291" w14:textId="77777777" w:rsidR="006A4F83" w:rsidRPr="00E52513" w:rsidRDefault="006A4F83" w:rsidP="006A4F83">
      <w:pPr>
        <w:pStyle w:val="Heading4"/>
      </w:pPr>
      <w:r w:rsidRPr="00E52513">
        <w:t>Cultural supervision</w:t>
      </w:r>
    </w:p>
    <w:p w14:paraId="67B7D823" w14:textId="0A72FAA3" w:rsidR="006A4F83" w:rsidRPr="00E52513" w:rsidRDefault="006A4F83" w:rsidP="006A4F83">
      <w:r w:rsidRPr="00E52513">
        <w:t>Cultural supervision is a key e</w:t>
      </w:r>
      <w:r w:rsidR="001D3238" w:rsidRPr="00E52513">
        <w:t>lement both of the NIC</w:t>
      </w:r>
      <w:r w:rsidRPr="00E52513">
        <w:t xml:space="preserve">RS </w:t>
      </w:r>
      <w:r w:rsidR="00EF3E4C" w:rsidRPr="00E52513">
        <w:t xml:space="preserve">program </w:t>
      </w:r>
      <w:r w:rsidRPr="00E52513">
        <w:t>rationale</w:t>
      </w:r>
      <w:r w:rsidR="00EF3E4C" w:rsidRPr="00E52513">
        <w:t xml:space="preserve"> and its </w:t>
      </w:r>
      <w:r w:rsidR="00E03911" w:rsidRPr="00E52513">
        <w:t>m</w:t>
      </w:r>
      <w:r w:rsidR="00EF3E4C" w:rsidRPr="00E52513">
        <w:t xml:space="preserve">odel of </w:t>
      </w:r>
      <w:r w:rsidR="00E03911" w:rsidRPr="00E52513">
        <w:t>c</w:t>
      </w:r>
      <w:r w:rsidR="00EF3E4C" w:rsidRPr="00E52513">
        <w:t>are</w:t>
      </w:r>
      <w:r w:rsidRPr="00E52513">
        <w:t>. A form of cultural supervision is provided to CRSAs via a Cultural Adviser role</w:t>
      </w:r>
      <w:r w:rsidR="00EF3E4C" w:rsidRPr="00E52513">
        <w:t>,</w:t>
      </w:r>
      <w:r w:rsidRPr="00E52513">
        <w:t xml:space="preserve"> which originated in WA. This was recently supplemented by an additional QLD-based role. No position description existed for the initial Cultural Adviser </w:t>
      </w:r>
      <w:r w:rsidR="00425EFF" w:rsidRPr="00E52513">
        <w:t>position,</w:t>
      </w:r>
      <w:r w:rsidRPr="00E52513">
        <w:t xml:space="preserve"> but a brief and quite non-specific description had been prepared for the second role</w:t>
      </w:r>
      <w:r w:rsidR="00EF3E4C" w:rsidRPr="00E52513">
        <w:t xml:space="preserve"> (see Appendix 5)</w:t>
      </w:r>
      <w:r w:rsidRPr="00E52513">
        <w:t>.</w:t>
      </w:r>
    </w:p>
    <w:p w14:paraId="12EBB379" w14:textId="4CCDCFB2" w:rsidR="006A4F83" w:rsidRPr="00E52513" w:rsidRDefault="006A4F83" w:rsidP="006A4F83">
      <w:r w:rsidRPr="00E52513">
        <w:t>The Cultural Adviser role was regarded as critical by CRSAs and Coordinators</w:t>
      </w:r>
      <w:r w:rsidR="00F4194A" w:rsidRPr="00E52513">
        <w:t>, the majority of whom were Aboriginal people themselves</w:t>
      </w:r>
      <w:r w:rsidRPr="00E52513">
        <w:t xml:space="preserve">. However, these staff members reported that there was a high level of concern that general cultural governance and advice </w:t>
      </w:r>
      <w:r w:rsidR="00F4194A" w:rsidRPr="00E52513">
        <w:t xml:space="preserve">for service operation </w:t>
      </w:r>
      <w:r w:rsidRPr="00E52513">
        <w:t xml:space="preserve">was </w:t>
      </w:r>
      <w:r w:rsidR="00F4194A" w:rsidRPr="00E52513">
        <w:t>a</w:t>
      </w:r>
      <w:r w:rsidRPr="00E52513">
        <w:t xml:space="preserve"> greater need, compared with </w:t>
      </w:r>
      <w:r w:rsidR="00F4194A" w:rsidRPr="00E52513">
        <w:t xml:space="preserve">the provision of </w:t>
      </w:r>
      <w:r w:rsidRPr="00E52513">
        <w:t>specific cultural practice advice and local understanding for individual clients, families and communities</w:t>
      </w:r>
      <w:r w:rsidR="00F4194A" w:rsidRPr="00E52513">
        <w:t>. This interview data suggested that s</w:t>
      </w:r>
      <w:r w:rsidRPr="00E52513">
        <w:t>ome re-alignment of effort would be helpful.</w:t>
      </w:r>
    </w:p>
    <w:p w14:paraId="7750ECFD" w14:textId="3876B00E" w:rsidR="006A4F83" w:rsidRPr="00E52513" w:rsidRDefault="006A4F83" w:rsidP="006A4F83">
      <w:r w:rsidRPr="00E52513">
        <w:t>It was evident that the Cultural Adviser role activity was primarily focussed on th</w:t>
      </w:r>
      <w:r w:rsidR="00F4194A" w:rsidRPr="00E52513">
        <w:t>e</w:t>
      </w:r>
      <w:r w:rsidRPr="00E52513">
        <w:t xml:space="preserve"> second arm of </w:t>
      </w:r>
      <w:r w:rsidR="00F4194A" w:rsidRPr="00E52513">
        <w:t xml:space="preserve">cultural </w:t>
      </w:r>
      <w:r w:rsidRPr="00E52513">
        <w:t>input</w:t>
      </w:r>
      <w:r w:rsidR="00F4194A" w:rsidRPr="00E52513">
        <w:t xml:space="preserve"> as described above and</w:t>
      </w:r>
      <w:r w:rsidRPr="00E52513">
        <w:t xml:space="preserve"> reported to be available to CRSAs on an ‘as needed’ basis. Staff reported </w:t>
      </w:r>
      <w:r w:rsidRPr="00E52513">
        <w:rPr>
          <w:i/>
          <w:iCs/>
        </w:rPr>
        <w:t>ad hoc</w:t>
      </w:r>
      <w:r w:rsidRPr="00E52513">
        <w:t xml:space="preserve"> engagement with the Cultural Advisers, based on either their personal connect</w:t>
      </w:r>
      <w:r w:rsidR="006B4E5D" w:rsidRPr="00E52513">
        <w:t>ions and or their needs. Some C</w:t>
      </w:r>
      <w:r w:rsidRPr="00E52513">
        <w:t>R</w:t>
      </w:r>
      <w:r w:rsidR="006B4E5D" w:rsidRPr="00E52513">
        <w:t>S</w:t>
      </w:r>
      <w:r w:rsidRPr="00E52513">
        <w:t xml:space="preserve">As reported high levels of satisfaction with this process, whereas others tended </w:t>
      </w:r>
      <w:r w:rsidR="00F4194A" w:rsidRPr="00E52513">
        <w:t xml:space="preserve">instead </w:t>
      </w:r>
      <w:r w:rsidRPr="00E52513">
        <w:t>to rely on their own personal cultural resources and Elders to inform cultural practice and understanding.</w:t>
      </w:r>
    </w:p>
    <w:p w14:paraId="76A0A369" w14:textId="5CF544B5" w:rsidR="006A4F83" w:rsidRPr="00E52513" w:rsidRDefault="006A4F83" w:rsidP="006A4F83">
      <w:r w:rsidRPr="00E52513">
        <w:t xml:space="preserve">The aspect of </w:t>
      </w:r>
      <w:proofErr w:type="spellStart"/>
      <w:r w:rsidR="00F4194A" w:rsidRPr="00E52513">
        <w:t>Thirrili</w:t>
      </w:r>
      <w:proofErr w:type="spellEnd"/>
      <w:r w:rsidR="00F4194A" w:rsidRPr="00E52513">
        <w:t xml:space="preserve"> as an organisation assuring </w:t>
      </w:r>
      <w:r w:rsidRPr="00E52513">
        <w:t>Cultural Safety in the workplace or in practice deliberations was not raised at all</w:t>
      </w:r>
      <w:r w:rsidR="00F4194A" w:rsidRPr="00E52513">
        <w:t xml:space="preserve"> in interviews</w:t>
      </w:r>
      <w:r w:rsidRPr="00E52513">
        <w:t>. This would be a key area of imp</w:t>
      </w:r>
      <w:r w:rsidR="001D3238" w:rsidRPr="00E52513">
        <w:t>rovement</w:t>
      </w:r>
      <w:r w:rsidR="00F4194A" w:rsidRPr="00E52513">
        <w:t>,</w:t>
      </w:r>
      <w:r w:rsidR="001D3238" w:rsidRPr="00E52513">
        <w:t xml:space="preserve"> to </w:t>
      </w:r>
      <w:r w:rsidR="001D3238" w:rsidRPr="00E52513">
        <w:lastRenderedPageBreak/>
        <w:t>incorporate into NIC</w:t>
      </w:r>
      <w:r w:rsidRPr="00E52513">
        <w:t xml:space="preserve">RS cultural supervision arrangements in parallel with </w:t>
      </w:r>
      <w:r w:rsidR="00F4194A" w:rsidRPr="00E52513">
        <w:t xml:space="preserve">(but complementary to) </w:t>
      </w:r>
      <w:r w:rsidRPr="00E52513">
        <w:t>clinical supervision and support</w:t>
      </w:r>
      <w:r w:rsidR="00F4194A" w:rsidRPr="00E52513">
        <w:t xml:space="preserve"> actions</w:t>
      </w:r>
      <w:r w:rsidRPr="00E52513">
        <w:t>.</w:t>
      </w:r>
      <w:r w:rsidR="00F4194A" w:rsidRPr="00E52513">
        <w:t xml:space="preserve"> </w:t>
      </w:r>
      <w:r w:rsidRPr="00E52513">
        <w:t xml:space="preserve">An effective combination of these two </w:t>
      </w:r>
      <w:r w:rsidR="00F4194A" w:rsidRPr="00E52513">
        <w:t xml:space="preserve">distinct and important </w:t>
      </w:r>
      <w:r w:rsidRPr="00E52513">
        <w:t xml:space="preserve">aspects of </w:t>
      </w:r>
      <w:r w:rsidR="00F4194A" w:rsidRPr="00E52513">
        <w:t xml:space="preserve">staff </w:t>
      </w:r>
      <w:r w:rsidRPr="00E52513">
        <w:t>supervision is essential, given the diversity of cultural practice, nuanced cultural relationships and widely differing and specific cultural needs of families and communities in trauma</w:t>
      </w:r>
      <w:r w:rsidR="00F4194A" w:rsidRPr="00E52513">
        <w:t xml:space="preserve"> encountered by NICRS staff members</w:t>
      </w:r>
      <w:r w:rsidRPr="00E52513">
        <w:t>.</w:t>
      </w:r>
    </w:p>
    <w:p w14:paraId="0BA9FCF1" w14:textId="4E3FD331" w:rsidR="006A4F83" w:rsidRPr="00E52513" w:rsidRDefault="006A4F83" w:rsidP="006A4F83">
      <w:r w:rsidRPr="00E52513">
        <w:t xml:space="preserve">The nature and level of </w:t>
      </w:r>
      <w:r w:rsidR="00A810C9" w:rsidRPr="00E52513">
        <w:t xml:space="preserve">practice </w:t>
      </w:r>
      <w:r w:rsidRPr="00E52513">
        <w:t>and cultural supervision provided to CRSAs remains unclear and cannot be regarded as being delivered in a systematic or organised manner.</w:t>
      </w:r>
    </w:p>
    <w:bookmarkEnd w:id="95"/>
    <w:p w14:paraId="410E14A0" w14:textId="77777777" w:rsidR="00F925B9" w:rsidRPr="00E52513" w:rsidRDefault="00F925B9">
      <w:pPr>
        <w:spacing w:line="276" w:lineRule="auto"/>
        <w:rPr>
          <w:rFonts w:ascii="Lato Medium" w:eastAsiaTheme="majorEastAsia" w:hAnsi="Lato Medium"/>
          <w:b/>
          <w:bCs/>
          <w:color w:val="0050B5"/>
          <w:sz w:val="40"/>
          <w:szCs w:val="28"/>
        </w:rPr>
      </w:pPr>
      <w:r w:rsidRPr="00E52513">
        <w:br w:type="page"/>
      </w:r>
    </w:p>
    <w:p w14:paraId="45D8AA1B" w14:textId="4FF0B0D6" w:rsidR="00391503" w:rsidRDefault="00391503" w:rsidP="00391503">
      <w:pPr>
        <w:pStyle w:val="Heading1"/>
      </w:pPr>
      <w:bookmarkStart w:id="100" w:name="_Toc35966355"/>
      <w:bookmarkStart w:id="101" w:name="_Toc36482277"/>
      <w:bookmarkStart w:id="102" w:name="_Toc54966651"/>
      <w:r w:rsidRPr="00E52513">
        <w:lastRenderedPageBreak/>
        <w:t>Costs of the service and value</w:t>
      </w:r>
      <w:r w:rsidR="00AB5FEA" w:rsidRPr="00E52513">
        <w:t xml:space="preserve"> </w:t>
      </w:r>
      <w:r w:rsidRPr="00E52513">
        <w:t>for money</w:t>
      </w:r>
      <w:r w:rsidRPr="00E52513">
        <w:rPr>
          <w:rStyle w:val="FootnoteReference"/>
        </w:rPr>
        <w:footnoteReference w:id="25"/>
      </w:r>
      <w:bookmarkEnd w:id="100"/>
      <w:bookmarkEnd w:id="101"/>
      <w:bookmarkEnd w:id="102"/>
    </w:p>
    <w:p w14:paraId="5FBCE8EB" w14:textId="6D405DC7" w:rsidR="00152634" w:rsidRPr="00152634" w:rsidRDefault="00152634" w:rsidP="00A42F91">
      <w:pPr>
        <w:shd w:val="clear" w:color="auto" w:fill="FDE9D9" w:themeFill="accent6" w:themeFillTint="33"/>
      </w:pPr>
      <w:r w:rsidRPr="00E52513">
        <w:rPr>
          <w:i/>
          <w:iCs/>
        </w:rPr>
        <w:t xml:space="preserve">A </w:t>
      </w:r>
      <w:proofErr w:type="spellStart"/>
      <w:r w:rsidRPr="00E52513">
        <w:rPr>
          <w:i/>
          <w:iCs/>
        </w:rPr>
        <w:t>VfM</w:t>
      </w:r>
      <w:proofErr w:type="spellEnd"/>
      <w:r w:rsidRPr="00E52513">
        <w:rPr>
          <w:i/>
          <w:iCs/>
        </w:rPr>
        <w:t xml:space="preserve"> analysis was undertaken by HMA by looking at the costs of service delivery in the first three years of operation. The analysis indicated that ‘direct costs’, such as salaries, was found to be the most significant area of cost for the service. The analysis also provided some indication that costs differed by type of incidents and types of support, with ‘incidents with evidence of clear activity’ and ‘client support’ being the most significant costs for the service. However, without routinely collected data on outcomes of the program, it was not possible to accurately assess the </w:t>
      </w:r>
      <w:proofErr w:type="spellStart"/>
      <w:r w:rsidRPr="00E52513">
        <w:rPr>
          <w:i/>
          <w:iCs/>
        </w:rPr>
        <w:t>VfM</w:t>
      </w:r>
      <w:proofErr w:type="spellEnd"/>
      <w:r w:rsidRPr="00E52513">
        <w:rPr>
          <w:i/>
          <w:iCs/>
        </w:rPr>
        <w:t xml:space="preserve"> of the service.</w:t>
      </w:r>
    </w:p>
    <w:p w14:paraId="6B18B116" w14:textId="40DAF1E1" w:rsidR="005E5EA2" w:rsidRDefault="00391503" w:rsidP="00A42F91">
      <w:pPr>
        <w:pStyle w:val="Heading2"/>
      </w:pPr>
      <w:bookmarkStart w:id="103" w:name="_Toc54966652"/>
      <w:r w:rsidRPr="00E52513">
        <w:t>Total costs</w:t>
      </w:r>
      <w:bookmarkEnd w:id="103"/>
    </w:p>
    <w:p w14:paraId="5F8FB523" w14:textId="77777777" w:rsidR="00A42F91" w:rsidRDefault="0052038D" w:rsidP="00A42F91">
      <w:pPr>
        <w:spacing w:after="240"/>
      </w:pPr>
      <w:r w:rsidRPr="00E52513">
        <w:t>The total budget the NICRS received for its first three years of service delivery was $10 million (from December 2016 until December</w:t>
      </w:r>
      <w:r w:rsidR="00E13CF0" w:rsidRPr="00E52513">
        <w:t xml:space="preserve"> </w:t>
      </w:r>
      <w:r w:rsidRPr="00E52513">
        <w:t xml:space="preserve">2019 and extended to March 2020). For the 2018-19 financial year, HMA (2020) estimated the total expenditure to be $3,287,954. They broke this total expenditure down into three categories - ‘direct’ costs, ‘support’ costs, and ‘indirect’ costs, as shown in Figure </w:t>
      </w:r>
      <w:r w:rsidR="000F66D0" w:rsidRPr="00E52513">
        <w:t>23</w:t>
      </w:r>
      <w:r w:rsidRPr="00E52513">
        <w:t>. Direct costs were found to be the most significant cost category (69.6%).</w:t>
      </w:r>
    </w:p>
    <w:p w14:paraId="4CB1277F" w14:textId="2F22A7E4" w:rsidR="00A42F91" w:rsidRPr="00E52513" w:rsidRDefault="00A42F91" w:rsidP="00A42F91">
      <w:pPr>
        <w:spacing w:after="240"/>
        <w:jc w:val="center"/>
      </w:pPr>
      <w:r>
        <w:rPr>
          <w:noProof/>
          <w:lang w:eastAsia="en-AU"/>
        </w:rPr>
        <w:drawing>
          <wp:inline distT="0" distB="0" distL="0" distR="0" wp14:anchorId="35CD3F4B" wp14:editId="77616836">
            <wp:extent cx="3784600" cy="3784600"/>
            <wp:effectExtent l="0" t="0" r="6350" b="6350"/>
            <wp:docPr id="215" name="Picture 215" descr="Pie chart - 2018-19 NICRS expenditure by type of cost&#10;&#10;Direct costs - $2,287,040; support costs - $307,094; indirect costs - $693,820" title="Figure 23: Distribution of total NICRS expenditure in FY2018-19 by type of cost (Source: HM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ie chart - 2018-19 NICRS expenditure by type of cost&#10;&#10;Direct costs - $2,287,040; support costs - $307,094; indirect costs - $693,820"/>
                    <pic:cNvPicPr/>
                  </pic:nvPicPr>
                  <pic:blipFill>
                    <a:blip r:embed="rId36">
                      <a:extLst>
                        <a:ext uri="{28A0092B-C50C-407E-A947-70E740481C1C}">
                          <a14:useLocalDpi xmlns:a14="http://schemas.microsoft.com/office/drawing/2010/main" val="0"/>
                        </a:ext>
                      </a:extLst>
                    </a:blip>
                    <a:stretch>
                      <a:fillRect/>
                    </a:stretch>
                  </pic:blipFill>
                  <pic:spPr>
                    <a:xfrm>
                      <a:off x="0" y="0"/>
                      <a:ext cx="3784600" cy="3784600"/>
                    </a:xfrm>
                    <a:prstGeom prst="rect">
                      <a:avLst/>
                    </a:prstGeom>
                  </pic:spPr>
                </pic:pic>
              </a:graphicData>
            </a:graphic>
          </wp:inline>
        </w:drawing>
      </w:r>
    </w:p>
    <w:p w14:paraId="596BDDBE" w14:textId="6D5CE918" w:rsidR="0052038D" w:rsidRPr="00E52513" w:rsidRDefault="0052038D" w:rsidP="0052038D">
      <w:r w:rsidRPr="00E52513">
        <w:t xml:space="preserve">Direct costs were defined as being salaries and other costs (e.g. systems development) directly associated with </w:t>
      </w:r>
      <w:r w:rsidRPr="00E52513">
        <w:rPr>
          <w:u w:val="single"/>
        </w:rPr>
        <w:t>delivering</w:t>
      </w:r>
      <w:r w:rsidRPr="00E52513">
        <w:t xml:space="preserve"> services. So</w:t>
      </w:r>
      <w:r w:rsidR="00E13CF0" w:rsidRPr="00E52513">
        <w:t>,</w:t>
      </w:r>
      <w:r w:rsidRPr="00E52513">
        <w:t xml:space="preserve"> for instance, CRSA salaries and their immediate supervisors were included in ‘direct’ costs. </w:t>
      </w:r>
      <w:r w:rsidR="00876EC9" w:rsidRPr="00E52513">
        <w:t xml:space="preserve">Only part of the </w:t>
      </w:r>
      <w:r w:rsidRPr="00E52513">
        <w:t>cultural advisor and manager salaries were</w:t>
      </w:r>
      <w:r w:rsidR="00876EC9" w:rsidRPr="00E52513">
        <w:t xml:space="preserve"> included as </w:t>
      </w:r>
      <w:r w:rsidRPr="00E52513">
        <w:t>direct</w:t>
      </w:r>
      <w:r w:rsidR="00876EC9" w:rsidRPr="00E52513">
        <w:t xml:space="preserve"> costs, but parts of these roles were also included in support and indirect costs</w:t>
      </w:r>
      <w:r w:rsidRPr="00E52513">
        <w:t>.</w:t>
      </w:r>
    </w:p>
    <w:p w14:paraId="1A26A4EE" w14:textId="77777777" w:rsidR="0052038D" w:rsidRPr="00E52513" w:rsidRDefault="0052038D" w:rsidP="0052038D">
      <w:r w:rsidRPr="00E52513">
        <w:lastRenderedPageBreak/>
        <w:t xml:space="preserve">Support costs were defined as those costs that </w:t>
      </w:r>
      <w:r w:rsidRPr="00E52513">
        <w:rPr>
          <w:u w:val="single"/>
        </w:rPr>
        <w:t>facilitated</w:t>
      </w:r>
      <w:r w:rsidRPr="00E52513">
        <w:t xml:space="preserve"> direct service delivery, such as professional development, cultural advice and data collection support.</w:t>
      </w:r>
    </w:p>
    <w:p w14:paraId="57920F4F" w14:textId="3C4A6AE1" w:rsidR="0052038D" w:rsidRPr="00E52513" w:rsidRDefault="0052038D" w:rsidP="0052038D">
      <w:r w:rsidRPr="00E52513">
        <w:t>Indirect costs were primarily defined as synonymous with standard overheads, including management, finance / accounts and communications related salaries plus office related costs (rent, utilities) in six sites and support for governance arrangements (</w:t>
      </w:r>
      <w:proofErr w:type="spellStart"/>
      <w:r w:rsidRPr="00E52513">
        <w:t>Thirrili</w:t>
      </w:r>
      <w:proofErr w:type="spellEnd"/>
      <w:r w:rsidRPr="00E52513">
        <w:t xml:space="preserve"> Board, NICRS Reference Group, etc.). Indirect costs account for 21.1% of total costs. This is a little higher than conventionally accepted levels (namely 15%; see Brewer, 2018) but within the range of administrative cost proportions for non-government organisations. In any case, the use of an ‘overheads’ ratio to total costs is considered controversial (Brandt, 2013).</w:t>
      </w:r>
    </w:p>
    <w:p w14:paraId="1962232B" w14:textId="54D579A9" w:rsidR="0052038D" w:rsidRPr="00E52513" w:rsidRDefault="0052038D" w:rsidP="00152634">
      <w:pPr>
        <w:pStyle w:val="Heading2"/>
      </w:pPr>
      <w:bookmarkStart w:id="104" w:name="_Toc54966653"/>
      <w:r w:rsidRPr="00E52513">
        <w:t>Unit cost per incident</w:t>
      </w:r>
      <w:bookmarkEnd w:id="104"/>
    </w:p>
    <w:p w14:paraId="64EBD773" w14:textId="77777777" w:rsidR="0052038D" w:rsidRPr="00E52513" w:rsidRDefault="0052038D" w:rsidP="0052038D">
      <w:r w:rsidRPr="00E52513">
        <w:t>As noted in an earlier section, widely varied CRSA and other activity accompanies individual incidents, with CRSA hours in particular ranging from less than one hour to over 300 hours.</w:t>
      </w:r>
    </w:p>
    <w:p w14:paraId="46B544C6" w14:textId="0641028E" w:rsidR="0052038D" w:rsidRPr="00E52513" w:rsidRDefault="0052038D" w:rsidP="0052038D">
      <w:r w:rsidRPr="00E52513">
        <w:t xml:space="preserve">HMA (2020) tried to conceptualise this level of variation from a cost perspective by classifying incidents into three broad categories: ‘Incidents with evidence of clear activity’, ‘Incidents classified as out of scope’, and ‘In-scope incidents where no action was taken’. All three of these incident categories attracted an average unit cost - $25,349, $1,567 and </w:t>
      </w:r>
      <w:r w:rsidR="00315C77" w:rsidRPr="00E52513">
        <w:t>$5,426,</w:t>
      </w:r>
      <w:r w:rsidRPr="00E52513">
        <w:t xml:space="preserve"> respectively. In Table </w:t>
      </w:r>
      <w:r w:rsidR="000F66D0" w:rsidRPr="00E52513">
        <w:t>8</w:t>
      </w:r>
      <w:r w:rsidRPr="00E52513">
        <w:t>, a further breakdown of costs within these broad categories is provided.</w:t>
      </w:r>
    </w:p>
    <w:p w14:paraId="331C2C48" w14:textId="1E9CD87A" w:rsidR="0052038D" w:rsidRPr="00E52513" w:rsidRDefault="0052038D" w:rsidP="0052038D">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8</w:t>
      </w:r>
      <w:r w:rsidR="00D97F39">
        <w:rPr>
          <w:noProof/>
        </w:rPr>
        <w:fldChar w:fldCharType="end"/>
      </w:r>
      <w:r w:rsidRPr="00E52513">
        <w:t>: Estimated average cost of different types of incident (Source, HMA, 2020)</w:t>
      </w:r>
    </w:p>
    <w:tbl>
      <w:tblPr>
        <w:tblStyle w:val="MediumGrid3-Accent6"/>
        <w:tblW w:w="5000" w:type="pct"/>
        <w:jc w:val="center"/>
        <w:tblLook w:val="0620" w:firstRow="1" w:lastRow="0" w:firstColumn="0" w:lastColumn="0" w:noHBand="1" w:noVBand="1"/>
        <w:tblCaption w:val="Table of estimated cost of different types of incident"/>
        <w:tblDescription w:val="Incidents with evidence of clear activities: limited initial input/no ongoing support - $2,873; extensive initial input/no ongoing support - $8,524; limited initial input/limited ongoing support provided - $6,085; limited initial input/extensive ongoing s"/>
      </w:tblPr>
      <w:tblGrid>
        <w:gridCol w:w="2543"/>
        <w:gridCol w:w="5102"/>
        <w:gridCol w:w="2081"/>
      </w:tblGrid>
      <w:tr w:rsidR="0052038D" w:rsidRPr="00E52513" w14:paraId="49E91139"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1307" w:type="pct"/>
          </w:tcPr>
          <w:p w14:paraId="371CE53B" w14:textId="3FD1A77D" w:rsidR="0052038D" w:rsidRPr="00A42F91" w:rsidRDefault="0052038D" w:rsidP="004F0F96">
            <w:pPr>
              <w:spacing w:after="120"/>
              <w:rPr>
                <w:b w:val="0"/>
                <w:bCs w:val="0"/>
                <w:szCs w:val="22"/>
              </w:rPr>
            </w:pPr>
            <w:r w:rsidRPr="00E52513">
              <w:rPr>
                <w:szCs w:val="22"/>
              </w:rPr>
              <w:t>Broad Incident category</w:t>
            </w:r>
          </w:p>
        </w:tc>
        <w:tc>
          <w:tcPr>
            <w:tcW w:w="2623" w:type="pct"/>
          </w:tcPr>
          <w:p w14:paraId="6A92DFF3" w14:textId="77777777" w:rsidR="0052038D" w:rsidRPr="00E52513" w:rsidRDefault="0052038D" w:rsidP="004F0F96">
            <w:pPr>
              <w:spacing w:after="120"/>
              <w:ind w:left="113" w:right="113"/>
              <w:rPr>
                <w:szCs w:val="22"/>
              </w:rPr>
            </w:pPr>
            <w:r w:rsidRPr="00E52513">
              <w:rPr>
                <w:szCs w:val="22"/>
              </w:rPr>
              <w:t>Incident type</w:t>
            </w:r>
          </w:p>
        </w:tc>
        <w:tc>
          <w:tcPr>
            <w:tcW w:w="1070" w:type="pct"/>
          </w:tcPr>
          <w:p w14:paraId="1FA64D1D" w14:textId="77777777" w:rsidR="0052038D" w:rsidRPr="00E52513" w:rsidRDefault="0052038D" w:rsidP="004F0F96">
            <w:pPr>
              <w:spacing w:after="120"/>
              <w:jc w:val="center"/>
              <w:rPr>
                <w:szCs w:val="22"/>
              </w:rPr>
            </w:pPr>
            <w:r w:rsidRPr="00E52513">
              <w:rPr>
                <w:szCs w:val="22"/>
              </w:rPr>
              <w:t>Average cost per incident ($’s)</w:t>
            </w:r>
          </w:p>
        </w:tc>
      </w:tr>
      <w:tr w:rsidR="0052038D" w:rsidRPr="00E52513" w14:paraId="5ADEBC4B" w14:textId="77777777" w:rsidTr="00A42F91">
        <w:trPr>
          <w:jc w:val="center"/>
        </w:trPr>
        <w:tc>
          <w:tcPr>
            <w:tcW w:w="1307" w:type="pct"/>
            <w:tcBorders>
              <w:bottom w:val="single" w:sz="4" w:space="0" w:color="FDE9D9" w:themeColor="accent6" w:themeTint="33"/>
            </w:tcBorders>
          </w:tcPr>
          <w:p w14:paraId="0D46A0AF" w14:textId="77777777" w:rsidR="0052038D" w:rsidRPr="00E52513" w:rsidRDefault="0052038D" w:rsidP="004F0F96">
            <w:pPr>
              <w:spacing w:after="120"/>
              <w:rPr>
                <w:szCs w:val="22"/>
              </w:rPr>
            </w:pPr>
            <w:bookmarkStart w:id="105" w:name="_Hlk32246357"/>
            <w:r w:rsidRPr="00E52513">
              <w:rPr>
                <w:szCs w:val="22"/>
              </w:rPr>
              <w:t>Incidents with evidence of clear activity</w:t>
            </w:r>
          </w:p>
        </w:tc>
        <w:tc>
          <w:tcPr>
            <w:tcW w:w="2623" w:type="pct"/>
          </w:tcPr>
          <w:p w14:paraId="698F1F68" w14:textId="77777777" w:rsidR="0052038D" w:rsidRPr="00E52513" w:rsidRDefault="0052038D" w:rsidP="004F0F96">
            <w:pPr>
              <w:spacing w:after="120"/>
              <w:ind w:left="113" w:right="113"/>
              <w:rPr>
                <w:szCs w:val="22"/>
              </w:rPr>
            </w:pPr>
            <w:r w:rsidRPr="00E52513">
              <w:rPr>
                <w:szCs w:val="22"/>
              </w:rPr>
              <w:t>Limited initial input / no ongoing support</w:t>
            </w:r>
          </w:p>
        </w:tc>
        <w:tc>
          <w:tcPr>
            <w:tcW w:w="1070" w:type="pct"/>
          </w:tcPr>
          <w:p w14:paraId="32B4BDB6" w14:textId="77777777" w:rsidR="0052038D" w:rsidRPr="00E52513" w:rsidRDefault="0052038D" w:rsidP="004F0F96">
            <w:pPr>
              <w:spacing w:after="120"/>
              <w:jc w:val="center"/>
              <w:rPr>
                <w:szCs w:val="22"/>
              </w:rPr>
            </w:pPr>
            <w:r w:rsidRPr="00E52513">
              <w:rPr>
                <w:szCs w:val="22"/>
              </w:rPr>
              <w:t>2,873</w:t>
            </w:r>
          </w:p>
        </w:tc>
      </w:tr>
      <w:tr w:rsidR="0052038D" w:rsidRPr="00E52513" w14:paraId="2402C45C" w14:textId="77777777" w:rsidTr="00A42F91">
        <w:trPr>
          <w:jc w:val="center"/>
        </w:trPr>
        <w:tc>
          <w:tcPr>
            <w:tcW w:w="1307" w:type="pct"/>
            <w:tcBorders>
              <w:top w:val="single" w:sz="4" w:space="0" w:color="FDE9D9" w:themeColor="accent6" w:themeTint="33"/>
              <w:bottom w:val="single" w:sz="4" w:space="0" w:color="FDE9D9" w:themeColor="accent6" w:themeTint="33"/>
            </w:tcBorders>
          </w:tcPr>
          <w:p w14:paraId="2DEA6689" w14:textId="77777777" w:rsidR="0052038D" w:rsidRPr="00E52513" w:rsidRDefault="0052038D" w:rsidP="004F0F96">
            <w:pPr>
              <w:spacing w:after="120"/>
              <w:rPr>
                <w:szCs w:val="22"/>
              </w:rPr>
            </w:pPr>
          </w:p>
        </w:tc>
        <w:tc>
          <w:tcPr>
            <w:tcW w:w="2623" w:type="pct"/>
          </w:tcPr>
          <w:p w14:paraId="146C4EB8" w14:textId="77777777" w:rsidR="0052038D" w:rsidRPr="00E52513" w:rsidRDefault="0052038D" w:rsidP="004F0F96">
            <w:pPr>
              <w:spacing w:after="120"/>
              <w:ind w:left="113" w:right="113"/>
              <w:rPr>
                <w:szCs w:val="22"/>
              </w:rPr>
            </w:pPr>
            <w:r w:rsidRPr="00E52513">
              <w:rPr>
                <w:szCs w:val="22"/>
              </w:rPr>
              <w:t>Extensive initial input / no ongoing support</w:t>
            </w:r>
          </w:p>
        </w:tc>
        <w:tc>
          <w:tcPr>
            <w:tcW w:w="1070" w:type="pct"/>
          </w:tcPr>
          <w:p w14:paraId="1A149E1F" w14:textId="77777777" w:rsidR="0052038D" w:rsidRPr="00E52513" w:rsidRDefault="0052038D" w:rsidP="004F0F96">
            <w:pPr>
              <w:spacing w:after="120"/>
              <w:jc w:val="center"/>
              <w:rPr>
                <w:szCs w:val="22"/>
              </w:rPr>
            </w:pPr>
            <w:r w:rsidRPr="00E52513">
              <w:rPr>
                <w:szCs w:val="22"/>
              </w:rPr>
              <w:t>8,524</w:t>
            </w:r>
          </w:p>
        </w:tc>
      </w:tr>
      <w:tr w:rsidR="0052038D" w:rsidRPr="00E52513" w14:paraId="008F2AC1" w14:textId="77777777" w:rsidTr="00A42F91">
        <w:trPr>
          <w:jc w:val="center"/>
        </w:trPr>
        <w:tc>
          <w:tcPr>
            <w:tcW w:w="1307" w:type="pct"/>
            <w:tcBorders>
              <w:top w:val="single" w:sz="4" w:space="0" w:color="FDE9D9" w:themeColor="accent6" w:themeTint="33"/>
              <w:bottom w:val="single" w:sz="4" w:space="0" w:color="FDE9D9" w:themeColor="accent6" w:themeTint="33"/>
            </w:tcBorders>
          </w:tcPr>
          <w:p w14:paraId="1933C0A3" w14:textId="77777777" w:rsidR="0052038D" w:rsidRPr="00E52513" w:rsidRDefault="0052038D" w:rsidP="004F0F96">
            <w:pPr>
              <w:spacing w:after="120"/>
              <w:rPr>
                <w:szCs w:val="22"/>
              </w:rPr>
            </w:pPr>
          </w:p>
        </w:tc>
        <w:tc>
          <w:tcPr>
            <w:tcW w:w="2623" w:type="pct"/>
          </w:tcPr>
          <w:p w14:paraId="7171DE11" w14:textId="0F0E6AF1" w:rsidR="0052038D" w:rsidRPr="00E52513" w:rsidRDefault="0052038D" w:rsidP="004F0F96">
            <w:pPr>
              <w:spacing w:after="120"/>
              <w:ind w:left="113" w:right="113"/>
              <w:rPr>
                <w:szCs w:val="22"/>
              </w:rPr>
            </w:pPr>
            <w:r w:rsidRPr="00E52513">
              <w:rPr>
                <w:szCs w:val="22"/>
              </w:rPr>
              <w:t xml:space="preserve">Limited initial input </w:t>
            </w:r>
            <w:r w:rsidR="00425EFF" w:rsidRPr="00E52513">
              <w:rPr>
                <w:szCs w:val="22"/>
              </w:rPr>
              <w:t>/ limited</w:t>
            </w:r>
            <w:r w:rsidRPr="00E52513">
              <w:rPr>
                <w:szCs w:val="22"/>
              </w:rPr>
              <w:t xml:space="preserve"> ongoing support provided</w:t>
            </w:r>
          </w:p>
        </w:tc>
        <w:tc>
          <w:tcPr>
            <w:tcW w:w="1070" w:type="pct"/>
          </w:tcPr>
          <w:p w14:paraId="38611C80" w14:textId="77777777" w:rsidR="0052038D" w:rsidRPr="00E52513" w:rsidRDefault="0052038D" w:rsidP="004F0F96">
            <w:pPr>
              <w:spacing w:after="120"/>
              <w:jc w:val="center"/>
              <w:rPr>
                <w:szCs w:val="22"/>
              </w:rPr>
            </w:pPr>
            <w:r w:rsidRPr="00E52513">
              <w:rPr>
                <w:szCs w:val="22"/>
              </w:rPr>
              <w:t>6,085</w:t>
            </w:r>
          </w:p>
        </w:tc>
      </w:tr>
      <w:tr w:rsidR="0052038D" w:rsidRPr="00E52513" w14:paraId="42FA97A4" w14:textId="77777777" w:rsidTr="00A42F91">
        <w:trPr>
          <w:jc w:val="center"/>
        </w:trPr>
        <w:tc>
          <w:tcPr>
            <w:tcW w:w="1307" w:type="pct"/>
            <w:tcBorders>
              <w:top w:val="single" w:sz="4" w:space="0" w:color="FDE9D9" w:themeColor="accent6" w:themeTint="33"/>
              <w:bottom w:val="single" w:sz="4" w:space="0" w:color="FDE9D9" w:themeColor="accent6" w:themeTint="33"/>
            </w:tcBorders>
          </w:tcPr>
          <w:p w14:paraId="0F67CFD6" w14:textId="77777777" w:rsidR="0052038D" w:rsidRPr="00E52513" w:rsidRDefault="0052038D" w:rsidP="004F0F96">
            <w:pPr>
              <w:spacing w:after="120"/>
              <w:rPr>
                <w:szCs w:val="22"/>
              </w:rPr>
            </w:pPr>
          </w:p>
        </w:tc>
        <w:tc>
          <w:tcPr>
            <w:tcW w:w="2623" w:type="pct"/>
          </w:tcPr>
          <w:p w14:paraId="1C9CEE2E" w14:textId="77777777" w:rsidR="0052038D" w:rsidRPr="00E52513" w:rsidRDefault="0052038D" w:rsidP="004F0F96">
            <w:pPr>
              <w:spacing w:after="120"/>
              <w:ind w:left="113" w:right="113"/>
              <w:rPr>
                <w:szCs w:val="22"/>
              </w:rPr>
            </w:pPr>
            <w:r w:rsidRPr="00E52513">
              <w:rPr>
                <w:szCs w:val="22"/>
              </w:rPr>
              <w:t>Limited initial input / extensive ongoing support provided</w:t>
            </w:r>
          </w:p>
        </w:tc>
        <w:tc>
          <w:tcPr>
            <w:tcW w:w="1070" w:type="pct"/>
          </w:tcPr>
          <w:p w14:paraId="4B6A2AD9" w14:textId="77777777" w:rsidR="0052038D" w:rsidRPr="00E52513" w:rsidRDefault="0052038D" w:rsidP="004F0F96">
            <w:pPr>
              <w:spacing w:after="120"/>
              <w:jc w:val="center"/>
              <w:rPr>
                <w:szCs w:val="22"/>
              </w:rPr>
            </w:pPr>
            <w:r w:rsidRPr="00E52513">
              <w:rPr>
                <w:szCs w:val="22"/>
              </w:rPr>
              <w:t>30,888</w:t>
            </w:r>
          </w:p>
        </w:tc>
      </w:tr>
      <w:tr w:rsidR="0052038D" w:rsidRPr="00E52513" w14:paraId="54077742" w14:textId="77777777" w:rsidTr="00A42F91">
        <w:trPr>
          <w:jc w:val="center"/>
        </w:trPr>
        <w:tc>
          <w:tcPr>
            <w:tcW w:w="1307" w:type="pct"/>
            <w:tcBorders>
              <w:top w:val="single" w:sz="4" w:space="0" w:color="FDE9D9" w:themeColor="accent6" w:themeTint="33"/>
              <w:bottom w:val="single" w:sz="4" w:space="0" w:color="FDE9D9" w:themeColor="accent6" w:themeTint="33"/>
            </w:tcBorders>
          </w:tcPr>
          <w:p w14:paraId="229857C8" w14:textId="77777777" w:rsidR="0052038D" w:rsidRPr="00E52513" w:rsidRDefault="0052038D" w:rsidP="004F0F96">
            <w:pPr>
              <w:spacing w:after="120"/>
              <w:rPr>
                <w:szCs w:val="22"/>
              </w:rPr>
            </w:pPr>
          </w:p>
        </w:tc>
        <w:tc>
          <w:tcPr>
            <w:tcW w:w="2623" w:type="pct"/>
          </w:tcPr>
          <w:p w14:paraId="496C4808" w14:textId="77777777" w:rsidR="0052038D" w:rsidRPr="00E52513" w:rsidRDefault="0052038D" w:rsidP="004F0F96">
            <w:pPr>
              <w:spacing w:after="120"/>
              <w:ind w:left="113" w:right="113"/>
              <w:rPr>
                <w:szCs w:val="22"/>
              </w:rPr>
            </w:pPr>
            <w:r w:rsidRPr="00E52513">
              <w:rPr>
                <w:szCs w:val="22"/>
              </w:rPr>
              <w:t>Initial extensive input with periodic / limited ongoing engagement</w:t>
            </w:r>
          </w:p>
        </w:tc>
        <w:tc>
          <w:tcPr>
            <w:tcW w:w="1070" w:type="pct"/>
          </w:tcPr>
          <w:p w14:paraId="5A143378" w14:textId="77777777" w:rsidR="0052038D" w:rsidRPr="00E52513" w:rsidRDefault="0052038D" w:rsidP="004F0F96">
            <w:pPr>
              <w:spacing w:after="120"/>
              <w:jc w:val="center"/>
              <w:rPr>
                <w:szCs w:val="22"/>
              </w:rPr>
            </w:pPr>
            <w:r w:rsidRPr="00E52513">
              <w:rPr>
                <w:szCs w:val="22"/>
              </w:rPr>
              <w:t>34,336</w:t>
            </w:r>
          </w:p>
        </w:tc>
      </w:tr>
      <w:tr w:rsidR="0052038D" w:rsidRPr="00E52513" w14:paraId="51819C45" w14:textId="77777777" w:rsidTr="00A42F91">
        <w:trPr>
          <w:jc w:val="center"/>
        </w:trPr>
        <w:tc>
          <w:tcPr>
            <w:tcW w:w="1307" w:type="pct"/>
            <w:tcBorders>
              <w:top w:val="single" w:sz="4" w:space="0" w:color="FDE9D9" w:themeColor="accent6" w:themeTint="33"/>
              <w:bottom w:val="single" w:sz="4" w:space="0" w:color="FFFFFF" w:themeColor="background1"/>
            </w:tcBorders>
          </w:tcPr>
          <w:p w14:paraId="3D76F1B3" w14:textId="77777777" w:rsidR="0052038D" w:rsidRPr="00E52513" w:rsidRDefault="0052038D" w:rsidP="004F0F96">
            <w:pPr>
              <w:spacing w:after="120"/>
              <w:rPr>
                <w:szCs w:val="22"/>
              </w:rPr>
            </w:pPr>
          </w:p>
        </w:tc>
        <w:tc>
          <w:tcPr>
            <w:tcW w:w="2623" w:type="pct"/>
          </w:tcPr>
          <w:p w14:paraId="3ABDEA5C" w14:textId="6B8323E4" w:rsidR="0052038D" w:rsidRPr="00E52513" w:rsidRDefault="0052038D" w:rsidP="00A42F91">
            <w:pPr>
              <w:spacing w:after="120"/>
              <w:ind w:left="113" w:right="113"/>
              <w:rPr>
                <w:szCs w:val="22"/>
              </w:rPr>
            </w:pPr>
            <w:r w:rsidRPr="00E52513">
              <w:rPr>
                <w:szCs w:val="22"/>
              </w:rPr>
              <w:t>Consistent extensive ongoing support provided</w:t>
            </w:r>
          </w:p>
        </w:tc>
        <w:tc>
          <w:tcPr>
            <w:tcW w:w="1070" w:type="pct"/>
          </w:tcPr>
          <w:p w14:paraId="22D49C6C" w14:textId="77777777" w:rsidR="0052038D" w:rsidRPr="00E52513" w:rsidRDefault="0052038D" w:rsidP="004F0F96">
            <w:pPr>
              <w:spacing w:after="120"/>
              <w:jc w:val="center"/>
              <w:rPr>
                <w:szCs w:val="22"/>
              </w:rPr>
            </w:pPr>
            <w:r w:rsidRPr="00E52513">
              <w:rPr>
                <w:szCs w:val="22"/>
              </w:rPr>
              <w:t>44,124</w:t>
            </w:r>
          </w:p>
        </w:tc>
      </w:tr>
      <w:bookmarkEnd w:id="105"/>
      <w:tr w:rsidR="0052038D" w:rsidRPr="00E52513" w14:paraId="3CFD5126" w14:textId="77777777" w:rsidTr="00A42F91">
        <w:trPr>
          <w:jc w:val="center"/>
        </w:trPr>
        <w:tc>
          <w:tcPr>
            <w:tcW w:w="1307" w:type="pct"/>
            <w:tcBorders>
              <w:top w:val="single" w:sz="4" w:space="0" w:color="FFFFFF" w:themeColor="background1"/>
            </w:tcBorders>
          </w:tcPr>
          <w:p w14:paraId="7454F661" w14:textId="77777777" w:rsidR="0052038D" w:rsidRPr="00E52513" w:rsidRDefault="0052038D" w:rsidP="004F0F96">
            <w:pPr>
              <w:spacing w:after="120"/>
              <w:rPr>
                <w:szCs w:val="22"/>
              </w:rPr>
            </w:pPr>
            <w:r w:rsidRPr="00E52513">
              <w:rPr>
                <w:szCs w:val="22"/>
              </w:rPr>
              <w:t>Incidents classified as out of scope</w:t>
            </w:r>
          </w:p>
        </w:tc>
        <w:tc>
          <w:tcPr>
            <w:tcW w:w="2623" w:type="pct"/>
          </w:tcPr>
          <w:p w14:paraId="7A7CD5FB" w14:textId="77777777" w:rsidR="0052038D" w:rsidRPr="00E52513" w:rsidRDefault="0052038D" w:rsidP="004F0F96">
            <w:pPr>
              <w:spacing w:after="120"/>
              <w:ind w:left="113" w:right="113"/>
              <w:rPr>
                <w:szCs w:val="22"/>
              </w:rPr>
            </w:pPr>
            <w:r w:rsidRPr="00E52513">
              <w:rPr>
                <w:szCs w:val="22"/>
              </w:rPr>
              <w:t>No further action taken</w:t>
            </w:r>
          </w:p>
        </w:tc>
        <w:tc>
          <w:tcPr>
            <w:tcW w:w="1070" w:type="pct"/>
          </w:tcPr>
          <w:p w14:paraId="2229E9DC" w14:textId="77777777" w:rsidR="0052038D" w:rsidRPr="00E52513" w:rsidRDefault="0052038D" w:rsidP="004F0F96">
            <w:pPr>
              <w:spacing w:after="120"/>
              <w:jc w:val="center"/>
              <w:rPr>
                <w:szCs w:val="22"/>
              </w:rPr>
            </w:pPr>
            <w:r w:rsidRPr="00E52513">
              <w:rPr>
                <w:szCs w:val="22"/>
              </w:rPr>
              <w:t>920</w:t>
            </w:r>
          </w:p>
        </w:tc>
      </w:tr>
      <w:tr w:rsidR="0052038D" w:rsidRPr="00E52513" w14:paraId="688465A9" w14:textId="77777777" w:rsidTr="00A42F91">
        <w:trPr>
          <w:jc w:val="center"/>
        </w:trPr>
        <w:tc>
          <w:tcPr>
            <w:tcW w:w="1307" w:type="pct"/>
            <w:tcBorders>
              <w:bottom w:val="single" w:sz="4" w:space="0" w:color="FDE9D9"/>
            </w:tcBorders>
          </w:tcPr>
          <w:p w14:paraId="5D1EE96F" w14:textId="77777777" w:rsidR="0052038D" w:rsidRPr="00E52513" w:rsidRDefault="0052038D" w:rsidP="004F0F96">
            <w:pPr>
              <w:spacing w:after="120"/>
              <w:rPr>
                <w:szCs w:val="22"/>
              </w:rPr>
            </w:pPr>
          </w:p>
        </w:tc>
        <w:tc>
          <w:tcPr>
            <w:tcW w:w="2623" w:type="pct"/>
          </w:tcPr>
          <w:p w14:paraId="05EE1DDF" w14:textId="77777777" w:rsidR="0052038D" w:rsidRPr="00E52513" w:rsidRDefault="0052038D" w:rsidP="004F0F96">
            <w:pPr>
              <w:spacing w:after="120"/>
              <w:ind w:left="113" w:right="113"/>
              <w:rPr>
                <w:szCs w:val="22"/>
              </w:rPr>
            </w:pPr>
            <w:r w:rsidRPr="00E52513">
              <w:rPr>
                <w:szCs w:val="22"/>
              </w:rPr>
              <w:t>Extensive support provided</w:t>
            </w:r>
          </w:p>
        </w:tc>
        <w:tc>
          <w:tcPr>
            <w:tcW w:w="1070" w:type="pct"/>
          </w:tcPr>
          <w:p w14:paraId="1AFC9F9F" w14:textId="77777777" w:rsidR="0052038D" w:rsidRPr="00E52513" w:rsidRDefault="0052038D" w:rsidP="004F0F96">
            <w:pPr>
              <w:spacing w:after="120"/>
              <w:jc w:val="center"/>
              <w:rPr>
                <w:szCs w:val="22"/>
              </w:rPr>
            </w:pPr>
            <w:r w:rsidRPr="00E52513">
              <w:rPr>
                <w:szCs w:val="22"/>
              </w:rPr>
              <w:t>29,755</w:t>
            </w:r>
          </w:p>
        </w:tc>
      </w:tr>
      <w:tr w:rsidR="0052038D" w:rsidRPr="00E52513" w14:paraId="3B03234F" w14:textId="77777777" w:rsidTr="00A42F91">
        <w:trPr>
          <w:jc w:val="center"/>
        </w:trPr>
        <w:tc>
          <w:tcPr>
            <w:tcW w:w="1307" w:type="pct"/>
            <w:tcBorders>
              <w:top w:val="single" w:sz="4" w:space="0" w:color="FDE9D9"/>
            </w:tcBorders>
          </w:tcPr>
          <w:p w14:paraId="3A3CE880" w14:textId="77777777" w:rsidR="0052038D" w:rsidRPr="00E52513" w:rsidRDefault="0052038D" w:rsidP="004F0F96">
            <w:pPr>
              <w:spacing w:after="120"/>
              <w:rPr>
                <w:szCs w:val="22"/>
              </w:rPr>
            </w:pPr>
          </w:p>
        </w:tc>
        <w:tc>
          <w:tcPr>
            <w:tcW w:w="2623" w:type="pct"/>
          </w:tcPr>
          <w:p w14:paraId="4DB043C0" w14:textId="77777777" w:rsidR="0052038D" w:rsidRPr="00E52513" w:rsidRDefault="0052038D" w:rsidP="004F0F96">
            <w:pPr>
              <w:spacing w:after="120"/>
              <w:ind w:left="113" w:right="113"/>
              <w:rPr>
                <w:szCs w:val="22"/>
              </w:rPr>
            </w:pPr>
            <w:r w:rsidRPr="00E52513">
              <w:rPr>
                <w:szCs w:val="22"/>
              </w:rPr>
              <w:t>Some support provided</w:t>
            </w:r>
          </w:p>
        </w:tc>
        <w:tc>
          <w:tcPr>
            <w:tcW w:w="1070" w:type="pct"/>
          </w:tcPr>
          <w:p w14:paraId="46475E8D" w14:textId="2104D9CA" w:rsidR="0052038D" w:rsidRPr="00E52513" w:rsidRDefault="0052038D" w:rsidP="00A42F91">
            <w:pPr>
              <w:spacing w:after="120"/>
              <w:jc w:val="center"/>
              <w:rPr>
                <w:szCs w:val="22"/>
              </w:rPr>
            </w:pPr>
            <w:r w:rsidRPr="00E52513">
              <w:rPr>
                <w:szCs w:val="22"/>
              </w:rPr>
              <w:t>1,286</w:t>
            </w:r>
          </w:p>
        </w:tc>
      </w:tr>
      <w:tr w:rsidR="0052038D" w:rsidRPr="00E52513" w14:paraId="010910D6" w14:textId="77777777" w:rsidTr="00A42F91">
        <w:trPr>
          <w:jc w:val="center"/>
        </w:trPr>
        <w:tc>
          <w:tcPr>
            <w:tcW w:w="1307" w:type="pct"/>
            <w:tcBorders>
              <w:bottom w:val="single" w:sz="4" w:space="0" w:color="FDE9D9"/>
            </w:tcBorders>
          </w:tcPr>
          <w:p w14:paraId="026E709C" w14:textId="2051322E" w:rsidR="0052038D" w:rsidRPr="00E52513" w:rsidRDefault="0052038D" w:rsidP="004F0F96">
            <w:pPr>
              <w:spacing w:after="120"/>
              <w:rPr>
                <w:szCs w:val="22"/>
              </w:rPr>
            </w:pPr>
            <w:r w:rsidRPr="00E52513">
              <w:rPr>
                <w:szCs w:val="22"/>
              </w:rPr>
              <w:t>In-scope incidents where no action taken</w:t>
            </w:r>
          </w:p>
        </w:tc>
        <w:tc>
          <w:tcPr>
            <w:tcW w:w="2623" w:type="pct"/>
          </w:tcPr>
          <w:p w14:paraId="61E2BB28" w14:textId="77777777" w:rsidR="0052038D" w:rsidRPr="00E52513" w:rsidRDefault="0052038D" w:rsidP="004F0F96">
            <w:pPr>
              <w:spacing w:after="120"/>
              <w:ind w:left="113" w:right="113"/>
              <w:rPr>
                <w:szCs w:val="22"/>
              </w:rPr>
            </w:pPr>
            <w:r w:rsidRPr="00E52513">
              <w:rPr>
                <w:szCs w:val="22"/>
              </w:rPr>
              <w:t>No details available or unable to locate client(s)</w:t>
            </w:r>
          </w:p>
        </w:tc>
        <w:tc>
          <w:tcPr>
            <w:tcW w:w="1070" w:type="pct"/>
          </w:tcPr>
          <w:p w14:paraId="5232C6FF" w14:textId="77777777" w:rsidR="0052038D" w:rsidRPr="00E52513" w:rsidRDefault="0052038D" w:rsidP="004F0F96">
            <w:pPr>
              <w:spacing w:after="120"/>
              <w:jc w:val="center"/>
              <w:rPr>
                <w:szCs w:val="22"/>
              </w:rPr>
            </w:pPr>
            <w:r w:rsidRPr="00E52513">
              <w:rPr>
                <w:szCs w:val="22"/>
              </w:rPr>
              <w:t>1,456</w:t>
            </w:r>
          </w:p>
        </w:tc>
      </w:tr>
      <w:tr w:rsidR="0052038D" w:rsidRPr="00E52513" w14:paraId="1070754E" w14:textId="77777777" w:rsidTr="00A42F91">
        <w:trPr>
          <w:jc w:val="center"/>
        </w:trPr>
        <w:tc>
          <w:tcPr>
            <w:tcW w:w="1307" w:type="pct"/>
            <w:tcBorders>
              <w:top w:val="single" w:sz="4" w:space="0" w:color="FDE9D9"/>
            </w:tcBorders>
          </w:tcPr>
          <w:p w14:paraId="53D7A04E" w14:textId="77777777" w:rsidR="0052038D" w:rsidRPr="00E52513" w:rsidRDefault="0052038D" w:rsidP="004F0F96">
            <w:pPr>
              <w:spacing w:after="120"/>
              <w:rPr>
                <w:szCs w:val="22"/>
              </w:rPr>
            </w:pPr>
          </w:p>
        </w:tc>
        <w:tc>
          <w:tcPr>
            <w:tcW w:w="2623" w:type="pct"/>
          </w:tcPr>
          <w:p w14:paraId="122DC3E1" w14:textId="77777777" w:rsidR="0052038D" w:rsidRPr="00E52513" w:rsidRDefault="0052038D" w:rsidP="004F0F96">
            <w:pPr>
              <w:spacing w:after="120"/>
              <w:ind w:left="113" w:right="113"/>
              <w:rPr>
                <w:szCs w:val="22"/>
              </w:rPr>
            </w:pPr>
            <w:r w:rsidRPr="00E52513">
              <w:rPr>
                <w:szCs w:val="22"/>
              </w:rPr>
              <w:t>Other services providing support</w:t>
            </w:r>
          </w:p>
        </w:tc>
        <w:tc>
          <w:tcPr>
            <w:tcW w:w="1070" w:type="pct"/>
          </w:tcPr>
          <w:p w14:paraId="6CF50FEA" w14:textId="691349D6" w:rsidR="0052038D" w:rsidRPr="00E52513" w:rsidRDefault="0052038D" w:rsidP="00A42F91">
            <w:pPr>
              <w:spacing w:after="120"/>
              <w:jc w:val="center"/>
              <w:rPr>
                <w:szCs w:val="22"/>
              </w:rPr>
            </w:pPr>
            <w:r w:rsidRPr="00E52513">
              <w:rPr>
                <w:szCs w:val="22"/>
              </w:rPr>
              <w:t>1,660</w:t>
            </w:r>
          </w:p>
        </w:tc>
      </w:tr>
    </w:tbl>
    <w:p w14:paraId="4550E290" w14:textId="77777777" w:rsidR="0052038D" w:rsidRPr="00E52513" w:rsidRDefault="0052038D" w:rsidP="0052038D"/>
    <w:p w14:paraId="4B10951D" w14:textId="05C13F0A" w:rsidR="0052038D" w:rsidRPr="00E52513" w:rsidRDefault="0052038D" w:rsidP="00152634">
      <w:pPr>
        <w:pStyle w:val="Heading2"/>
      </w:pPr>
      <w:bookmarkStart w:id="106" w:name="_Toc54966654"/>
      <w:r w:rsidRPr="00E52513">
        <w:t>Cost per type of support</w:t>
      </w:r>
      <w:bookmarkEnd w:id="106"/>
    </w:p>
    <w:p w14:paraId="56355B77" w14:textId="281DD9EA" w:rsidR="0052038D" w:rsidRPr="00E52513" w:rsidRDefault="0052038D" w:rsidP="0052038D">
      <w:pPr>
        <w:spacing w:line="276" w:lineRule="auto"/>
      </w:pPr>
      <w:r w:rsidRPr="00E52513">
        <w:t>Earlier descriptions of NICRS activity suggested that most activity was being directed towards support for individual clients (that, is, what the NICRS defines as ‘Stream 1’ or ’</w:t>
      </w:r>
      <w:proofErr w:type="spellStart"/>
      <w:r w:rsidRPr="00E52513">
        <w:t>Postvention</w:t>
      </w:r>
      <w:proofErr w:type="spellEnd"/>
      <w:r w:rsidRPr="00E52513">
        <w:t xml:space="preserve"> and bereavement support’) and much less effort is directed towards community and systems level (‘Stream 2’ or ‘Community capacity building’) action. This is reflected in the service costs calculated by HMA (2020) </w:t>
      </w:r>
      <w:r w:rsidR="00425EFF" w:rsidRPr="00E52513">
        <w:t>based on</w:t>
      </w:r>
      <w:r w:rsidRPr="00E52513">
        <w:t xml:space="preserve"> service support type, as shown in Table </w:t>
      </w:r>
      <w:r w:rsidR="000F66D0" w:rsidRPr="00E52513">
        <w:t>9</w:t>
      </w:r>
      <w:r w:rsidRPr="00E52513">
        <w:t>.</w:t>
      </w:r>
    </w:p>
    <w:p w14:paraId="5802CD94" w14:textId="5B82EE58" w:rsidR="0052038D" w:rsidRPr="00E52513" w:rsidRDefault="0052038D" w:rsidP="0052038D">
      <w:pPr>
        <w:pStyle w:val="Caption"/>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9</w:t>
      </w:r>
      <w:r w:rsidR="00D97F39">
        <w:rPr>
          <w:noProof/>
        </w:rPr>
        <w:fldChar w:fldCharType="end"/>
      </w:r>
      <w:r w:rsidRPr="00E52513">
        <w:t>: Distribution of NICRS costs according to type of support (Source, HMA, 2020)</w:t>
      </w:r>
    </w:p>
    <w:tbl>
      <w:tblPr>
        <w:tblStyle w:val="MediumGrid3-Accent6"/>
        <w:tblW w:w="0" w:type="auto"/>
        <w:jc w:val="center"/>
        <w:tblLook w:val="0620" w:firstRow="1" w:lastRow="0" w:firstColumn="0" w:lastColumn="0" w:noHBand="1" w:noVBand="1"/>
        <w:tblCaption w:val="NICRS costs according to type of support"/>
        <w:tblDescription w:val="Client support - support to individuals, families and communities affected by suicide or other traumatice incidents: $1,972,773;  community capacity building - building local community capacity to respond to critical incidents: $657,591; systems change - "/>
      </w:tblPr>
      <w:tblGrid>
        <w:gridCol w:w="2411"/>
        <w:gridCol w:w="5271"/>
        <w:gridCol w:w="1560"/>
      </w:tblGrid>
      <w:tr w:rsidR="0052038D" w:rsidRPr="00E52513" w14:paraId="28673D4E"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2411" w:type="dxa"/>
          </w:tcPr>
          <w:p w14:paraId="4AACB260" w14:textId="4F6BC97D" w:rsidR="0052038D" w:rsidRPr="00E52513" w:rsidRDefault="005139AC" w:rsidP="002746EC">
            <w:pPr>
              <w:rPr>
                <w:szCs w:val="22"/>
              </w:rPr>
            </w:pPr>
            <w:r w:rsidRPr="00E52513">
              <w:rPr>
                <w:szCs w:val="22"/>
              </w:rPr>
              <w:t>Support type</w:t>
            </w:r>
          </w:p>
        </w:tc>
        <w:tc>
          <w:tcPr>
            <w:tcW w:w="5271" w:type="dxa"/>
          </w:tcPr>
          <w:p w14:paraId="5E43DBEC" w14:textId="77777777" w:rsidR="0052038D" w:rsidRPr="00E52513" w:rsidRDefault="0052038D" w:rsidP="002746EC">
            <w:pPr>
              <w:ind w:left="113" w:right="113"/>
              <w:rPr>
                <w:szCs w:val="22"/>
              </w:rPr>
            </w:pPr>
            <w:r w:rsidRPr="00E52513">
              <w:rPr>
                <w:szCs w:val="22"/>
              </w:rPr>
              <w:t>Description</w:t>
            </w:r>
          </w:p>
        </w:tc>
        <w:tc>
          <w:tcPr>
            <w:tcW w:w="1560" w:type="dxa"/>
          </w:tcPr>
          <w:p w14:paraId="6C58DEC6" w14:textId="77777777" w:rsidR="0052038D" w:rsidRPr="00E52513" w:rsidRDefault="0052038D" w:rsidP="002746EC">
            <w:pPr>
              <w:jc w:val="center"/>
              <w:rPr>
                <w:szCs w:val="22"/>
              </w:rPr>
            </w:pPr>
            <w:r w:rsidRPr="00E52513">
              <w:rPr>
                <w:szCs w:val="22"/>
              </w:rPr>
              <w:t>Total cost ($)</w:t>
            </w:r>
          </w:p>
        </w:tc>
      </w:tr>
      <w:tr w:rsidR="0052038D" w:rsidRPr="00E52513" w14:paraId="020425DD" w14:textId="77777777" w:rsidTr="0098673B">
        <w:trPr>
          <w:jc w:val="center"/>
        </w:trPr>
        <w:tc>
          <w:tcPr>
            <w:tcW w:w="2411" w:type="dxa"/>
          </w:tcPr>
          <w:p w14:paraId="1BA7980E" w14:textId="77777777" w:rsidR="0052038D" w:rsidRPr="00E52513" w:rsidRDefault="0052038D" w:rsidP="002746EC">
            <w:pPr>
              <w:rPr>
                <w:szCs w:val="22"/>
              </w:rPr>
            </w:pPr>
            <w:r w:rsidRPr="00E52513">
              <w:rPr>
                <w:szCs w:val="22"/>
              </w:rPr>
              <w:t>Client support</w:t>
            </w:r>
          </w:p>
        </w:tc>
        <w:tc>
          <w:tcPr>
            <w:tcW w:w="5271" w:type="dxa"/>
          </w:tcPr>
          <w:p w14:paraId="078105D7" w14:textId="77777777" w:rsidR="0052038D" w:rsidRPr="00E52513" w:rsidRDefault="0052038D" w:rsidP="002746EC">
            <w:pPr>
              <w:ind w:left="113" w:right="113"/>
              <w:rPr>
                <w:szCs w:val="22"/>
              </w:rPr>
            </w:pPr>
            <w:r w:rsidRPr="00E52513">
              <w:rPr>
                <w:szCs w:val="22"/>
              </w:rPr>
              <w:t>Support to individuals, families and communities affected by suicide or other traumatic incidents</w:t>
            </w:r>
          </w:p>
          <w:p w14:paraId="7BC9B7C8" w14:textId="77777777" w:rsidR="0052038D" w:rsidRPr="00E52513" w:rsidRDefault="0052038D" w:rsidP="002746EC">
            <w:pPr>
              <w:ind w:left="113" w:right="113"/>
              <w:rPr>
                <w:szCs w:val="22"/>
              </w:rPr>
            </w:pPr>
          </w:p>
        </w:tc>
        <w:tc>
          <w:tcPr>
            <w:tcW w:w="1560" w:type="dxa"/>
          </w:tcPr>
          <w:p w14:paraId="049C7A15" w14:textId="77777777" w:rsidR="0052038D" w:rsidRPr="00E52513" w:rsidRDefault="0052038D" w:rsidP="002746EC">
            <w:pPr>
              <w:jc w:val="center"/>
              <w:rPr>
                <w:szCs w:val="22"/>
              </w:rPr>
            </w:pPr>
            <w:r w:rsidRPr="00E52513">
              <w:rPr>
                <w:szCs w:val="22"/>
              </w:rPr>
              <w:t>1,972,773</w:t>
            </w:r>
          </w:p>
        </w:tc>
      </w:tr>
      <w:tr w:rsidR="0052038D" w:rsidRPr="00E52513" w14:paraId="64B461FB" w14:textId="77777777" w:rsidTr="0098673B">
        <w:trPr>
          <w:jc w:val="center"/>
        </w:trPr>
        <w:tc>
          <w:tcPr>
            <w:tcW w:w="2411" w:type="dxa"/>
          </w:tcPr>
          <w:p w14:paraId="742D4588" w14:textId="77777777" w:rsidR="0052038D" w:rsidRPr="00E52513" w:rsidRDefault="0052038D" w:rsidP="002746EC">
            <w:pPr>
              <w:rPr>
                <w:szCs w:val="22"/>
              </w:rPr>
            </w:pPr>
            <w:r w:rsidRPr="00E52513">
              <w:rPr>
                <w:szCs w:val="22"/>
              </w:rPr>
              <w:t>Community capacity building</w:t>
            </w:r>
          </w:p>
        </w:tc>
        <w:tc>
          <w:tcPr>
            <w:tcW w:w="5271" w:type="dxa"/>
          </w:tcPr>
          <w:p w14:paraId="07D15FBC" w14:textId="77777777" w:rsidR="0052038D" w:rsidRPr="00E52513" w:rsidRDefault="0052038D" w:rsidP="002746EC">
            <w:pPr>
              <w:ind w:left="113" w:right="113"/>
              <w:rPr>
                <w:szCs w:val="22"/>
              </w:rPr>
            </w:pPr>
            <w:r w:rsidRPr="00E52513">
              <w:rPr>
                <w:szCs w:val="22"/>
              </w:rPr>
              <w:t>Building local community capacity to respond to critical incidents</w:t>
            </w:r>
          </w:p>
          <w:p w14:paraId="065253F1" w14:textId="77777777" w:rsidR="0052038D" w:rsidRPr="00E52513" w:rsidRDefault="0052038D" w:rsidP="002746EC">
            <w:pPr>
              <w:ind w:left="113" w:right="113"/>
              <w:rPr>
                <w:szCs w:val="22"/>
              </w:rPr>
            </w:pPr>
          </w:p>
        </w:tc>
        <w:tc>
          <w:tcPr>
            <w:tcW w:w="1560" w:type="dxa"/>
          </w:tcPr>
          <w:p w14:paraId="1F6AF136" w14:textId="77777777" w:rsidR="0052038D" w:rsidRPr="00E52513" w:rsidRDefault="0052038D" w:rsidP="002746EC">
            <w:pPr>
              <w:jc w:val="center"/>
              <w:rPr>
                <w:szCs w:val="22"/>
              </w:rPr>
            </w:pPr>
            <w:r w:rsidRPr="00E52513">
              <w:rPr>
                <w:szCs w:val="22"/>
              </w:rPr>
              <w:t>657,591</w:t>
            </w:r>
          </w:p>
        </w:tc>
      </w:tr>
      <w:tr w:rsidR="0052038D" w:rsidRPr="00E52513" w14:paraId="44540CC4" w14:textId="77777777" w:rsidTr="0098673B">
        <w:trPr>
          <w:jc w:val="center"/>
        </w:trPr>
        <w:tc>
          <w:tcPr>
            <w:tcW w:w="2411" w:type="dxa"/>
          </w:tcPr>
          <w:p w14:paraId="771FD151" w14:textId="77777777" w:rsidR="0052038D" w:rsidRPr="00E52513" w:rsidRDefault="0052038D" w:rsidP="002746EC">
            <w:pPr>
              <w:rPr>
                <w:szCs w:val="22"/>
              </w:rPr>
            </w:pPr>
            <w:r w:rsidRPr="00E52513">
              <w:rPr>
                <w:szCs w:val="22"/>
              </w:rPr>
              <w:t>Systems change</w:t>
            </w:r>
          </w:p>
        </w:tc>
        <w:tc>
          <w:tcPr>
            <w:tcW w:w="5271" w:type="dxa"/>
          </w:tcPr>
          <w:p w14:paraId="1AAE094A" w14:textId="77777777" w:rsidR="0052038D" w:rsidRPr="00E52513" w:rsidRDefault="0052038D" w:rsidP="002746EC">
            <w:pPr>
              <w:ind w:left="113" w:right="113"/>
              <w:rPr>
                <w:szCs w:val="22"/>
              </w:rPr>
            </w:pPr>
            <w:r w:rsidRPr="00E52513">
              <w:rPr>
                <w:szCs w:val="22"/>
              </w:rPr>
              <w:t xml:space="preserve">Systems change by improving the coordination of </w:t>
            </w:r>
            <w:proofErr w:type="spellStart"/>
            <w:r w:rsidRPr="00E52513">
              <w:rPr>
                <w:szCs w:val="22"/>
              </w:rPr>
              <w:t>postvention</w:t>
            </w:r>
            <w:proofErr w:type="spellEnd"/>
            <w:r w:rsidRPr="00E52513">
              <w:rPr>
                <w:szCs w:val="22"/>
              </w:rPr>
              <w:t xml:space="preserve"> response services through capacity building</w:t>
            </w:r>
          </w:p>
          <w:p w14:paraId="21A70EE9" w14:textId="77777777" w:rsidR="0052038D" w:rsidRPr="00E52513" w:rsidRDefault="0052038D" w:rsidP="002746EC">
            <w:pPr>
              <w:ind w:left="113" w:right="113"/>
              <w:rPr>
                <w:szCs w:val="22"/>
              </w:rPr>
            </w:pPr>
          </w:p>
        </w:tc>
        <w:tc>
          <w:tcPr>
            <w:tcW w:w="1560" w:type="dxa"/>
          </w:tcPr>
          <w:p w14:paraId="20F3CEDF" w14:textId="77777777" w:rsidR="0052038D" w:rsidRPr="00E52513" w:rsidRDefault="0052038D" w:rsidP="002746EC">
            <w:pPr>
              <w:jc w:val="center"/>
              <w:rPr>
                <w:szCs w:val="22"/>
              </w:rPr>
            </w:pPr>
            <w:r w:rsidRPr="00E52513">
              <w:rPr>
                <w:szCs w:val="22"/>
              </w:rPr>
              <w:t>657,591</w:t>
            </w:r>
          </w:p>
        </w:tc>
      </w:tr>
    </w:tbl>
    <w:p w14:paraId="677A872E" w14:textId="77777777" w:rsidR="0052038D" w:rsidRPr="00E52513" w:rsidRDefault="0052038D" w:rsidP="0052038D">
      <w:pPr>
        <w:spacing w:line="276" w:lineRule="auto"/>
      </w:pPr>
    </w:p>
    <w:p w14:paraId="62A0D097" w14:textId="2F2CF1E2" w:rsidR="0052038D" w:rsidRPr="00E52513" w:rsidRDefault="0052038D" w:rsidP="00152634">
      <w:pPr>
        <w:pStyle w:val="Heading2"/>
      </w:pPr>
      <w:bookmarkStart w:id="107" w:name="_Toc54966655"/>
      <w:r w:rsidRPr="00E52513">
        <w:t>Value for money</w:t>
      </w:r>
      <w:bookmarkStart w:id="108" w:name="_Hlk27592655"/>
      <w:bookmarkEnd w:id="107"/>
    </w:p>
    <w:p w14:paraId="4E6F2BBD" w14:textId="38438C3D" w:rsidR="0052038D" w:rsidRPr="00E52513" w:rsidRDefault="0052038D" w:rsidP="0052038D">
      <w:pPr>
        <w:rPr>
          <w:lang w:eastAsia="en-AU"/>
        </w:rPr>
      </w:pPr>
      <w:r w:rsidRPr="00E52513">
        <w:rPr>
          <w:rFonts w:eastAsiaTheme="majorEastAsia"/>
        </w:rPr>
        <w:t xml:space="preserve">A </w:t>
      </w:r>
      <w:proofErr w:type="spellStart"/>
      <w:r w:rsidRPr="00E52513">
        <w:t>VfM</w:t>
      </w:r>
      <w:proofErr w:type="spellEnd"/>
      <w:r w:rsidRPr="00E52513">
        <w:t xml:space="preserve"> analysis of the NICRS was requested in the original evaluation brief,</w:t>
      </w:r>
      <w:r w:rsidRPr="00E52513">
        <w:rPr>
          <w:lang w:eastAsia="en-AU"/>
        </w:rPr>
        <w:t xml:space="preserve"> but it was never agreed as to how the analysis was to be undertaken (or even if it was feasible). The NSW Government (2016)</w:t>
      </w:r>
      <w:r w:rsidRPr="00E52513">
        <w:rPr>
          <w:vertAlign w:val="superscript"/>
          <w:lang w:eastAsia="en-AU"/>
        </w:rPr>
        <w:footnoteReference w:id="26"/>
      </w:r>
      <w:r w:rsidRPr="00E52513">
        <w:rPr>
          <w:lang w:eastAsia="en-AU"/>
        </w:rPr>
        <w:t xml:space="preserve"> defines </w:t>
      </w:r>
      <w:proofErr w:type="spellStart"/>
      <w:r w:rsidRPr="00E52513">
        <w:rPr>
          <w:lang w:eastAsia="en-AU"/>
        </w:rPr>
        <w:t>VfM</w:t>
      </w:r>
      <w:proofErr w:type="spellEnd"/>
      <w:r w:rsidRPr="00E52513">
        <w:rPr>
          <w:lang w:eastAsia="en-AU"/>
        </w:rPr>
        <w:t xml:space="preserve"> as follows:</w:t>
      </w:r>
    </w:p>
    <w:p w14:paraId="19EDC74E" w14:textId="77777777" w:rsidR="0052038D" w:rsidRPr="00E52513" w:rsidRDefault="0052038D" w:rsidP="0052038D">
      <w:pPr>
        <w:ind w:left="284" w:right="284"/>
        <w:rPr>
          <w:lang w:eastAsia="en-AU"/>
        </w:rPr>
      </w:pPr>
      <w:r w:rsidRPr="00E52513">
        <w:rPr>
          <w:lang w:eastAsia="en-AU"/>
        </w:rPr>
        <w:t xml:space="preserve">“… </w:t>
      </w:r>
      <w:proofErr w:type="gramStart"/>
      <w:r w:rsidRPr="00E52513">
        <w:rPr>
          <w:i/>
          <w:lang w:eastAsia="en-AU"/>
        </w:rPr>
        <w:t>value</w:t>
      </w:r>
      <w:proofErr w:type="gramEnd"/>
      <w:r w:rsidRPr="00E52513">
        <w:rPr>
          <w:i/>
          <w:lang w:eastAsia="en-AU"/>
        </w:rPr>
        <w:t xml:space="preserve"> for money is the differential between the total benefit derived from a good or a service against its total cost, when assessed over the period the goods or services are to be utilised …”</w:t>
      </w:r>
    </w:p>
    <w:p w14:paraId="5203C66A" w14:textId="77777777" w:rsidR="0052038D" w:rsidRPr="00E52513" w:rsidRDefault="0052038D" w:rsidP="0052038D">
      <w:r w:rsidRPr="00E52513">
        <w:t xml:space="preserve">A simpler way of understanding </w:t>
      </w:r>
      <w:proofErr w:type="spellStart"/>
      <w:r w:rsidRPr="00E52513">
        <w:t>VfM</w:t>
      </w:r>
      <w:proofErr w:type="spellEnd"/>
      <w:r w:rsidRPr="00E52513">
        <w:t>, especially as an evaluative question, is how well resources are used and whether the resource use is justified (King, 2018).</w:t>
      </w:r>
    </w:p>
    <w:p w14:paraId="75DFAA7E" w14:textId="0BEE4D52" w:rsidR="0052038D" w:rsidRPr="00E52513" w:rsidRDefault="0052038D" w:rsidP="0052038D">
      <w:r w:rsidRPr="00E52513">
        <w:t xml:space="preserve">There is increasing scrutiny on </w:t>
      </w:r>
      <w:proofErr w:type="spellStart"/>
      <w:r w:rsidRPr="00E52513">
        <w:t>VfM</w:t>
      </w:r>
      <w:proofErr w:type="spellEnd"/>
      <w:r w:rsidRPr="00E52513">
        <w:t xml:space="preserve"> especially for evaluating not</w:t>
      </w:r>
      <w:r w:rsidR="00D73661" w:rsidRPr="00E52513">
        <w:t>-</w:t>
      </w:r>
      <w:r w:rsidRPr="00E52513">
        <w:t>for</w:t>
      </w:r>
      <w:r w:rsidR="00D73661" w:rsidRPr="00E52513">
        <w:t>-</w:t>
      </w:r>
      <w:r w:rsidRPr="00E52513">
        <w:t xml:space="preserve">profit programs where the concern is that invalid conclusions from </w:t>
      </w:r>
      <w:proofErr w:type="spellStart"/>
      <w:r w:rsidRPr="00E52513">
        <w:t>VfM</w:t>
      </w:r>
      <w:proofErr w:type="spellEnd"/>
      <w:r w:rsidRPr="00E52513">
        <w:t xml:space="preserve"> will arise if assessment is tied to a narrow set of indicators devoid of any evaluative judgement (King, 2018):</w:t>
      </w:r>
    </w:p>
    <w:p w14:paraId="209CA9BF" w14:textId="77777777" w:rsidR="0052038D" w:rsidRPr="00E52513" w:rsidRDefault="0052038D" w:rsidP="0052038D">
      <w:pPr>
        <w:ind w:left="284" w:right="284"/>
        <w:rPr>
          <w:i/>
          <w:lang w:eastAsia="en-AU"/>
        </w:rPr>
      </w:pPr>
      <w:r w:rsidRPr="00E52513">
        <w:rPr>
          <w:i/>
          <w:lang w:eastAsia="en-AU"/>
        </w:rPr>
        <w:t xml:space="preserve">“… for example, by emphasising the most readily quantifiable measures rather than the most important (but harder to quantify) aspects of performance, or by focusing on the quantification </w:t>
      </w:r>
      <w:r w:rsidRPr="00E52513">
        <w:rPr>
          <w:i/>
          <w:lang w:eastAsia="en-AU"/>
        </w:rPr>
        <w:lastRenderedPageBreak/>
        <w:t>of outputs and outcomes at the expense of more nuanced consideration of their quality, value, and importance.”</w:t>
      </w:r>
    </w:p>
    <w:p w14:paraId="3528D589" w14:textId="42F20147" w:rsidR="0052038D" w:rsidRDefault="0052038D" w:rsidP="0052038D">
      <w:pPr>
        <w:spacing w:after="360"/>
        <w:rPr>
          <w:rFonts w:cs="Arial"/>
        </w:rPr>
      </w:pPr>
      <w:r w:rsidRPr="00E52513">
        <w:rPr>
          <w:lang w:eastAsia="en-AU"/>
        </w:rPr>
        <w:t xml:space="preserve">A </w:t>
      </w:r>
      <w:proofErr w:type="spellStart"/>
      <w:r w:rsidRPr="00E52513">
        <w:rPr>
          <w:lang w:eastAsia="en-AU"/>
        </w:rPr>
        <w:t>VfM</w:t>
      </w:r>
      <w:proofErr w:type="spellEnd"/>
      <w:r w:rsidRPr="00E52513">
        <w:rPr>
          <w:lang w:eastAsia="en-AU"/>
        </w:rPr>
        <w:t xml:space="preserve"> analysis can be undertaken at different s</w:t>
      </w:r>
      <w:r w:rsidRPr="00E52513">
        <w:t>tages of the project results chain and associated logic of inputs, outputs and outcomes/impact. These elements are outlined in Fig</w:t>
      </w:r>
      <w:r w:rsidRPr="00E52513">
        <w:rPr>
          <w:rFonts w:cs="Arial"/>
        </w:rPr>
        <w:t>ure 2</w:t>
      </w:r>
      <w:r w:rsidR="00365C5E" w:rsidRPr="00E52513">
        <w:rPr>
          <w:rFonts w:cs="Arial"/>
        </w:rPr>
        <w:t>4</w:t>
      </w:r>
      <w:r w:rsidRPr="00E52513">
        <w:rPr>
          <w:rFonts w:cs="Arial"/>
        </w:rPr>
        <w:t xml:space="preserve">, which captures the three major dimensions of </w:t>
      </w:r>
      <w:proofErr w:type="spellStart"/>
      <w:r w:rsidRPr="00E52513">
        <w:rPr>
          <w:rFonts w:cs="Arial"/>
        </w:rPr>
        <w:t>VfM</w:t>
      </w:r>
      <w:proofErr w:type="spellEnd"/>
      <w:r w:rsidRPr="00E52513">
        <w:rPr>
          <w:rFonts w:cs="Arial"/>
        </w:rPr>
        <w:t>.</w:t>
      </w:r>
    </w:p>
    <w:p w14:paraId="3650F60D" w14:textId="77777777" w:rsidR="00A42F91" w:rsidRDefault="00A42F91" w:rsidP="00A42F91">
      <w:pPr>
        <w:spacing w:after="360"/>
        <w:rPr>
          <w:rFonts w:cs="Arial"/>
        </w:rPr>
      </w:pPr>
      <w:r>
        <w:rPr>
          <w:rFonts w:cs="Arial"/>
          <w:noProof/>
          <w:lang w:eastAsia="en-AU"/>
        </w:rPr>
        <w:drawing>
          <wp:inline distT="0" distB="0" distL="0" distR="0" wp14:anchorId="54BCE5D5" wp14:editId="300D945B">
            <wp:extent cx="5613400" cy="4381500"/>
            <wp:effectExtent l="0" t="0" r="6350" b="0"/>
            <wp:docPr id="218" name="Picture 218" descr="Value for Money and the Results Chain schematic&#10;&#10;Economy: are commodities being procured at least cost? - Inputs: staff, health products, capital;  Efficiency: are outputs being produced at the most efficient combination of inputs? - Outputs: the method by which inputs are used:  Effectiveness: is project impact being maximised relative to inputs? - Impacts: results delivered from critical response phase in terms of wellbeing, long-term transformational change with individuals, families and communities in incidence reduction." title="Figure 24: Value for Money and the Results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Value for Money and the Results Chain schematic&#10;&#10;Economy: are commodities being procured at least cost? - Inputs: staff, health products, capital;  Efficiency: are outputs being produced at the most efficient combination of inputs? - Outputs: the method by which inputs are used:  Effectiveness: is project impact being maximised relative to inputs? - Impacts: results delivered from critical response phase in terms of wellbeing, long-term transformational change with individuals, families and communities in incidence reduction."/>
                    <pic:cNvPicPr/>
                  </pic:nvPicPr>
                  <pic:blipFill>
                    <a:blip r:embed="rId37">
                      <a:extLst>
                        <a:ext uri="{28A0092B-C50C-407E-A947-70E740481C1C}">
                          <a14:useLocalDpi xmlns:a14="http://schemas.microsoft.com/office/drawing/2010/main" val="0"/>
                        </a:ext>
                      </a:extLst>
                    </a:blip>
                    <a:stretch>
                      <a:fillRect/>
                    </a:stretch>
                  </pic:blipFill>
                  <pic:spPr>
                    <a:xfrm>
                      <a:off x="0" y="0"/>
                      <a:ext cx="5613400" cy="4381500"/>
                    </a:xfrm>
                    <a:prstGeom prst="rect">
                      <a:avLst/>
                    </a:prstGeom>
                  </pic:spPr>
                </pic:pic>
              </a:graphicData>
            </a:graphic>
          </wp:inline>
        </w:drawing>
      </w:r>
    </w:p>
    <w:p w14:paraId="3043FB9A" w14:textId="1E4ACAC0" w:rsidR="004128AE" w:rsidRPr="00A42F91" w:rsidRDefault="0052038D" w:rsidP="00A42F91">
      <w:pPr>
        <w:spacing w:after="360"/>
        <w:rPr>
          <w:rFonts w:cs="Arial"/>
        </w:rPr>
      </w:pPr>
      <w:r w:rsidRPr="00E52513">
        <w:rPr>
          <w:lang w:eastAsia="en-AU"/>
        </w:rPr>
        <w:t xml:space="preserve">It might be possible, </w:t>
      </w:r>
      <w:r w:rsidR="00C761DD">
        <w:rPr>
          <w:lang w:eastAsia="en-AU"/>
        </w:rPr>
        <w:t xml:space="preserve">in future evaluations if appropriate data is collected, such as </w:t>
      </w:r>
      <w:r w:rsidRPr="00E52513">
        <w:rPr>
          <w:lang w:eastAsia="en-AU"/>
        </w:rPr>
        <w:t xml:space="preserve">the cost analysis </w:t>
      </w:r>
      <w:r w:rsidR="00C761DD">
        <w:rPr>
          <w:lang w:eastAsia="en-AU"/>
        </w:rPr>
        <w:t xml:space="preserve">data gathered by </w:t>
      </w:r>
      <w:r w:rsidRPr="00E52513">
        <w:rPr>
          <w:lang w:eastAsia="en-AU"/>
        </w:rPr>
        <w:t>HMA (2020) and qualitative</w:t>
      </w:r>
      <w:r w:rsidR="00C761DD">
        <w:rPr>
          <w:lang w:eastAsia="en-AU"/>
        </w:rPr>
        <w:t xml:space="preserve"> data in this evaluation, </w:t>
      </w:r>
      <w:r w:rsidRPr="00E52513">
        <w:rPr>
          <w:lang w:eastAsia="en-AU"/>
        </w:rPr>
        <w:t xml:space="preserve">to make </w:t>
      </w:r>
      <w:proofErr w:type="spellStart"/>
      <w:r w:rsidRPr="00E52513">
        <w:rPr>
          <w:lang w:eastAsia="en-AU"/>
        </w:rPr>
        <w:t>VfM</w:t>
      </w:r>
      <w:proofErr w:type="spellEnd"/>
      <w:r w:rsidRPr="00E52513">
        <w:rPr>
          <w:lang w:eastAsia="en-AU"/>
        </w:rPr>
        <w:t xml:space="preserve"> judgements on the ‘economy’ and ‘efficiency’ aspects of NICRS operations</w:t>
      </w:r>
      <w:r w:rsidR="00C761DD">
        <w:rPr>
          <w:lang w:eastAsia="en-AU"/>
        </w:rPr>
        <w:t>.</w:t>
      </w:r>
      <w:r w:rsidRPr="00E52513">
        <w:rPr>
          <w:lang w:eastAsia="en-AU"/>
        </w:rPr>
        <w:t xml:space="preserve"> </w:t>
      </w:r>
      <w:r w:rsidR="00C761DD">
        <w:rPr>
          <w:lang w:eastAsia="en-AU"/>
        </w:rPr>
        <w:t>E</w:t>
      </w:r>
      <w:r w:rsidRPr="00E52513">
        <w:rPr>
          <w:lang w:eastAsia="en-AU"/>
        </w:rPr>
        <w:t xml:space="preserve">xplicit criteria and standards (of performance) </w:t>
      </w:r>
      <w:r w:rsidR="00C761DD">
        <w:rPr>
          <w:lang w:eastAsia="en-AU"/>
        </w:rPr>
        <w:t xml:space="preserve">would need to </w:t>
      </w:r>
      <w:r w:rsidRPr="00E52513">
        <w:rPr>
          <w:lang w:eastAsia="en-AU"/>
        </w:rPr>
        <w:t xml:space="preserve">be agreed upon. </w:t>
      </w:r>
      <w:proofErr w:type="spellStart"/>
      <w:r w:rsidRPr="00E52513">
        <w:rPr>
          <w:lang w:eastAsia="en-AU"/>
        </w:rPr>
        <w:t>VfM</w:t>
      </w:r>
      <w:proofErr w:type="spellEnd"/>
      <w:r w:rsidRPr="00E52513">
        <w:rPr>
          <w:lang w:eastAsia="en-AU"/>
        </w:rPr>
        <w:t xml:space="preserve"> of ‘effectiveness’ </w:t>
      </w:r>
      <w:r w:rsidR="00C761DD">
        <w:rPr>
          <w:lang w:eastAsia="en-AU"/>
        </w:rPr>
        <w:t xml:space="preserve">would also still </w:t>
      </w:r>
      <w:r w:rsidRPr="00E52513">
        <w:rPr>
          <w:lang w:eastAsia="en-AU"/>
        </w:rPr>
        <w:t>require agreement on the outcomes of the program and then routinely collecting data on those outcomes.</w:t>
      </w:r>
    </w:p>
    <w:p w14:paraId="15E89446" w14:textId="77777777" w:rsidR="00A42F91" w:rsidRDefault="00A42F91">
      <w:pPr>
        <w:spacing w:line="276" w:lineRule="auto"/>
        <w:rPr>
          <w:rFonts w:eastAsiaTheme="majorEastAsia"/>
          <w:b/>
          <w:bCs/>
          <w:color w:val="984806" w:themeColor="accent6" w:themeShade="80"/>
          <w:sz w:val="40"/>
          <w:szCs w:val="28"/>
        </w:rPr>
      </w:pPr>
      <w:bookmarkStart w:id="109" w:name="_Toc35966356"/>
      <w:bookmarkEnd w:id="108"/>
      <w:r>
        <w:br w:type="page"/>
      </w:r>
    </w:p>
    <w:p w14:paraId="65B71BAC" w14:textId="76F20608" w:rsidR="00E66DA6" w:rsidRPr="00E52513" w:rsidRDefault="00E66DA6" w:rsidP="00E34971">
      <w:pPr>
        <w:pStyle w:val="Heading1"/>
      </w:pPr>
      <w:bookmarkStart w:id="110" w:name="_Toc54966656"/>
      <w:r w:rsidRPr="00E52513">
        <w:lastRenderedPageBreak/>
        <w:t>Discussion</w:t>
      </w:r>
      <w:bookmarkEnd w:id="109"/>
      <w:bookmarkEnd w:id="110"/>
    </w:p>
    <w:p w14:paraId="3B2B81AE" w14:textId="6855EC50" w:rsidR="00DD16CC" w:rsidRPr="00E52513" w:rsidRDefault="00663BEF" w:rsidP="00152634">
      <w:pPr>
        <w:pStyle w:val="Heading2"/>
      </w:pPr>
      <w:bookmarkStart w:id="111" w:name="_Toc35966357"/>
      <w:bookmarkStart w:id="112" w:name="_Toc54966657"/>
      <w:r w:rsidRPr="00E52513">
        <w:t>Model of care</w:t>
      </w:r>
      <w:bookmarkEnd w:id="111"/>
      <w:bookmarkEnd w:id="112"/>
    </w:p>
    <w:p w14:paraId="1EE994D4" w14:textId="21DE28F8" w:rsidR="00686F28" w:rsidRPr="00E52513" w:rsidRDefault="00101E2C" w:rsidP="002243EF">
      <w:pPr>
        <w:pStyle w:val="Heading3"/>
      </w:pPr>
      <w:r w:rsidRPr="00E52513">
        <w:t>I</w:t>
      </w:r>
      <w:r w:rsidR="00686F28" w:rsidRPr="00E52513">
        <w:t xml:space="preserve">mplementation of the </w:t>
      </w:r>
      <w:r w:rsidRPr="00E52513">
        <w:t>model</w:t>
      </w:r>
    </w:p>
    <w:p w14:paraId="310E33C5" w14:textId="506E666B" w:rsidR="00355EBF" w:rsidRPr="00E52513" w:rsidRDefault="00355EBF" w:rsidP="00355EBF">
      <w:r w:rsidRPr="00E52513">
        <w:t>The findings from the evaluation indicated that the current NICRS model of care was not being uniformly adopted and that there was a lack of systems and mechanisms in place to support consistent implementation of the service. It was evident that implementation was breaking down at several steps of the published eight</w:t>
      </w:r>
      <w:r w:rsidR="00D73661" w:rsidRPr="00E52513">
        <w:t>-</w:t>
      </w:r>
      <w:r w:rsidRPr="00E52513">
        <w:t>step model and that there are few (if any) tools in place to monitor progress along the ‘journey of healing’ that underpins the model. This appears to be resulting in a lack of clarity for CRSAs, clients and stakeholders about the purpose and scope of the service and is potentially undermining broader confidence in the effectiveness of this national service.</w:t>
      </w:r>
    </w:p>
    <w:p w14:paraId="08E4DC38" w14:textId="3A8DDFC4" w:rsidR="00355EBF" w:rsidRPr="00E52513" w:rsidRDefault="00355EBF" w:rsidP="00355EBF">
      <w:pPr>
        <w:rPr>
          <w:lang w:eastAsia="en-AU"/>
        </w:rPr>
      </w:pPr>
      <w:r w:rsidRPr="00E52513">
        <w:t xml:space="preserve">The evidence gathered through the evaluation indicated that the service was valued by clients and viewed as a critical service by almost all interviewed participants. The immediate and practical support provided by the service, such as ERF for food and transport or advocacy, and liaison with key services was highly valued by clients and stakeholders. But the findings also indicated that there was a significant lack of clarity amongst clients, stakeholders and CRSAs about the purpose of the service, what </w:t>
      </w:r>
      <w:r w:rsidRPr="00E52513">
        <w:rPr>
          <w:lang w:eastAsia="en-AU"/>
        </w:rPr>
        <w:t>the service was providing and how long support could be expected.</w:t>
      </w:r>
    </w:p>
    <w:p w14:paraId="4EE1070A" w14:textId="7341B0D2" w:rsidR="00355EBF" w:rsidRPr="00E52513" w:rsidRDefault="00355EBF" w:rsidP="00355EBF">
      <w:r w:rsidRPr="00E52513">
        <w:t xml:space="preserve">The evaluation findings strongly indicated that a key contributing factor for inadequate implementation or execution of the model was a lack of supportive systems and infrastructure available to CRSAs and ineffective translation of policies into practice. For example, there was no evidence that CRSAs were using the assessment tool provided in the ORS Manual (Appendix 1 of that document) to execute Step 3 (collect detailed information) and Step 5 (identify needs) of the model. There was also limited evidence that CRSAs had access to forms or templates to develop </w:t>
      </w:r>
      <w:proofErr w:type="spellStart"/>
      <w:r w:rsidRPr="00E52513">
        <w:t>throughcare</w:t>
      </w:r>
      <w:proofErr w:type="spellEnd"/>
      <w:r w:rsidRPr="00E52513">
        <w:t xml:space="preserve"> plans</w:t>
      </w:r>
      <w:r w:rsidRPr="00E52513">
        <w:rPr>
          <w:rStyle w:val="FootnoteReference"/>
        </w:rPr>
        <w:footnoteReference w:id="27"/>
      </w:r>
      <w:r w:rsidRPr="00E52513">
        <w:t xml:space="preserve"> (Step 6), or customer relationship management (CRM) systems to set electronic reminders for regular reviews, or that formal processes were in place to assess when it was appropriate to ‘Step back’ (Step 8) from clients. At best, this has resulted in some clients receiving support longer than may be necessary. But at worst, many clients have not been properly followed up and have been left without ongoing support. Overall, it is possible that some clients have received inequitable and possibly inappropriate levels of support.</w:t>
      </w:r>
    </w:p>
    <w:p w14:paraId="29D7FB67" w14:textId="46713DD5" w:rsidR="00355EBF" w:rsidRPr="00E52513" w:rsidRDefault="00355EBF" w:rsidP="00355EBF">
      <w:r w:rsidRPr="00E52513">
        <w:t>Improving the supportive systems and infrastructure of the service is therefore paramount in order to ensure policies and procedures are translated into practice. It should then follow that the model would be uniformly implemented across the jurisdictions, while still allowing for some local customisation (for instance in response to more localised cultural practice).</w:t>
      </w:r>
    </w:p>
    <w:p w14:paraId="5DD4600E" w14:textId="77777777" w:rsidR="00355EBF" w:rsidRPr="00E52513" w:rsidRDefault="00355EBF" w:rsidP="00355EBF">
      <w:pPr>
        <w:pStyle w:val="Heading3"/>
      </w:pPr>
      <w:r w:rsidRPr="00E52513">
        <w:lastRenderedPageBreak/>
        <w:t>Restructured model of care</w:t>
      </w:r>
    </w:p>
    <w:p w14:paraId="3775D76C" w14:textId="77777777" w:rsidR="00355EBF" w:rsidRPr="00E52513" w:rsidRDefault="00355EBF" w:rsidP="00355EBF">
      <w:r w:rsidRPr="00E52513">
        <w:t>In addition to ensuring there are supportive systems and infrastructure for the service, reviewing and revising the current model of care may also be warranted to support consistent implementation of the model.</w:t>
      </w:r>
    </w:p>
    <w:p w14:paraId="3ED61803" w14:textId="015DE229" w:rsidR="00355EBF" w:rsidRPr="00E52513" w:rsidRDefault="00355EBF" w:rsidP="00355EBF">
      <w:r w:rsidRPr="00E52513">
        <w:t xml:space="preserve">Review of the literature suggest that the current model of care is in line with current understandings of </w:t>
      </w:r>
      <w:proofErr w:type="spellStart"/>
      <w:r w:rsidRPr="00E52513">
        <w:t>postvention</w:t>
      </w:r>
      <w:proofErr w:type="spellEnd"/>
      <w:r w:rsidRPr="00E52513">
        <w:t xml:space="preserve"> models. However, it was evident from the evaluation that the current description of the model is insufficiently clear and that some elements of the model are ambiguous in ways that were potentially impacting upon implementation.</w:t>
      </w:r>
    </w:p>
    <w:p w14:paraId="3663F366" w14:textId="5CE189DB" w:rsidR="00355EBF" w:rsidRPr="00E52513" w:rsidRDefault="00355EBF" w:rsidP="00355EBF">
      <w:r w:rsidRPr="00E52513">
        <w:t>Based on these collective findings, an example of how the model of care might be revised has been developed by the evaluation team to assist the Board’s deliberations on this issue. The intention of this example model is to point out how a broad outline of the service and the boundaries around the type and duration of support could be made clearer, as well as promoting long</w:t>
      </w:r>
      <w:r w:rsidR="00D73661" w:rsidRPr="00E52513">
        <w:t>-</w:t>
      </w:r>
      <w:r w:rsidRPr="00E52513">
        <w:t>term capacity building and community engagement in service locations.</w:t>
      </w:r>
    </w:p>
    <w:p w14:paraId="337D4E65" w14:textId="09B9E0D7" w:rsidR="00355EBF" w:rsidRPr="00E52513" w:rsidRDefault="00355EBF" w:rsidP="00355EBF">
      <w:r w:rsidRPr="00E52513">
        <w:t>The model has been reconfigured into a three phased approach as follows:</w:t>
      </w:r>
    </w:p>
    <w:p w14:paraId="69355753" w14:textId="524A6D0D" w:rsidR="00355EBF" w:rsidRPr="00E52513" w:rsidRDefault="00355EBF" w:rsidP="009437A5">
      <w:pPr>
        <w:pStyle w:val="ListParagraph"/>
        <w:numPr>
          <w:ilvl w:val="0"/>
          <w:numId w:val="26"/>
        </w:numPr>
      </w:pPr>
      <w:r w:rsidRPr="00E52513">
        <w:rPr>
          <w:b/>
        </w:rPr>
        <w:t>Preparation phase -</w:t>
      </w:r>
      <w:r w:rsidRPr="00E52513">
        <w:t xml:space="preserve"> this is a major data collection phase involving assessment of service scope, incident information collection, client data collection and obtaining consent for service engagement; in parallel, this is a time for research and networking in relation to the local community and its cultural and service resources so that the CRSA is well prepared to enter a co-design process for a </w:t>
      </w:r>
      <w:proofErr w:type="spellStart"/>
      <w:r w:rsidRPr="00E52513">
        <w:t>throughcare</w:t>
      </w:r>
      <w:proofErr w:type="spellEnd"/>
      <w:r w:rsidRPr="00E52513">
        <w:t xml:space="preserve"> plan that connects the client with local support infrastructure – this phase may last from only a matter of hours after notification or for a period of days or weeks, depending on the client and family’s preferences for engagement.</w:t>
      </w:r>
    </w:p>
    <w:p w14:paraId="3E63F4CD" w14:textId="25EAA12B" w:rsidR="00355EBF" w:rsidRPr="00E52513" w:rsidRDefault="00355EBF" w:rsidP="009437A5">
      <w:pPr>
        <w:pStyle w:val="ListParagraph"/>
        <w:numPr>
          <w:ilvl w:val="0"/>
          <w:numId w:val="26"/>
        </w:numPr>
      </w:pPr>
      <w:r w:rsidRPr="00E52513">
        <w:rPr>
          <w:b/>
        </w:rPr>
        <w:t>Critical response phase</w:t>
      </w:r>
      <w:r w:rsidRPr="00E52513">
        <w:t xml:space="preserve"> – in this phase clients are provided with support immediately after an incident and for up to three months; during this time it would be expected that CRSAs have assessed client needs using standard tools and checklists, provided </w:t>
      </w:r>
      <w:proofErr w:type="spellStart"/>
      <w:r w:rsidRPr="00E52513">
        <w:t>postvention</w:t>
      </w:r>
      <w:proofErr w:type="spellEnd"/>
      <w:r w:rsidRPr="00E52513">
        <w:t xml:space="preserve"> information (</w:t>
      </w:r>
      <w:proofErr w:type="spellStart"/>
      <w:r w:rsidRPr="00E52513">
        <w:t>Stand</w:t>
      </w:r>
      <w:r w:rsidR="00E03911" w:rsidRPr="00E52513">
        <w:t>B</w:t>
      </w:r>
      <w:r w:rsidRPr="00E52513">
        <w:t>y</w:t>
      </w:r>
      <w:proofErr w:type="spellEnd"/>
      <w:r w:rsidRPr="00E52513">
        <w:t xml:space="preserve"> has a number of appropriate resources that could be adapted for NICRS’s target audience; including by translation into appropriate language) and made appropriate referrals and connections.</w:t>
      </w:r>
    </w:p>
    <w:p w14:paraId="1BB33AA9" w14:textId="1189150F" w:rsidR="00355EBF" w:rsidRPr="00E52513" w:rsidRDefault="00355EBF" w:rsidP="009437A5">
      <w:pPr>
        <w:pStyle w:val="ListParagraph"/>
        <w:numPr>
          <w:ilvl w:val="0"/>
          <w:numId w:val="26"/>
        </w:numPr>
      </w:pPr>
      <w:r w:rsidRPr="00E52513">
        <w:rPr>
          <w:b/>
        </w:rPr>
        <w:t xml:space="preserve">Ongoing support phase – </w:t>
      </w:r>
      <w:r w:rsidRPr="00E52513">
        <w:t>in this</w:t>
      </w:r>
      <w:r w:rsidRPr="00E52513">
        <w:rPr>
          <w:b/>
        </w:rPr>
        <w:t xml:space="preserve"> </w:t>
      </w:r>
      <w:r w:rsidRPr="00E52513">
        <w:t>phase clients are supported for up to one year to ensure they remain connected with services and supports. After one year, CRSAs will continue to follow</w:t>
      </w:r>
      <w:r w:rsidR="00D73661" w:rsidRPr="00E52513">
        <w:t>-</w:t>
      </w:r>
      <w:r w:rsidRPr="00E52513">
        <w:t xml:space="preserve">up with clients at key anniversaries, etc., by setting reminders in a </w:t>
      </w:r>
      <w:r w:rsidR="008759E9" w:rsidRPr="00E52513">
        <w:t>CRM</w:t>
      </w:r>
      <w:r w:rsidRPr="00E52513">
        <w:t xml:space="preserve"> system for two to three years. In this ongoing phase Coordinators and CRSAs would also undertake a ‘population health response’ to build the capacity of communities through education, community development activities and cultivation of relationships with relevant networks, which is analogous with Stream 2 of the current NICRS approach.</w:t>
      </w:r>
    </w:p>
    <w:p w14:paraId="45DE253C" w14:textId="67FA98E4" w:rsidR="00355EBF" w:rsidRPr="00E52513" w:rsidRDefault="00355EBF" w:rsidP="00355EBF">
      <w:r w:rsidRPr="00E52513">
        <w:t xml:space="preserve">An outline of the suggested model revision, for discussion within NICRS, </w:t>
      </w:r>
      <w:proofErr w:type="spellStart"/>
      <w:r w:rsidRPr="00E52513">
        <w:t>Thirrili</w:t>
      </w:r>
      <w:proofErr w:type="spellEnd"/>
      <w:r w:rsidRPr="00E52513">
        <w:t xml:space="preserve"> and trusted stakeholders, is provided in Figure </w:t>
      </w:r>
      <w:r w:rsidR="000F66D0" w:rsidRPr="00E52513">
        <w:t>25</w:t>
      </w:r>
      <w:r w:rsidRPr="00E52513">
        <w:t>. Only phases 2 and 3 are included. A set of potential outcome measures for each phase have also been included to provide an indication of the types of outcomes that would be expected for each phase. This list is by no means exhaustive.</w:t>
      </w:r>
    </w:p>
    <w:p w14:paraId="3A9BCE27" w14:textId="6E51CBDD" w:rsidR="009668AC" w:rsidRPr="00E52513" w:rsidRDefault="002A580E" w:rsidP="002A580E">
      <w:pPr>
        <w:keepNext/>
        <w:ind w:left="-567"/>
        <w:jc w:val="center"/>
      </w:pPr>
      <w:r>
        <w:rPr>
          <w:noProof/>
          <w:lang w:eastAsia="en-AU"/>
        </w:rPr>
        <w:lastRenderedPageBreak/>
        <w:drawing>
          <wp:inline distT="0" distB="0" distL="0" distR="0" wp14:anchorId="5306BE64" wp14:editId="4F233710">
            <wp:extent cx="6942207" cy="7734300"/>
            <wp:effectExtent l="0" t="0" r="0" b="0"/>
            <wp:docPr id="5" name="Picture 5" descr="Networks and trained supports and other resources feed into a cultural approach, then three phases of activitiy - 1. Response and information gathering - provide client with info about post-suicide reaction, systematic use of checklist/tools to understand support networks, needs, risks etc.  2. Decision for in/out of scope.  3. Provide support - throughcare plan, ERF and practical support (e.g. liaison with services), 'accidental counselling', mental health First Aid.  Possible outcome measures: NICRS program is known; relationships, engagement and connection with community; provision of postvention education; client's needs are addressed - housing/utilities, food, transport, funeral, coroner; referrals - grief counselling, trauma counselling.   Phase 3 - Ongoing Support Phase - post 3 months: Throughcare planning - up to 1 year - ongoing case management/coordination, connecting with services. Ongoing review and duty of care - up to 2-3 years: touch base with client for 2-3 years (e.g. anniversaries), reminders set up in well maintained CRM database. Population health response - Stream 2:  suicide prevention and SEWB activities, capacity building/education in community, networking through interagency meetings, liaising with local hospitals, services etc.  Possible outcome measures: NICRS understood; relationaships with clients maintained; support for clients is retained or reconnected; community connections." title="Schematic outine - draft reconstructed model and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se2and3.PNG"/>
                    <pic:cNvPicPr/>
                  </pic:nvPicPr>
                  <pic:blipFill>
                    <a:blip r:embed="rId38">
                      <a:extLst>
                        <a:ext uri="{28A0092B-C50C-407E-A947-70E740481C1C}">
                          <a14:useLocalDpi xmlns:a14="http://schemas.microsoft.com/office/drawing/2010/main" val="0"/>
                        </a:ext>
                      </a:extLst>
                    </a:blip>
                    <a:stretch>
                      <a:fillRect/>
                    </a:stretch>
                  </pic:blipFill>
                  <pic:spPr>
                    <a:xfrm>
                      <a:off x="0" y="0"/>
                      <a:ext cx="6949961" cy="7742939"/>
                    </a:xfrm>
                    <a:prstGeom prst="rect">
                      <a:avLst/>
                    </a:prstGeom>
                  </pic:spPr>
                </pic:pic>
              </a:graphicData>
            </a:graphic>
          </wp:inline>
        </w:drawing>
      </w:r>
    </w:p>
    <w:p w14:paraId="7F3C3684" w14:textId="456FCD57" w:rsidR="00C91D92" w:rsidRPr="00E52513" w:rsidRDefault="009668AC" w:rsidP="008040F0">
      <w:pPr>
        <w:pStyle w:val="Caption"/>
        <w:jc w:val="left"/>
      </w:pPr>
      <w:r w:rsidRPr="00E52513">
        <w:t xml:space="preserve">Figure </w:t>
      </w:r>
      <w:r w:rsidR="00D97F39">
        <w:rPr>
          <w:noProof/>
        </w:rPr>
        <w:fldChar w:fldCharType="begin"/>
      </w:r>
      <w:r w:rsidR="00D97F39">
        <w:rPr>
          <w:noProof/>
        </w:rPr>
        <w:instrText xml:space="preserve"> SEQ Figure \* ARABIC </w:instrText>
      </w:r>
      <w:r w:rsidR="00D97F39">
        <w:rPr>
          <w:noProof/>
        </w:rPr>
        <w:fldChar w:fldCharType="separate"/>
      </w:r>
      <w:r w:rsidR="009A4879">
        <w:rPr>
          <w:noProof/>
        </w:rPr>
        <w:t>25</w:t>
      </w:r>
      <w:r w:rsidR="00D97F39">
        <w:rPr>
          <w:noProof/>
        </w:rPr>
        <w:fldChar w:fldCharType="end"/>
      </w:r>
      <w:r w:rsidRPr="00E52513">
        <w:t>: Reconstructed model and outcome measures developed by the evaluation team</w:t>
      </w:r>
    </w:p>
    <w:p w14:paraId="48149567" w14:textId="63AB776A" w:rsidR="006E2409" w:rsidRPr="00E52513" w:rsidRDefault="002054AE" w:rsidP="00152634">
      <w:pPr>
        <w:pStyle w:val="Heading2"/>
      </w:pPr>
      <w:r>
        <w:lastRenderedPageBreak/>
        <w:t xml:space="preserve"> </w:t>
      </w:r>
      <w:bookmarkStart w:id="113" w:name="_Toc54966658"/>
      <w:r w:rsidR="006E2409" w:rsidRPr="00E52513">
        <w:t>Governance of the program</w:t>
      </w:r>
      <w:bookmarkEnd w:id="113"/>
    </w:p>
    <w:p w14:paraId="7366B5D9" w14:textId="24483D8D" w:rsidR="00D53A1D" w:rsidRPr="00E52513" w:rsidRDefault="00D53A1D" w:rsidP="00D53A1D">
      <w:r w:rsidRPr="00E52513">
        <w:t xml:space="preserve">Within </w:t>
      </w:r>
      <w:proofErr w:type="spellStart"/>
      <w:r w:rsidRPr="00E52513">
        <w:t>Thirrili</w:t>
      </w:r>
      <w:proofErr w:type="spellEnd"/>
      <w:r w:rsidRPr="00E52513">
        <w:t xml:space="preserve"> (and more specifically the NICRS), despite the findings that organisation governance needs to be improved, there are many of the elements of a sound governance structure.</w:t>
      </w:r>
    </w:p>
    <w:p w14:paraId="465B39F9" w14:textId="558DCC4A" w:rsidR="00D53A1D" w:rsidRPr="00E52513" w:rsidRDefault="00D53A1D" w:rsidP="00D53A1D">
      <w:r w:rsidRPr="00E52513">
        <w:t xml:space="preserve">There is a Board of Directors that meets regularly and is comprised of </w:t>
      </w:r>
      <w:r w:rsidR="00E03911" w:rsidRPr="00E52513">
        <w:t>D</w:t>
      </w:r>
      <w:r w:rsidRPr="00E52513">
        <w:t xml:space="preserve">irectors of appropriate skill and experience. There are </w:t>
      </w:r>
      <w:r w:rsidR="00425EFF" w:rsidRPr="00E52513">
        <w:t>many</w:t>
      </w:r>
      <w:r w:rsidRPr="00E52513">
        <w:t xml:space="preserve"> policies and procedures documents that cover most areas of the organisation’s financial and human resources operations, client and external partner relationships and legislative requirements. There is a management structure in place that should be able to support the front</w:t>
      </w:r>
      <w:r w:rsidR="00E179F6" w:rsidRPr="00E52513">
        <w:t>line</w:t>
      </w:r>
      <w:r w:rsidRPr="00E52513">
        <w:t xml:space="preserve"> staff perform their roles. There is a </w:t>
      </w:r>
      <w:r w:rsidR="00E03911" w:rsidRPr="00E52513">
        <w:t>m</w:t>
      </w:r>
      <w:r w:rsidRPr="00E52513">
        <w:t xml:space="preserve">odel of </w:t>
      </w:r>
      <w:r w:rsidR="00E03911" w:rsidRPr="00E52513">
        <w:t>c</w:t>
      </w:r>
      <w:r w:rsidRPr="00E52513">
        <w:t xml:space="preserve">are document that, despite the thoughts canvassed in the previous section, provides some direction. There is a </w:t>
      </w:r>
      <w:r w:rsidR="00E03911" w:rsidRPr="00E52513">
        <w:t>p</w:t>
      </w:r>
      <w:r w:rsidRPr="00E52513">
        <w:t xml:space="preserve">rogram </w:t>
      </w:r>
      <w:r w:rsidR="00E03911" w:rsidRPr="00E52513">
        <w:t>l</w:t>
      </w:r>
      <w:r w:rsidRPr="00E52513">
        <w:t>ogic that identifies the ‘vision’ for the service and provides outcomes to potentially measure performance and hold various levels of the organisation to account.</w:t>
      </w:r>
    </w:p>
    <w:p w14:paraId="34CBCDEA" w14:textId="7420A205" w:rsidR="00D53A1D" w:rsidRPr="00E52513" w:rsidRDefault="00D53A1D" w:rsidP="00D53A1D">
      <w:r w:rsidRPr="00E52513">
        <w:t xml:space="preserve">Despite all these elements being in place, the practice (clinical) governance remains deficient. There appears to be a lack of frameworks and structures that can integrate </w:t>
      </w:r>
      <w:r w:rsidR="00425EFF" w:rsidRPr="00E52513">
        <w:t>all</w:t>
      </w:r>
      <w:r w:rsidRPr="00E52513">
        <w:t xml:space="preserve"> these elements into cohesion, thereby acting to ensure governance functions at the different corporate / cultural, managerial, operational and practice levels. The two missing pieces of work appear to be:</w:t>
      </w:r>
    </w:p>
    <w:p w14:paraId="09A7564A" w14:textId="1D9373C7" w:rsidR="00D53A1D" w:rsidRPr="00E52513" w:rsidRDefault="00D53A1D" w:rsidP="009437A5">
      <w:pPr>
        <w:pStyle w:val="ListParagraph"/>
        <w:numPr>
          <w:ilvl w:val="0"/>
          <w:numId w:val="35"/>
        </w:numPr>
        <w:tabs>
          <w:tab w:val="clear" w:pos="284"/>
        </w:tabs>
        <w:spacing w:before="0"/>
        <w:contextualSpacing/>
      </w:pPr>
      <w:r w:rsidRPr="00E52513">
        <w:t>a governance framework</w:t>
      </w:r>
    </w:p>
    <w:p w14:paraId="73A604E9" w14:textId="3CCD6040" w:rsidR="00D53A1D" w:rsidRPr="00E52513" w:rsidRDefault="00D53A1D" w:rsidP="009437A5">
      <w:pPr>
        <w:pStyle w:val="ListParagraph"/>
        <w:numPr>
          <w:ilvl w:val="0"/>
          <w:numId w:val="35"/>
        </w:numPr>
        <w:tabs>
          <w:tab w:val="clear" w:pos="284"/>
        </w:tabs>
        <w:spacing w:before="0"/>
        <w:contextualSpacing/>
      </w:pPr>
      <w:proofErr w:type="gramStart"/>
      <w:r w:rsidRPr="00E52513">
        <w:t>a</w:t>
      </w:r>
      <w:proofErr w:type="gramEnd"/>
      <w:r w:rsidRPr="00E52513">
        <w:t xml:space="preserve"> strategic or business plan.</w:t>
      </w:r>
    </w:p>
    <w:p w14:paraId="4317490B" w14:textId="763CFAFF" w:rsidR="00D53A1D" w:rsidRPr="00E52513" w:rsidRDefault="00D53A1D" w:rsidP="00D53A1D">
      <w:r w:rsidRPr="00E52513">
        <w:t xml:space="preserve">While </w:t>
      </w:r>
      <w:r w:rsidR="00425EFF" w:rsidRPr="00E52513">
        <w:t>both</w:t>
      </w:r>
      <w:r w:rsidRPr="00E52513">
        <w:t xml:space="preserve"> are document-based tools, it is important to consider them more as bodies of work that need to be undertaken by all the internal stakeholders (</w:t>
      </w:r>
      <w:r w:rsidR="00E03911" w:rsidRPr="00E52513">
        <w:t>D</w:t>
      </w:r>
      <w:r w:rsidRPr="00E52513">
        <w:t>irectors, managers, workers) and, where appropriate, with engaged external stakeholders. It is the work to develop these documents which will be important and make the difference in how they are used and contribute to governance improvement.</w:t>
      </w:r>
    </w:p>
    <w:p w14:paraId="6F5A0223" w14:textId="215D6305" w:rsidR="00D53A1D" w:rsidRDefault="00D53A1D" w:rsidP="00D53A1D">
      <w:pPr>
        <w:spacing w:after="120"/>
      </w:pPr>
      <w:r w:rsidRPr="00E52513">
        <w:t>Other than promoting the use of collaborative and appreciative inquiry processes to develop those tools (and especially the strategic and business plan), the evaluation team has no prescriptive suggestions as to how these documents should take shape. However, the following areas appear to be vital to consider and to have covered in any new governance arrangements:</w:t>
      </w:r>
    </w:p>
    <w:p w14:paraId="20500484" w14:textId="77777777" w:rsidR="00054B25" w:rsidRDefault="00054B25" w:rsidP="009437A5">
      <w:pPr>
        <w:pStyle w:val="ListParagraph"/>
        <w:numPr>
          <w:ilvl w:val="0"/>
          <w:numId w:val="38"/>
        </w:numPr>
        <w:spacing w:after="120"/>
        <w:rPr>
          <w:i/>
          <w:iCs/>
        </w:rPr>
        <w:sectPr w:rsidR="00054B25" w:rsidSect="008040F0">
          <w:footerReference w:type="default" r:id="rId39"/>
          <w:pgSz w:w="11906" w:h="16838"/>
          <w:pgMar w:top="1440" w:right="1080" w:bottom="1440" w:left="1080" w:header="709" w:footer="454" w:gutter="0"/>
          <w:cols w:space="708"/>
          <w:docGrid w:linePitch="360"/>
        </w:sectPr>
      </w:pPr>
    </w:p>
    <w:p w14:paraId="298CDBCA" w14:textId="5990BA82" w:rsidR="006A6D48" w:rsidRPr="00E52513" w:rsidRDefault="006A6D48" w:rsidP="009437A5">
      <w:pPr>
        <w:pStyle w:val="ListParagraph"/>
        <w:numPr>
          <w:ilvl w:val="0"/>
          <w:numId w:val="38"/>
        </w:numPr>
        <w:spacing w:after="120"/>
        <w:ind w:left="714" w:hanging="357"/>
        <w:rPr>
          <w:i/>
          <w:iCs/>
        </w:rPr>
      </w:pPr>
      <w:r w:rsidRPr="00E52513">
        <w:rPr>
          <w:i/>
          <w:iCs/>
        </w:rPr>
        <w:t>Workforce capacity</w:t>
      </w:r>
    </w:p>
    <w:p w14:paraId="1BD89D4A" w14:textId="77777777" w:rsidR="006A6D48" w:rsidRPr="00E52513" w:rsidRDefault="006A6D48" w:rsidP="009437A5">
      <w:pPr>
        <w:pStyle w:val="ListParagraph"/>
        <w:numPr>
          <w:ilvl w:val="0"/>
          <w:numId w:val="38"/>
        </w:numPr>
        <w:spacing w:before="0" w:after="0"/>
        <w:rPr>
          <w:i/>
          <w:iCs/>
        </w:rPr>
      </w:pPr>
      <w:r w:rsidRPr="00E52513">
        <w:rPr>
          <w:i/>
          <w:iCs/>
        </w:rPr>
        <w:t xml:space="preserve">Workforce </w:t>
      </w:r>
      <w:r w:rsidRPr="00054B25">
        <w:t>capability</w:t>
      </w:r>
    </w:p>
    <w:p w14:paraId="349B87A8" w14:textId="77777777" w:rsidR="00054B25" w:rsidRDefault="006A6D48" w:rsidP="009437A5">
      <w:pPr>
        <w:pStyle w:val="ListParagraph"/>
        <w:numPr>
          <w:ilvl w:val="1"/>
          <w:numId w:val="38"/>
        </w:numPr>
        <w:spacing w:before="0" w:after="0"/>
        <w:ind w:left="1434" w:hanging="357"/>
      </w:pPr>
      <w:r w:rsidRPr="00E52513">
        <w:t>induction, education and training</w:t>
      </w:r>
    </w:p>
    <w:p w14:paraId="13419E6E" w14:textId="1C3B7902" w:rsidR="00054B25" w:rsidRDefault="00054B25" w:rsidP="009437A5">
      <w:pPr>
        <w:pStyle w:val="ListParagraph"/>
        <w:numPr>
          <w:ilvl w:val="1"/>
          <w:numId w:val="38"/>
        </w:numPr>
        <w:spacing w:before="0" w:after="0"/>
        <w:ind w:left="1434" w:hanging="357"/>
      </w:pPr>
      <w:r w:rsidRPr="00E52513">
        <w:t>practice and administrative supervision</w:t>
      </w:r>
    </w:p>
    <w:p w14:paraId="309DFC3F" w14:textId="2DA14C90" w:rsidR="00054B25" w:rsidRDefault="00054B25" w:rsidP="00054B25">
      <w:pPr>
        <w:spacing w:after="0"/>
      </w:pPr>
    </w:p>
    <w:p w14:paraId="2002FFD0" w14:textId="77777777" w:rsidR="00054B25" w:rsidRPr="00054B25" w:rsidRDefault="00054B25" w:rsidP="00054B25">
      <w:pPr>
        <w:spacing w:after="0"/>
      </w:pPr>
    </w:p>
    <w:p w14:paraId="356D02EB" w14:textId="392B8854" w:rsidR="00054B25" w:rsidRPr="00054B25" w:rsidRDefault="00054B25" w:rsidP="00054B25">
      <w:pPr>
        <w:spacing w:after="0"/>
        <w:rPr>
          <w:i/>
          <w:iCs/>
        </w:rPr>
      </w:pPr>
      <w:r w:rsidRPr="00054B25">
        <w:rPr>
          <w:i/>
          <w:iCs/>
        </w:rPr>
        <w:t>Workforce health and safety</w:t>
      </w:r>
    </w:p>
    <w:p w14:paraId="3215B568" w14:textId="77777777" w:rsidR="00054B25" w:rsidRDefault="00054B25" w:rsidP="009437A5">
      <w:pPr>
        <w:pStyle w:val="ListParagraph"/>
        <w:numPr>
          <w:ilvl w:val="1"/>
          <w:numId w:val="38"/>
        </w:numPr>
        <w:spacing w:before="0" w:after="0"/>
        <w:ind w:left="1434" w:hanging="357"/>
      </w:pPr>
      <w:r w:rsidRPr="00E52513">
        <w:t>site visit procedure</w:t>
      </w:r>
    </w:p>
    <w:p w14:paraId="05DD2DED" w14:textId="77777777" w:rsidR="00054B25" w:rsidRPr="002054AE" w:rsidRDefault="00054B25" w:rsidP="009437A5">
      <w:pPr>
        <w:pStyle w:val="ListParagraph"/>
        <w:numPr>
          <w:ilvl w:val="1"/>
          <w:numId w:val="38"/>
        </w:numPr>
        <w:spacing w:before="0" w:after="120"/>
        <w:ind w:left="1434" w:hanging="357"/>
      </w:pPr>
      <w:r w:rsidRPr="00E52513">
        <w:t>psychological support</w:t>
      </w:r>
      <w:r w:rsidRPr="002054AE">
        <w:rPr>
          <w:i/>
          <w:iCs/>
        </w:rPr>
        <w:t xml:space="preserve"> </w:t>
      </w:r>
    </w:p>
    <w:p w14:paraId="11379A18" w14:textId="77777777" w:rsidR="00054B25" w:rsidRPr="00E52513" w:rsidRDefault="00054B25" w:rsidP="009437A5">
      <w:pPr>
        <w:pStyle w:val="ListParagraph"/>
        <w:numPr>
          <w:ilvl w:val="0"/>
          <w:numId w:val="38"/>
        </w:numPr>
        <w:spacing w:before="0" w:after="0"/>
        <w:rPr>
          <w:i/>
          <w:iCs/>
        </w:rPr>
      </w:pPr>
      <w:r w:rsidRPr="00E52513">
        <w:rPr>
          <w:i/>
          <w:iCs/>
        </w:rPr>
        <w:t xml:space="preserve">Strategic </w:t>
      </w:r>
      <w:r w:rsidRPr="00054B25">
        <w:rPr>
          <w:i/>
          <w:iCs/>
        </w:rPr>
        <w:t>planning</w:t>
      </w:r>
    </w:p>
    <w:p w14:paraId="1D1F38A7" w14:textId="77777777" w:rsidR="00054B25" w:rsidRPr="00E52513" w:rsidRDefault="00054B25" w:rsidP="009437A5">
      <w:pPr>
        <w:pStyle w:val="ListParagraph"/>
        <w:numPr>
          <w:ilvl w:val="1"/>
          <w:numId w:val="38"/>
        </w:numPr>
        <w:spacing w:before="0" w:after="0"/>
        <w:ind w:left="1434" w:hanging="357"/>
      </w:pPr>
      <w:r w:rsidRPr="00E52513">
        <w:t>clear vision and expectations</w:t>
      </w:r>
    </w:p>
    <w:p w14:paraId="36F01541" w14:textId="7414547A" w:rsidR="00054B25" w:rsidRPr="00054B25" w:rsidRDefault="00054B25" w:rsidP="009437A5">
      <w:pPr>
        <w:pStyle w:val="ListParagraph"/>
        <w:numPr>
          <w:ilvl w:val="1"/>
          <w:numId w:val="38"/>
        </w:numPr>
        <w:spacing w:before="0" w:after="120"/>
        <w:ind w:left="1434" w:hanging="357"/>
      </w:pPr>
      <w:r w:rsidRPr="00E52513">
        <w:t>performance indicator</w:t>
      </w:r>
    </w:p>
    <w:p w14:paraId="3FF4AB03" w14:textId="77777777" w:rsidR="00054B25" w:rsidRPr="00E52513" w:rsidRDefault="00054B25" w:rsidP="009437A5">
      <w:pPr>
        <w:pStyle w:val="ListParagraph"/>
        <w:numPr>
          <w:ilvl w:val="0"/>
          <w:numId w:val="38"/>
        </w:numPr>
        <w:spacing w:before="0"/>
      </w:pPr>
      <w:r w:rsidRPr="00E52513">
        <w:rPr>
          <w:i/>
          <w:iCs/>
        </w:rPr>
        <w:t>Service planning and operations management.</w:t>
      </w:r>
    </w:p>
    <w:p w14:paraId="1876B01F" w14:textId="77777777" w:rsidR="00054B25" w:rsidRPr="00054B25" w:rsidRDefault="00054B25" w:rsidP="00054B25">
      <w:pPr>
        <w:ind w:left="1080"/>
        <w:rPr>
          <w:i/>
          <w:iCs/>
        </w:rPr>
        <w:sectPr w:rsidR="00054B25" w:rsidRPr="00054B25" w:rsidSect="00054B25">
          <w:type w:val="continuous"/>
          <w:pgSz w:w="11906" w:h="16838"/>
          <w:pgMar w:top="1440" w:right="1080" w:bottom="1440" w:left="1080" w:header="709" w:footer="454" w:gutter="0"/>
          <w:cols w:num="2" w:space="708"/>
          <w:docGrid w:linePitch="360"/>
        </w:sectPr>
      </w:pPr>
    </w:p>
    <w:p w14:paraId="55AFF52A" w14:textId="77777777" w:rsidR="00D53A1D" w:rsidRPr="00E52513" w:rsidRDefault="00D53A1D" w:rsidP="00D53A1D">
      <w:pPr>
        <w:pStyle w:val="Heading3"/>
      </w:pPr>
      <w:r w:rsidRPr="00E52513">
        <w:t>Workforce capacity</w:t>
      </w:r>
      <w:bookmarkStart w:id="114" w:name="_GoBack"/>
      <w:bookmarkEnd w:id="114"/>
    </w:p>
    <w:p w14:paraId="5A5D30A9" w14:textId="0BFD3EEC" w:rsidR="00D53A1D" w:rsidRPr="00E52513" w:rsidRDefault="00D53A1D" w:rsidP="00D53A1D">
      <w:r w:rsidRPr="00E52513">
        <w:t>In Section 9 the capacity of the current CRSA resources to adequately cover all incidents that occur in each of the jurisdictions within which the NICRS is operating was questioned. From a governance perspective, further research needs to be undertaken into the workforce requirements needed to deliver the contracted level of services at the agreed level of quality.</w:t>
      </w:r>
    </w:p>
    <w:p w14:paraId="4420AC85" w14:textId="17766878" w:rsidR="00D53A1D" w:rsidRPr="00E52513" w:rsidRDefault="00D53A1D" w:rsidP="00D53A1D">
      <w:pPr>
        <w:spacing w:after="120"/>
      </w:pPr>
      <w:r w:rsidRPr="00E52513">
        <w:lastRenderedPageBreak/>
        <w:t xml:space="preserve">Workforce requirements are dictated by the work that </w:t>
      </w:r>
      <w:r w:rsidR="00425EFF" w:rsidRPr="00E52513">
        <w:t>must</w:t>
      </w:r>
      <w:r w:rsidRPr="00E52513">
        <w:t xml:space="preserve"> be performed, so this research will need to be preceded by service planning decisions with regard (at least) to:</w:t>
      </w:r>
    </w:p>
    <w:p w14:paraId="34873E16" w14:textId="77777777" w:rsidR="00D53A1D" w:rsidRPr="00E52513" w:rsidRDefault="00D53A1D" w:rsidP="009437A5">
      <w:pPr>
        <w:pStyle w:val="ListParagraph"/>
        <w:numPr>
          <w:ilvl w:val="0"/>
          <w:numId w:val="39"/>
        </w:numPr>
        <w:spacing w:after="120"/>
      </w:pPr>
      <w:r w:rsidRPr="00E52513">
        <w:t>the model of care (whether this be the current model or a revised model)</w:t>
      </w:r>
    </w:p>
    <w:p w14:paraId="4365AEAE" w14:textId="77777777" w:rsidR="00D53A1D" w:rsidRPr="00E52513" w:rsidRDefault="00D53A1D" w:rsidP="009437A5">
      <w:pPr>
        <w:pStyle w:val="ListParagraph"/>
        <w:numPr>
          <w:ilvl w:val="0"/>
          <w:numId w:val="39"/>
        </w:numPr>
        <w:spacing w:after="120"/>
      </w:pPr>
      <w:r w:rsidRPr="00E52513">
        <w:t>the scope the services (whether it is national or a more regional focus on ‘hotspots’)</w:t>
      </w:r>
    </w:p>
    <w:p w14:paraId="2EEB1723" w14:textId="7CD7E7C5" w:rsidR="00D53A1D" w:rsidRPr="00E52513" w:rsidRDefault="00D53A1D" w:rsidP="009437A5">
      <w:pPr>
        <w:pStyle w:val="ListParagraph"/>
        <w:numPr>
          <w:ilvl w:val="0"/>
          <w:numId w:val="39"/>
        </w:numPr>
        <w:spacing w:after="120"/>
      </w:pPr>
      <w:r w:rsidRPr="00E52513">
        <w:t xml:space="preserve">the deployment of resources (the current distribution vs more </w:t>
      </w:r>
      <w:r w:rsidR="00425EFF" w:rsidRPr="00E52513">
        <w:t>cluster</w:t>
      </w:r>
      <w:r w:rsidRPr="00E52513">
        <w:t>-oriented)</w:t>
      </w:r>
    </w:p>
    <w:p w14:paraId="0BE36FF6" w14:textId="5CE3E492" w:rsidR="00D53A1D" w:rsidRPr="00E52513" w:rsidRDefault="00D53A1D" w:rsidP="009437A5">
      <w:pPr>
        <w:pStyle w:val="ListParagraph"/>
        <w:numPr>
          <w:ilvl w:val="0"/>
          <w:numId w:val="39"/>
        </w:numPr>
      </w:pPr>
      <w:proofErr w:type="gramStart"/>
      <w:r w:rsidRPr="00E52513">
        <w:t>the</w:t>
      </w:r>
      <w:proofErr w:type="gramEnd"/>
      <w:r w:rsidRPr="00E52513">
        <w:t xml:space="preserve"> operational processes to be adopted (continuation of sole practice or more focus on teams; level of flexibility according to incident contexts).</w:t>
      </w:r>
    </w:p>
    <w:p w14:paraId="2F4AE677" w14:textId="2D2F6815" w:rsidR="00D53A1D" w:rsidRPr="00E52513" w:rsidRDefault="00D53A1D" w:rsidP="00D53A1D">
      <w:pPr>
        <w:spacing w:after="120"/>
      </w:pPr>
      <w:r w:rsidRPr="00E52513">
        <w:t>In the short</w:t>
      </w:r>
      <w:r w:rsidR="00D73661" w:rsidRPr="00E52513">
        <w:t>-</w:t>
      </w:r>
      <w:r w:rsidRPr="00E52513">
        <w:t>term there appears to be enough evidence to accept that the NICRS is under-resourced for the task it has been set. This represents a governance risk to either service reach or service quality – or both. The solution choices are to increase the CRSA resources (which would require additional funding) or to tailor services to better fit available resources by reducing the service scope in one or more of the following ways:</w:t>
      </w:r>
    </w:p>
    <w:p w14:paraId="6778429D" w14:textId="610ED163" w:rsidR="00D53A1D" w:rsidRPr="00E52513" w:rsidRDefault="00D53A1D" w:rsidP="009437A5">
      <w:pPr>
        <w:pStyle w:val="ListParagraph"/>
        <w:numPr>
          <w:ilvl w:val="0"/>
          <w:numId w:val="40"/>
        </w:numPr>
        <w:spacing w:after="120"/>
      </w:pPr>
      <w:r w:rsidRPr="00E52513">
        <w:t>limiting the model of care (a focus only on the critical response, and limiting the duration of service contact to less than 6 months)</w:t>
      </w:r>
    </w:p>
    <w:p w14:paraId="0BA063A5" w14:textId="2614A623" w:rsidR="00D53A1D" w:rsidRPr="00E52513" w:rsidRDefault="00D53A1D" w:rsidP="009437A5">
      <w:pPr>
        <w:pStyle w:val="ListParagraph"/>
        <w:numPr>
          <w:ilvl w:val="0"/>
          <w:numId w:val="40"/>
        </w:numPr>
        <w:spacing w:after="120"/>
      </w:pPr>
      <w:r w:rsidRPr="00E52513">
        <w:t>restricting the target population (for instance, focus only on completed suicide incidents)</w:t>
      </w:r>
    </w:p>
    <w:p w14:paraId="231B65EB" w14:textId="01364FB4" w:rsidR="00D53A1D" w:rsidRPr="00E52513" w:rsidRDefault="00D53A1D" w:rsidP="009437A5">
      <w:pPr>
        <w:pStyle w:val="ListParagraph"/>
        <w:numPr>
          <w:ilvl w:val="0"/>
          <w:numId w:val="40"/>
        </w:numPr>
      </w:pPr>
      <w:proofErr w:type="gramStart"/>
      <w:r w:rsidRPr="00E52513">
        <w:t>reducing</w:t>
      </w:r>
      <w:proofErr w:type="gramEnd"/>
      <w:r w:rsidRPr="00E52513">
        <w:t xml:space="preserve"> the geographical footprint (i.e. focus service delivery on regions or communities where needs are the highest</w:t>
      </w:r>
      <w:r w:rsidRPr="00E52513">
        <w:rPr>
          <w:rStyle w:val="FootnoteReference"/>
        </w:rPr>
        <w:footnoteReference w:id="28"/>
      </w:r>
      <w:r w:rsidRPr="00E52513">
        <w:t>).</w:t>
      </w:r>
    </w:p>
    <w:p w14:paraId="6D21ABF4" w14:textId="77777777" w:rsidR="00D53A1D" w:rsidRPr="00E52513" w:rsidRDefault="00D53A1D" w:rsidP="00D53A1D">
      <w:pPr>
        <w:pStyle w:val="Heading3"/>
      </w:pPr>
      <w:r w:rsidRPr="00E52513">
        <w:t>Workforce capability</w:t>
      </w:r>
    </w:p>
    <w:p w14:paraId="3FCEA9B3" w14:textId="0D63A1A1" w:rsidR="00D53A1D" w:rsidRPr="00E52513" w:rsidRDefault="00D53A1D" w:rsidP="00D53A1D">
      <w:r w:rsidRPr="00E52513">
        <w:t>The CRSAs are the key asset of the NICRS and it has been pointed out on a number of occasions in this report that, collectively, their commitment to the clients they serve and their desire to provide the best possible outcomes for their clients is undoubted. All stakeholders interviewed had praise for the CRSAs and nothing but respect for the way they are approaching the challenges of their role.</w:t>
      </w:r>
    </w:p>
    <w:p w14:paraId="76510DD1" w14:textId="6E07FD20" w:rsidR="00D53A1D" w:rsidRPr="00E52513" w:rsidRDefault="00D53A1D" w:rsidP="00D53A1D">
      <w:pPr>
        <w:spacing w:after="120"/>
      </w:pPr>
      <w:r w:rsidRPr="00E52513">
        <w:t xml:space="preserve">There is great variation in the educational background and life experiences of the CRSAs. This variation can be a positive if it is well utilised (for instance, through effective </w:t>
      </w:r>
      <w:r w:rsidR="00425EFF" w:rsidRPr="00E52513">
        <w:t>teamwork</w:t>
      </w:r>
      <w:r w:rsidRPr="00E52513">
        <w:t>), but can be a threat to good governance if minimal competence requirements are not possessed by individuals. Apart from the job descriptions, there seems to be no specification of the minimum competencies required of CRSAs. This is a gap in governance infrastructure that needs to be rectified and then CRSA skills should be audited against the minimum requirements. Based on the understanding that has been reached of the CRSA role, the evaluation team considered the following competency areas to be important for inclusion in any minimum competency set:</w:t>
      </w:r>
    </w:p>
    <w:p w14:paraId="1E8C0A4E" w14:textId="77777777" w:rsidR="00D53A1D" w:rsidRPr="00E52513" w:rsidRDefault="00D53A1D" w:rsidP="009437A5">
      <w:pPr>
        <w:pStyle w:val="ListParagraph"/>
        <w:numPr>
          <w:ilvl w:val="0"/>
          <w:numId w:val="45"/>
        </w:numPr>
        <w:tabs>
          <w:tab w:val="clear" w:pos="284"/>
        </w:tabs>
        <w:spacing w:before="0" w:after="160" w:line="256" w:lineRule="auto"/>
        <w:contextualSpacing/>
        <w:rPr>
          <w:rFonts w:asciiTheme="minorHAnsi" w:hAnsiTheme="minorHAnsi"/>
        </w:rPr>
      </w:pPr>
      <w:r w:rsidRPr="00E52513">
        <w:t>understand loss and grief … not just through personal lived experience</w:t>
      </w:r>
    </w:p>
    <w:p w14:paraId="7D742414" w14:textId="571AD537" w:rsidR="00D53A1D" w:rsidRPr="00E52513" w:rsidRDefault="00D53A1D" w:rsidP="009437A5">
      <w:pPr>
        <w:pStyle w:val="ListParagraph"/>
        <w:numPr>
          <w:ilvl w:val="0"/>
          <w:numId w:val="45"/>
        </w:numPr>
        <w:tabs>
          <w:tab w:val="clear" w:pos="284"/>
        </w:tabs>
        <w:spacing w:before="0" w:after="160" w:line="256" w:lineRule="auto"/>
        <w:contextualSpacing/>
      </w:pPr>
      <w:r w:rsidRPr="00E52513">
        <w:t>understanding of what psychosocial support means</w:t>
      </w:r>
    </w:p>
    <w:p w14:paraId="6B9919FC" w14:textId="77777777" w:rsidR="00D53A1D" w:rsidRPr="00E52513" w:rsidRDefault="00D53A1D" w:rsidP="009437A5">
      <w:pPr>
        <w:pStyle w:val="ListParagraph"/>
        <w:numPr>
          <w:ilvl w:val="0"/>
          <w:numId w:val="45"/>
        </w:numPr>
        <w:tabs>
          <w:tab w:val="clear" w:pos="284"/>
        </w:tabs>
        <w:spacing w:before="0" w:after="160" w:line="256" w:lineRule="auto"/>
        <w:contextualSpacing/>
      </w:pPr>
      <w:r w:rsidRPr="00E52513">
        <w:t>accidental counselling and assertive referral</w:t>
      </w:r>
    </w:p>
    <w:p w14:paraId="6B86C929" w14:textId="77777777" w:rsidR="00D53A1D" w:rsidRPr="00E52513" w:rsidRDefault="00D53A1D" w:rsidP="009437A5">
      <w:pPr>
        <w:pStyle w:val="ListParagraph"/>
        <w:numPr>
          <w:ilvl w:val="0"/>
          <w:numId w:val="45"/>
        </w:numPr>
        <w:tabs>
          <w:tab w:val="clear" w:pos="284"/>
        </w:tabs>
        <w:spacing w:before="0" w:after="160" w:line="256" w:lineRule="auto"/>
        <w:contextualSpacing/>
      </w:pPr>
      <w:r w:rsidRPr="00E52513">
        <w:t>case work and care coordination</w:t>
      </w:r>
    </w:p>
    <w:p w14:paraId="2CE02A66" w14:textId="3B72742D" w:rsidR="00D53A1D" w:rsidRPr="00E52513" w:rsidRDefault="00D53A1D" w:rsidP="009437A5">
      <w:pPr>
        <w:pStyle w:val="ListParagraph"/>
        <w:numPr>
          <w:ilvl w:val="0"/>
          <w:numId w:val="45"/>
        </w:numPr>
        <w:tabs>
          <w:tab w:val="clear" w:pos="284"/>
        </w:tabs>
        <w:spacing w:before="0" w:after="160" w:line="256" w:lineRule="auto"/>
        <w:contextualSpacing/>
      </w:pPr>
      <w:r w:rsidRPr="00E52513">
        <w:t>trauma-informed care</w:t>
      </w:r>
    </w:p>
    <w:p w14:paraId="2EC75250" w14:textId="77777777" w:rsidR="00D53A1D" w:rsidRPr="00E52513" w:rsidRDefault="00D53A1D" w:rsidP="009437A5">
      <w:pPr>
        <w:pStyle w:val="ListParagraph"/>
        <w:numPr>
          <w:ilvl w:val="0"/>
          <w:numId w:val="45"/>
        </w:numPr>
        <w:tabs>
          <w:tab w:val="clear" w:pos="284"/>
        </w:tabs>
        <w:spacing w:before="0" w:after="160" w:line="256" w:lineRule="auto"/>
        <w:contextualSpacing/>
      </w:pPr>
      <w:r w:rsidRPr="00E52513">
        <w:t>understanding of the need for, and use of, service level data</w:t>
      </w:r>
    </w:p>
    <w:p w14:paraId="2FAD96F0" w14:textId="77777777" w:rsidR="00D53A1D" w:rsidRPr="00E52513" w:rsidRDefault="00D53A1D" w:rsidP="009437A5">
      <w:pPr>
        <w:pStyle w:val="ListParagraph"/>
        <w:numPr>
          <w:ilvl w:val="0"/>
          <w:numId w:val="45"/>
        </w:numPr>
        <w:tabs>
          <w:tab w:val="clear" w:pos="284"/>
        </w:tabs>
        <w:spacing w:before="0" w:after="160" w:line="256" w:lineRule="auto"/>
        <w:contextualSpacing/>
      </w:pPr>
      <w:r w:rsidRPr="00E52513">
        <w:lastRenderedPageBreak/>
        <w:t>ability to use data to inform practice</w:t>
      </w:r>
    </w:p>
    <w:p w14:paraId="318440CB" w14:textId="77777777" w:rsidR="00D53A1D" w:rsidRPr="00E52513" w:rsidRDefault="00D53A1D" w:rsidP="009437A5">
      <w:pPr>
        <w:pStyle w:val="ListParagraph"/>
        <w:numPr>
          <w:ilvl w:val="0"/>
          <w:numId w:val="45"/>
        </w:numPr>
        <w:tabs>
          <w:tab w:val="clear" w:pos="284"/>
        </w:tabs>
        <w:spacing w:before="0" w:after="160" w:line="256" w:lineRule="auto"/>
        <w:contextualSpacing/>
      </w:pPr>
      <w:proofErr w:type="gramStart"/>
      <w:r w:rsidRPr="00E52513">
        <w:t>networking</w:t>
      </w:r>
      <w:proofErr w:type="gramEnd"/>
      <w:r w:rsidRPr="00E52513">
        <w:t xml:space="preserve"> and building partnerships.</w:t>
      </w:r>
    </w:p>
    <w:p w14:paraId="39B669CA" w14:textId="423C5250" w:rsidR="00D53A1D" w:rsidRPr="00E52513" w:rsidRDefault="00D53A1D" w:rsidP="00D53A1D">
      <w:r w:rsidRPr="00E52513">
        <w:t>Depending on how the model of care evolves, additional basic competencies in population health and community development would be advantageous but could be possessed within a team rather than by each CRSA individually.</w:t>
      </w:r>
    </w:p>
    <w:p w14:paraId="26052D25" w14:textId="1F2EA314" w:rsidR="00D53A1D" w:rsidRPr="00E52513" w:rsidRDefault="00D53A1D" w:rsidP="00D53A1D">
      <w:r w:rsidRPr="00E52513">
        <w:t xml:space="preserve">From a governance perspective, achieving a competent workforce starts with recruiting people with the necessary skills. This might not necessarily have always been the case with NICRS recruitment practice, which means that strong induction processes are required. These strong induction processes do not seem to have happened - this situation must be rectified by putting in place a three month induction process of classroom-based and on-the-job training that includes (at a minimum) orientation to the CRSA role and the model of care, a full introduction to the ORS and why it is important, and use of key NICRS assessment and planning tools (e.g. to undertake a needs assessment, determine client scope, complete the </w:t>
      </w:r>
      <w:proofErr w:type="spellStart"/>
      <w:r w:rsidRPr="00E52513">
        <w:t>throughcare</w:t>
      </w:r>
      <w:proofErr w:type="spellEnd"/>
      <w:r w:rsidRPr="00E52513">
        <w:t xml:space="preserve"> plan).</w:t>
      </w:r>
    </w:p>
    <w:p w14:paraId="1B18FA3A" w14:textId="77777777" w:rsidR="005E6F5C" w:rsidRDefault="00D53A1D" w:rsidP="00D53A1D">
      <w:r w:rsidRPr="00E52513">
        <w:t xml:space="preserve">Further skills development will invariably be required, even for a CRSA recruited with most of the minimum competency requirements. This can be done primarily through on-the-job training, which has been shown should account for 70-80% of all work-related learning (see Figure </w:t>
      </w:r>
      <w:r w:rsidR="000F66D0" w:rsidRPr="00E52513">
        <w:t>2</w:t>
      </w:r>
      <w:r w:rsidR="00365C5E" w:rsidRPr="00E52513">
        <w:t>6</w:t>
      </w:r>
      <w:r w:rsidRPr="00E52513">
        <w:t>). Structured learning on the job can be achieved through peer review of cases, buddying up with other competent CRSAs, being asked to undertake specific projects, and/or researching the ORS data (for instance, analysis related to a CRSA’s own caseload)</w:t>
      </w:r>
    </w:p>
    <w:p w14:paraId="7023E43D" w14:textId="77777777" w:rsidR="005E6F5C" w:rsidRDefault="005E6F5C" w:rsidP="00D53A1D">
      <w:r>
        <w:rPr>
          <w:noProof/>
          <w:lang w:eastAsia="en-AU"/>
        </w:rPr>
        <w:drawing>
          <wp:inline distT="0" distB="0" distL="0" distR="0" wp14:anchorId="53902F8A" wp14:editId="272CF2C8">
            <wp:extent cx="5295900" cy="2552700"/>
            <wp:effectExtent l="0" t="0" r="0" b="0"/>
            <wp:docPr id="220" name="Picture 220" descr="70/ 20/ 10 Learning and Development Framework figure&#10;&#10;experience - 70%: on-the-job experiences; tasks; problem-solving.  Coaching - 20%: feedback.  Education - 10%: course; reading." title="Figure 26: A balanced Learning &amp; Development framework - the 70/20/10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70/ 20/ 10 Learning and Development Framework figure&#10;&#10;experience - 70%: on-the-job experiences; tasks; problem-solving.  Coaching - 20%: feedback.  Education - 10%: course; reading."/>
                    <pic:cNvPicPr/>
                  </pic:nvPicPr>
                  <pic:blipFill>
                    <a:blip r:embed="rId40">
                      <a:extLst>
                        <a:ext uri="{28A0092B-C50C-407E-A947-70E740481C1C}">
                          <a14:useLocalDpi xmlns:a14="http://schemas.microsoft.com/office/drawing/2010/main" val="0"/>
                        </a:ext>
                      </a:extLst>
                    </a:blip>
                    <a:stretch>
                      <a:fillRect/>
                    </a:stretch>
                  </pic:blipFill>
                  <pic:spPr>
                    <a:xfrm>
                      <a:off x="0" y="0"/>
                      <a:ext cx="5295900" cy="2552700"/>
                    </a:xfrm>
                    <a:prstGeom prst="rect">
                      <a:avLst/>
                    </a:prstGeom>
                  </pic:spPr>
                </pic:pic>
              </a:graphicData>
            </a:graphic>
          </wp:inline>
        </w:drawing>
      </w:r>
    </w:p>
    <w:p w14:paraId="4B30D295" w14:textId="0AD6DE89" w:rsidR="00D53A1D" w:rsidRPr="00E52513" w:rsidRDefault="00D53A1D" w:rsidP="00D53A1D">
      <w:r w:rsidRPr="00E52513">
        <w:t>Coaching from a practice supervisor or external clinical supervisor (for instance, through the processes conducted by the contracted psychologist) can also support and direct the learning. Some skills will need to be developed off-the-job through structured (short or longer) recognised courses; for instance, in order to develop case work or accidental counselling skills.</w:t>
      </w:r>
    </w:p>
    <w:p w14:paraId="2B0B7A98" w14:textId="77777777" w:rsidR="00D53A1D" w:rsidRPr="00E52513" w:rsidRDefault="00D53A1D" w:rsidP="00D53A1D">
      <w:pPr>
        <w:spacing w:after="120"/>
      </w:pPr>
      <w:r w:rsidRPr="00E52513">
        <w:t>Individual CRSA learning needs are best identified through the implementation of structured practice requirements and administrative supervision and performance management arrangements (see below). Practice supervision needs to be proactive and not just occur when an individual CRSA “feels the need” for it. From a governance risk perspective, supervision for all CRSAs should include (at a minimum):</w:t>
      </w:r>
    </w:p>
    <w:p w14:paraId="726AD23D" w14:textId="342205CE" w:rsidR="00D53A1D" w:rsidRPr="00E52513" w:rsidRDefault="00ED7281" w:rsidP="009437A5">
      <w:pPr>
        <w:pStyle w:val="ListParagraph"/>
        <w:numPr>
          <w:ilvl w:val="0"/>
          <w:numId w:val="41"/>
        </w:numPr>
        <w:spacing w:after="120"/>
      </w:pPr>
      <w:r w:rsidRPr="00E52513">
        <w:t>r</w:t>
      </w:r>
      <w:r w:rsidR="00D53A1D" w:rsidRPr="00E52513">
        <w:t>outine conversations on selected cases (including peer review)</w:t>
      </w:r>
    </w:p>
    <w:p w14:paraId="071050C5" w14:textId="523E7AA4" w:rsidR="00D53A1D" w:rsidRPr="00E52513" w:rsidRDefault="00ED7281" w:rsidP="009437A5">
      <w:pPr>
        <w:pStyle w:val="ListParagraph"/>
        <w:numPr>
          <w:ilvl w:val="0"/>
          <w:numId w:val="41"/>
        </w:numPr>
        <w:spacing w:after="120"/>
      </w:pPr>
      <w:r w:rsidRPr="00E52513">
        <w:lastRenderedPageBreak/>
        <w:t>r</w:t>
      </w:r>
      <w:r w:rsidR="00D53A1D" w:rsidRPr="00E52513">
        <w:t xml:space="preserve">egular audit of a sample of </w:t>
      </w:r>
      <w:proofErr w:type="spellStart"/>
      <w:r w:rsidR="00D53A1D" w:rsidRPr="00E52513">
        <w:t>throughcare</w:t>
      </w:r>
      <w:proofErr w:type="spellEnd"/>
      <w:r w:rsidR="00D53A1D" w:rsidRPr="00E52513">
        <w:t xml:space="preserve"> plans and case notes</w:t>
      </w:r>
    </w:p>
    <w:p w14:paraId="17F74A8B" w14:textId="390C0D89" w:rsidR="00D53A1D" w:rsidRPr="00E52513" w:rsidRDefault="00ED7281" w:rsidP="009437A5">
      <w:pPr>
        <w:pStyle w:val="ListParagraph"/>
        <w:numPr>
          <w:ilvl w:val="0"/>
          <w:numId w:val="41"/>
        </w:numPr>
        <w:spacing w:after="120"/>
      </w:pPr>
      <w:r w:rsidRPr="00E52513">
        <w:t>m</w:t>
      </w:r>
      <w:r w:rsidR="00D53A1D" w:rsidRPr="00E52513">
        <w:t>onitoring of caseload (including equitable distribution between CRSAs)</w:t>
      </w:r>
    </w:p>
    <w:p w14:paraId="04F37A16" w14:textId="41050181" w:rsidR="00D53A1D" w:rsidRPr="00E52513" w:rsidRDefault="00ED7281" w:rsidP="009437A5">
      <w:pPr>
        <w:pStyle w:val="ListParagraph"/>
        <w:numPr>
          <w:ilvl w:val="0"/>
          <w:numId w:val="41"/>
        </w:numPr>
        <w:spacing w:after="120"/>
      </w:pPr>
      <w:r w:rsidRPr="00E52513">
        <w:t>s</w:t>
      </w:r>
      <w:r w:rsidR="00D53A1D" w:rsidRPr="00E52513">
        <w:t>upervised client interactions</w:t>
      </w:r>
    </w:p>
    <w:p w14:paraId="0B9F4B54" w14:textId="6B465101" w:rsidR="00D53A1D" w:rsidRPr="00E52513" w:rsidRDefault="00ED7281" w:rsidP="009437A5">
      <w:pPr>
        <w:pStyle w:val="ListParagraph"/>
        <w:numPr>
          <w:ilvl w:val="0"/>
          <w:numId w:val="41"/>
        </w:numPr>
        <w:spacing w:after="120"/>
      </w:pPr>
      <w:r w:rsidRPr="00E52513">
        <w:t>r</w:t>
      </w:r>
      <w:r w:rsidR="00D53A1D" w:rsidRPr="00E52513">
        <w:t>outine review of client outcomes</w:t>
      </w:r>
    </w:p>
    <w:p w14:paraId="791984DE" w14:textId="55D7882C" w:rsidR="00D53A1D" w:rsidRPr="00E52513" w:rsidRDefault="00ED7281" w:rsidP="009437A5">
      <w:pPr>
        <w:pStyle w:val="ListParagraph"/>
        <w:numPr>
          <w:ilvl w:val="0"/>
          <w:numId w:val="41"/>
        </w:numPr>
        <w:spacing w:after="120"/>
      </w:pPr>
      <w:r w:rsidRPr="00E52513">
        <w:t>o</w:t>
      </w:r>
      <w:r w:rsidR="00D53A1D" w:rsidRPr="00E52513">
        <w:t>bservation of ORS data entry</w:t>
      </w:r>
    </w:p>
    <w:p w14:paraId="630B310E" w14:textId="33165CC7" w:rsidR="00D53A1D" w:rsidRPr="00E52513" w:rsidRDefault="00ED7281" w:rsidP="009437A5">
      <w:pPr>
        <w:pStyle w:val="ListParagraph"/>
        <w:numPr>
          <w:ilvl w:val="0"/>
          <w:numId w:val="41"/>
        </w:numPr>
      </w:pPr>
      <w:proofErr w:type="gramStart"/>
      <w:r w:rsidRPr="00E52513">
        <w:t>r</w:t>
      </w:r>
      <w:r w:rsidR="00D53A1D" w:rsidRPr="00E52513">
        <w:t>outine</w:t>
      </w:r>
      <w:proofErr w:type="gramEnd"/>
      <w:r w:rsidR="00D53A1D" w:rsidRPr="00E52513">
        <w:t xml:space="preserve"> checks of wellbeing.</w:t>
      </w:r>
    </w:p>
    <w:p w14:paraId="3F65E264" w14:textId="01DD6A98" w:rsidR="00D53A1D" w:rsidRPr="00E52513" w:rsidRDefault="00D53A1D" w:rsidP="00D53A1D">
      <w:r w:rsidRPr="00E52513">
        <w:t>A key question for practice supervision is to identify where in the organisation responsibility for it lies. It has been assumed that practice supervision will primarily be undertaken by the two Coordinators. However</w:t>
      </w:r>
      <w:r w:rsidR="00E179F6" w:rsidRPr="00E52513">
        <w:t>,</w:t>
      </w:r>
      <w:r w:rsidRPr="00E52513">
        <w:t xml:space="preserve"> as pointed out earlier, the current Coordinators seem to [still] have a client caseload which will distract them from any significant supervision responsibilities. As well, neither </w:t>
      </w:r>
      <w:r w:rsidR="00CF21DA" w:rsidRPr="00E52513">
        <w:t xml:space="preserve">of the </w:t>
      </w:r>
      <w:r w:rsidRPr="00E52513">
        <w:t xml:space="preserve">current Coordinators profess to have the requisite skills to perform practice supervision confidently and competently </w:t>
      </w:r>
      <w:r w:rsidR="00CF21DA" w:rsidRPr="00E52513">
        <w:t>now</w:t>
      </w:r>
      <w:r w:rsidRPr="00E52513">
        <w:t>. Those skills, though, could be developed. There is then the additional question of how much of the practice supervision load should also be shouldered by the Project Manager, whose role currently seems to be more concerned with admin</w:t>
      </w:r>
      <w:r w:rsidR="00E179F6" w:rsidRPr="00E52513">
        <w:t>istrative supervision, and the C</w:t>
      </w:r>
      <w:r w:rsidRPr="00E52513">
        <w:t xml:space="preserve">ultural </w:t>
      </w:r>
      <w:r w:rsidR="00E179F6" w:rsidRPr="00E52513">
        <w:t>A</w:t>
      </w:r>
      <w:r w:rsidRPr="00E52513">
        <w:t>dvisors, whose input is currently mostly focused on specific client-related operational issues. Ideally, a practice supervision arrangement should be designed that is highly structured and properly implement but does not place all the responsibility for supervision onto one or two persons.</w:t>
      </w:r>
    </w:p>
    <w:p w14:paraId="42AAFD48" w14:textId="77777777" w:rsidR="00D53A1D" w:rsidRPr="00E52513" w:rsidRDefault="00D53A1D" w:rsidP="00D53A1D">
      <w:pPr>
        <w:pStyle w:val="Heading3"/>
      </w:pPr>
      <w:r w:rsidRPr="00E52513">
        <w:t>Workforce health and safety</w:t>
      </w:r>
    </w:p>
    <w:p w14:paraId="34C37CA9" w14:textId="4B8E6C13" w:rsidR="00D53A1D" w:rsidRPr="00E52513" w:rsidRDefault="00CF21DA" w:rsidP="00D53A1D">
      <w:r w:rsidRPr="00E52513">
        <w:t>Several</w:t>
      </w:r>
      <w:r w:rsidR="00D53A1D" w:rsidRPr="00E52513">
        <w:t xml:space="preserve"> CRSAs were found to be working in situations that put their physical and mental health at risk. It appears that they often travel, alone, to community situations which are often highly emotional and often highly volatile following a suicide or murder and may have limited local service provider or community support. And, given that all of the current CRSAs have some level of lived experience with suicide, they can possibly be re-</w:t>
      </w:r>
      <w:r w:rsidRPr="00E52513">
        <w:t>traumati</w:t>
      </w:r>
      <w:r w:rsidR="00E179F6" w:rsidRPr="00E52513">
        <w:t>s</w:t>
      </w:r>
      <w:r w:rsidRPr="00E52513">
        <w:t>ed</w:t>
      </w:r>
      <w:r w:rsidR="00D53A1D" w:rsidRPr="00E52513">
        <w:t xml:space="preserve"> or, if consistently confronted with cases in an unsupported manner, be affected by vicarious trauma.</w:t>
      </w:r>
    </w:p>
    <w:p w14:paraId="4A924080" w14:textId="5079056C" w:rsidR="00D53A1D" w:rsidRPr="00E52513" w:rsidRDefault="00D53A1D" w:rsidP="00D53A1D">
      <w:pPr>
        <w:spacing w:after="120"/>
      </w:pPr>
      <w:r w:rsidRPr="00E52513">
        <w:t>The evaluation indicates that a significant governance risk exists that a CRSA will become ill or injured, with subsequent negative impact on the other CRSAs, the reputation of the organisation and the financial burden of a long-tailed worker’s compensation claim. A full health and safety risk assessment needs to be undertaken on all identified hazards and risk management strategies developed and put in place at the upper level of the hierarchy of control, then consistently monitored operationally. In the meantime, the following risk management measures can be specifically considered:</w:t>
      </w:r>
    </w:p>
    <w:p w14:paraId="67C157EC" w14:textId="439DEDAE" w:rsidR="00D53A1D" w:rsidRPr="00E52513" w:rsidRDefault="00ED7281" w:rsidP="009437A5">
      <w:pPr>
        <w:pStyle w:val="ListParagraph"/>
        <w:numPr>
          <w:ilvl w:val="0"/>
          <w:numId w:val="42"/>
        </w:numPr>
        <w:spacing w:after="120"/>
      </w:pPr>
      <w:r w:rsidRPr="00E52513">
        <w:t>d</w:t>
      </w:r>
      <w:r w:rsidR="00D53A1D" w:rsidRPr="00E52513">
        <w:t>eploying and locating CRSAs into teams so that no client face</w:t>
      </w:r>
      <w:r w:rsidR="00D73661" w:rsidRPr="00E52513">
        <w:t xml:space="preserve"> </w:t>
      </w:r>
      <w:r w:rsidR="00D53A1D" w:rsidRPr="00E52513">
        <w:t>to</w:t>
      </w:r>
      <w:r w:rsidR="00D73661" w:rsidRPr="00E52513">
        <w:t xml:space="preserve"> </w:t>
      </w:r>
      <w:r w:rsidR="00D53A1D" w:rsidRPr="00E52513">
        <w:t>face work is ever undertaken solo</w:t>
      </w:r>
    </w:p>
    <w:p w14:paraId="7F56E860" w14:textId="671CF2E7" w:rsidR="00D53A1D" w:rsidRPr="00E52513" w:rsidRDefault="00ED7281" w:rsidP="009437A5">
      <w:pPr>
        <w:pStyle w:val="ListParagraph"/>
        <w:numPr>
          <w:ilvl w:val="0"/>
          <w:numId w:val="42"/>
        </w:numPr>
        <w:spacing w:after="120"/>
      </w:pPr>
      <w:r w:rsidRPr="00E52513">
        <w:t>p</w:t>
      </w:r>
      <w:r w:rsidR="00D53A1D" w:rsidRPr="00E52513">
        <w:t>roviding access to personal distress devices</w:t>
      </w:r>
    </w:p>
    <w:p w14:paraId="441D9D71" w14:textId="0EC13B4E" w:rsidR="00D53A1D" w:rsidRPr="00E52513" w:rsidRDefault="00ED7281" w:rsidP="009437A5">
      <w:pPr>
        <w:pStyle w:val="ListParagraph"/>
        <w:numPr>
          <w:ilvl w:val="0"/>
          <w:numId w:val="42"/>
        </w:numPr>
        <w:spacing w:after="120"/>
      </w:pPr>
      <w:r w:rsidRPr="00E52513">
        <w:t>p</w:t>
      </w:r>
      <w:r w:rsidR="00D53A1D" w:rsidRPr="00E52513">
        <w:t>roviding training in personal safety and use of equipment and environment situational awareness</w:t>
      </w:r>
    </w:p>
    <w:p w14:paraId="3F2DC78D" w14:textId="103C1682" w:rsidR="00D53A1D" w:rsidRPr="00E52513" w:rsidRDefault="00ED7281" w:rsidP="009437A5">
      <w:pPr>
        <w:pStyle w:val="ListParagraph"/>
        <w:numPr>
          <w:ilvl w:val="0"/>
          <w:numId w:val="42"/>
        </w:numPr>
        <w:spacing w:after="120"/>
      </w:pPr>
      <w:r w:rsidRPr="00E52513">
        <w:t>i</w:t>
      </w:r>
      <w:r w:rsidR="00D53A1D" w:rsidRPr="00E52513">
        <w:t>ntroducing mandated safety check-in processes or reporting arrangements for when CRSAs are in the field</w:t>
      </w:r>
    </w:p>
    <w:p w14:paraId="5A4D3B58" w14:textId="0352EACE" w:rsidR="00D53A1D" w:rsidRPr="00E52513" w:rsidRDefault="00ED7281" w:rsidP="009437A5">
      <w:pPr>
        <w:pStyle w:val="ListParagraph"/>
        <w:numPr>
          <w:ilvl w:val="0"/>
          <w:numId w:val="42"/>
        </w:numPr>
      </w:pPr>
      <w:proofErr w:type="gramStart"/>
      <w:r w:rsidRPr="00E52513">
        <w:t>p</w:t>
      </w:r>
      <w:r w:rsidR="00D53A1D" w:rsidRPr="00E52513">
        <w:t>roviding</w:t>
      </w:r>
      <w:proofErr w:type="gramEnd"/>
      <w:r w:rsidR="00D53A1D" w:rsidRPr="00E52513">
        <w:t xml:space="preserve"> training in risk assessment.</w:t>
      </w:r>
    </w:p>
    <w:p w14:paraId="5FEA97FA" w14:textId="77777777" w:rsidR="00D53A1D" w:rsidRPr="00E52513" w:rsidRDefault="00D53A1D" w:rsidP="00D53A1D">
      <w:pPr>
        <w:pStyle w:val="Heading3"/>
      </w:pPr>
      <w:r w:rsidRPr="00E52513">
        <w:lastRenderedPageBreak/>
        <w:t>Strategic planning</w:t>
      </w:r>
    </w:p>
    <w:p w14:paraId="45D53912" w14:textId="77777777" w:rsidR="00D53A1D" w:rsidRPr="00E52513" w:rsidRDefault="00D53A1D" w:rsidP="009437A5">
      <w:pPr>
        <w:pStyle w:val="ListParagraph"/>
        <w:numPr>
          <w:ilvl w:val="1"/>
          <w:numId w:val="42"/>
        </w:numPr>
        <w:spacing w:after="0"/>
      </w:pPr>
      <w:r w:rsidRPr="00E52513">
        <w:t>Clear vision and expectations</w:t>
      </w:r>
    </w:p>
    <w:p w14:paraId="1FFB4CEB" w14:textId="31D4EDFE" w:rsidR="00D53A1D" w:rsidRPr="00E52513" w:rsidRDefault="00D53A1D" w:rsidP="009437A5">
      <w:pPr>
        <w:pStyle w:val="ListParagraph"/>
        <w:numPr>
          <w:ilvl w:val="1"/>
          <w:numId w:val="42"/>
        </w:numPr>
        <w:spacing w:before="0" w:after="120"/>
      </w:pPr>
      <w:r w:rsidRPr="00E52513">
        <w:t>Performance indicators</w:t>
      </w:r>
    </w:p>
    <w:p w14:paraId="06C2A3FF" w14:textId="50BB01FD" w:rsidR="00D53A1D" w:rsidRPr="00E52513" w:rsidRDefault="00D53A1D" w:rsidP="00D53A1D">
      <w:r w:rsidRPr="00E52513">
        <w:t xml:space="preserve">In several sections of the report so far, the lack of clarity amongst CRSAs of the operational requirements of their role and the place of their role in the broader scheme of NICRS activity has been described. This lack of clarity occurs despite the existence of a </w:t>
      </w:r>
      <w:r w:rsidR="00E03911" w:rsidRPr="00E52513">
        <w:t>m</w:t>
      </w:r>
      <w:r w:rsidRPr="00E52513">
        <w:t xml:space="preserve">odel of </w:t>
      </w:r>
      <w:r w:rsidR="00E03911" w:rsidRPr="00E52513">
        <w:t>c</w:t>
      </w:r>
      <w:r w:rsidRPr="00E52513">
        <w:t>are document and a large number of policy and procedure documents. It would be easy to attribute this situation to the inability of ‘middle’ management to translate policy down to the CRSA level, but the problem appears more systemic than that.</w:t>
      </w:r>
    </w:p>
    <w:p w14:paraId="741A3231" w14:textId="2DB921AF" w:rsidR="00D53A1D" w:rsidRPr="00E52513" w:rsidRDefault="00D53A1D" w:rsidP="00D53A1D">
      <w:r w:rsidRPr="00E52513">
        <w:t>A clear vision for all managers and workers starts with the Board of Directors and the CEO</w:t>
      </w:r>
      <w:r w:rsidR="005E6F5C">
        <w:t xml:space="preserve"> </w:t>
      </w:r>
      <w:r w:rsidRPr="00E52513">
        <w:t xml:space="preserve">and is conveyed to workers through a strategic or business plan and then embedded into documents that should be commonly available to and used by CRSAs (such as the position description; individual, team and organisation performance indicators; and standard operating procedures). Constructing a strategic or business plan, initiated by the Board but engaging the input of managers and workers, is a priority for </w:t>
      </w:r>
      <w:proofErr w:type="spellStart"/>
      <w:r w:rsidRPr="00E52513">
        <w:t>Thirrili</w:t>
      </w:r>
      <w:proofErr w:type="spellEnd"/>
      <w:r w:rsidRPr="00E52513">
        <w:t>. This plan will set the expectations on all levels of the organi</w:t>
      </w:r>
      <w:r w:rsidR="00E179F6" w:rsidRPr="00E52513">
        <w:t>s</w:t>
      </w:r>
      <w:r w:rsidRPr="00E52513">
        <w:t>ation.</w:t>
      </w:r>
    </w:p>
    <w:p w14:paraId="2C0489B9" w14:textId="31482326" w:rsidR="00D53A1D" w:rsidRPr="00E52513" w:rsidRDefault="00D53A1D" w:rsidP="00D53A1D">
      <w:r w:rsidRPr="00E52513">
        <w:t>The vision and expectations can be reinforced by clear and measurable performance indicators that apply to CRSAs, managers and the organisation (Board) and that relate directly to the outcomes (immediate, intermediate and long</w:t>
      </w:r>
      <w:r w:rsidR="00D73661" w:rsidRPr="00E52513">
        <w:t>-</w:t>
      </w:r>
      <w:r w:rsidRPr="00E52513">
        <w:t>term) to which the strategic plan makes a commitment.</w:t>
      </w:r>
    </w:p>
    <w:p w14:paraId="452444DD" w14:textId="37793349" w:rsidR="00D53A1D" w:rsidRPr="00E52513" w:rsidRDefault="00D53A1D" w:rsidP="00D53A1D">
      <w:r w:rsidRPr="00E52513">
        <w:t xml:space="preserve">Organisations increasingly tend to rely on a comparatively small number of dashboard-type performance indicators for focus. Most indicators established at the Board level assume that outcomes must be achieved at lower levels. Isolating the performance indicators with most meaning to NICRS’s vision, developing a way to measure performance achievement, and then establishing a means to routinely collect data on performance will be the key aims of </w:t>
      </w:r>
      <w:r w:rsidR="00CF21DA" w:rsidRPr="00E52513">
        <w:t>this.</w:t>
      </w:r>
    </w:p>
    <w:p w14:paraId="756C03FC" w14:textId="31303955" w:rsidR="008F4C12" w:rsidRPr="00E52513" w:rsidRDefault="008F4C12" w:rsidP="008F4C12">
      <w:pPr>
        <w:rPr>
          <w:rFonts w:eastAsiaTheme="minorEastAsia" w:cs="Segoe UI"/>
          <w:szCs w:val="24"/>
        </w:rPr>
      </w:pPr>
      <w:r w:rsidRPr="00E52513">
        <w:t xml:space="preserve">These performance indicators should be developed internally (perhaps with reference to trusted stakeholders like NIAA) but a draft list of performance measures from which to draw possible suitable options is provided below. These draft measures were developed with the assistance of examples of good governance frameworks (DSS, 2011; </w:t>
      </w:r>
      <w:proofErr w:type="spellStart"/>
      <w:r w:rsidRPr="00E52513">
        <w:t>Arguden</w:t>
      </w:r>
      <w:proofErr w:type="spellEnd"/>
      <w:r w:rsidRPr="00E52513">
        <w:t>, 2010) to address some of the relevant quality indicators for suicide intervention activities that were outlined in the ATSISPEP Final Report (Dudgeon, et al., 2016). Although not an exhaustive list, possible measures might include:</w:t>
      </w:r>
    </w:p>
    <w:p w14:paraId="1AE8A64A" w14:textId="4BE1D188" w:rsidR="00D53A1D" w:rsidRPr="00E52513" w:rsidRDefault="00ED7281" w:rsidP="009437A5">
      <w:pPr>
        <w:pStyle w:val="ListParagraph"/>
        <w:numPr>
          <w:ilvl w:val="0"/>
          <w:numId w:val="43"/>
        </w:numPr>
        <w:spacing w:after="120"/>
        <w:rPr>
          <w:rFonts w:cs="Segoe UI"/>
        </w:rPr>
      </w:pPr>
      <w:r w:rsidRPr="00E52513">
        <w:rPr>
          <w:rFonts w:cs="Segoe UI"/>
        </w:rPr>
        <w:t>s</w:t>
      </w:r>
      <w:r w:rsidR="00D53A1D" w:rsidRPr="00E52513">
        <w:rPr>
          <w:rFonts w:cs="Segoe UI"/>
        </w:rPr>
        <w:t>ervice is linked into a wide range of formal and informal early notification systems</w:t>
      </w:r>
    </w:p>
    <w:p w14:paraId="6A401FED" w14:textId="55D0D6ED" w:rsidR="00D53A1D" w:rsidRPr="00E52513" w:rsidRDefault="00ED7281" w:rsidP="009437A5">
      <w:pPr>
        <w:pStyle w:val="ListParagraph"/>
        <w:numPr>
          <w:ilvl w:val="0"/>
          <w:numId w:val="43"/>
        </w:numPr>
        <w:spacing w:after="120"/>
        <w:rPr>
          <w:rFonts w:cs="Segoe UI"/>
        </w:rPr>
      </w:pPr>
      <w:r w:rsidRPr="00E52513">
        <w:rPr>
          <w:rFonts w:cs="Segoe UI"/>
        </w:rPr>
        <w:t>e</w:t>
      </w:r>
      <w:r w:rsidR="00D53A1D" w:rsidRPr="00E52513">
        <w:rPr>
          <w:rFonts w:cs="Segoe UI"/>
        </w:rPr>
        <w:t xml:space="preserve">ducation material has been made available to community leaders and other service providers on SEWB and </w:t>
      </w:r>
      <w:proofErr w:type="spellStart"/>
      <w:r w:rsidR="00D53A1D" w:rsidRPr="00E52513">
        <w:rPr>
          <w:rFonts w:cs="Segoe UI"/>
        </w:rPr>
        <w:t>postvention</w:t>
      </w:r>
      <w:proofErr w:type="spellEnd"/>
      <w:r w:rsidR="00D53A1D" w:rsidRPr="00E52513">
        <w:rPr>
          <w:rFonts w:cs="Segoe UI"/>
        </w:rPr>
        <w:t xml:space="preserve"> strategies and options have been explored for collaboration</w:t>
      </w:r>
    </w:p>
    <w:p w14:paraId="3915A608" w14:textId="5CAEE42F"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ontact lists, service maps and community roles prepared in each community setting</w:t>
      </w:r>
    </w:p>
    <w:p w14:paraId="0E8F6012" w14:textId="590CD2E9" w:rsidR="00D53A1D" w:rsidRPr="00E52513" w:rsidRDefault="00ED7281" w:rsidP="009437A5">
      <w:pPr>
        <w:pStyle w:val="ListParagraph"/>
        <w:numPr>
          <w:ilvl w:val="0"/>
          <w:numId w:val="43"/>
        </w:numPr>
        <w:spacing w:after="120"/>
        <w:rPr>
          <w:rFonts w:cs="Segoe UI"/>
        </w:rPr>
      </w:pPr>
      <w:r w:rsidRPr="00E52513">
        <w:rPr>
          <w:rFonts w:cs="Segoe UI"/>
        </w:rPr>
        <w:t>s</w:t>
      </w:r>
      <w:r w:rsidR="00D53A1D" w:rsidRPr="00E52513">
        <w:rPr>
          <w:rFonts w:cs="Segoe UI"/>
        </w:rPr>
        <w:t xml:space="preserve">ituational analysis (including service and community mapping) is: </w:t>
      </w:r>
      <w:r w:rsidR="00D53A1D" w:rsidRPr="00E52513">
        <w:rPr>
          <w:rFonts w:cs="Segoe UI"/>
          <w:u w:val="single"/>
        </w:rPr>
        <w:t>a)</w:t>
      </w:r>
      <w:r w:rsidR="00D53A1D" w:rsidRPr="00E52513">
        <w:rPr>
          <w:rFonts w:cs="Segoe UI"/>
        </w:rPr>
        <w:t xml:space="preserve"> </w:t>
      </w:r>
      <w:r w:rsidR="00D53A1D" w:rsidRPr="00E52513">
        <w:rPr>
          <w:rFonts w:cs="Segoe UI"/>
          <w:u w:val="single"/>
        </w:rPr>
        <w:t>commenced</w:t>
      </w:r>
      <w:r w:rsidR="00D53A1D" w:rsidRPr="00E52513">
        <w:rPr>
          <w:rFonts w:cs="Segoe UI"/>
        </w:rPr>
        <w:t xml:space="preserve"> during the Preparation </w:t>
      </w:r>
      <w:r w:rsidR="00E03911" w:rsidRPr="00E52513">
        <w:rPr>
          <w:rFonts w:cs="Segoe UI"/>
        </w:rPr>
        <w:t>p</w:t>
      </w:r>
      <w:r w:rsidR="00D53A1D" w:rsidRPr="00E52513">
        <w:rPr>
          <w:rFonts w:cs="Segoe UI"/>
        </w:rPr>
        <w:t xml:space="preserve">hase for all communities contacted and </w:t>
      </w:r>
      <w:r w:rsidR="00D53A1D" w:rsidRPr="00E52513">
        <w:rPr>
          <w:rFonts w:cs="Segoe UI"/>
          <w:u w:val="single"/>
        </w:rPr>
        <w:t>b)</w:t>
      </w:r>
      <w:r w:rsidR="00D53A1D" w:rsidRPr="00E52513">
        <w:rPr>
          <w:rFonts w:cs="Segoe UI"/>
        </w:rPr>
        <w:t xml:space="preserve"> </w:t>
      </w:r>
      <w:r w:rsidR="00D53A1D" w:rsidRPr="00E52513">
        <w:rPr>
          <w:rFonts w:cs="Segoe UI"/>
          <w:u w:val="single"/>
        </w:rPr>
        <w:t>completed</w:t>
      </w:r>
      <w:r w:rsidR="00D53A1D" w:rsidRPr="00E52513">
        <w:rPr>
          <w:rFonts w:cs="Segoe UI"/>
        </w:rPr>
        <w:t xml:space="preserve"> for all approved cases during the Critical Response </w:t>
      </w:r>
      <w:r w:rsidR="00E03911" w:rsidRPr="00E52513">
        <w:rPr>
          <w:rFonts w:cs="Segoe UI"/>
        </w:rPr>
        <w:t>p</w:t>
      </w:r>
      <w:r w:rsidR="00D53A1D" w:rsidRPr="00E52513">
        <w:rPr>
          <w:rFonts w:cs="Segoe UI"/>
        </w:rPr>
        <w:t>hase</w:t>
      </w:r>
    </w:p>
    <w:p w14:paraId="2D6539E1" w14:textId="77777777" w:rsidR="00D53A1D" w:rsidRPr="00E52513" w:rsidRDefault="00D53A1D" w:rsidP="009437A5">
      <w:pPr>
        <w:pStyle w:val="ListParagraph"/>
        <w:numPr>
          <w:ilvl w:val="0"/>
          <w:numId w:val="43"/>
        </w:numPr>
        <w:spacing w:after="120"/>
        <w:rPr>
          <w:rFonts w:cs="Segoe UI"/>
        </w:rPr>
      </w:pPr>
      <w:r w:rsidRPr="00E52513">
        <w:rPr>
          <w:rFonts w:cs="Segoe UI"/>
        </w:rPr>
        <w:t>Board and staff members understand the linkages between the program logic and service activities</w:t>
      </w:r>
    </w:p>
    <w:p w14:paraId="1F6A2E14" w14:textId="0DF5E5D8" w:rsidR="00D53A1D" w:rsidRPr="00E52513" w:rsidRDefault="00D53A1D" w:rsidP="009437A5">
      <w:pPr>
        <w:pStyle w:val="ListParagraph"/>
        <w:numPr>
          <w:ilvl w:val="0"/>
          <w:numId w:val="43"/>
        </w:numPr>
        <w:spacing w:after="120"/>
        <w:rPr>
          <w:rFonts w:cs="Segoe UI"/>
        </w:rPr>
      </w:pPr>
      <w:proofErr w:type="spellStart"/>
      <w:r w:rsidRPr="00E52513">
        <w:rPr>
          <w:rFonts w:cs="Segoe UI"/>
        </w:rPr>
        <w:t>Throughcare</w:t>
      </w:r>
      <w:proofErr w:type="spellEnd"/>
      <w:r w:rsidRPr="00E52513">
        <w:rPr>
          <w:rFonts w:cs="Segoe UI"/>
        </w:rPr>
        <w:t xml:space="preserve"> plans </w:t>
      </w:r>
      <w:r w:rsidR="00CF21DA" w:rsidRPr="00E52513">
        <w:rPr>
          <w:rFonts w:cs="Segoe UI"/>
        </w:rPr>
        <w:t>are</w:t>
      </w:r>
      <w:r w:rsidRPr="00E52513">
        <w:rPr>
          <w:rFonts w:cs="Segoe UI"/>
        </w:rPr>
        <w:t xml:space="preserve"> a) developed and b) implemented</w:t>
      </w:r>
    </w:p>
    <w:p w14:paraId="477677BA" w14:textId="4D1034EB" w:rsidR="00D53A1D" w:rsidRPr="00E52513" w:rsidRDefault="00ED7281" w:rsidP="009437A5">
      <w:pPr>
        <w:pStyle w:val="ListParagraph"/>
        <w:numPr>
          <w:ilvl w:val="0"/>
          <w:numId w:val="43"/>
        </w:numPr>
        <w:spacing w:after="120"/>
        <w:rPr>
          <w:rFonts w:cs="Segoe UI"/>
        </w:rPr>
      </w:pPr>
      <w:r w:rsidRPr="00E52513">
        <w:rPr>
          <w:rFonts w:cs="Segoe UI"/>
        </w:rPr>
        <w:lastRenderedPageBreak/>
        <w:t>r</w:t>
      </w:r>
      <w:r w:rsidR="00D53A1D" w:rsidRPr="00E52513">
        <w:rPr>
          <w:rFonts w:cs="Segoe UI"/>
        </w:rPr>
        <w:t>eferrals have been made for counselling and medical treatment for appropriate clients</w:t>
      </w:r>
    </w:p>
    <w:p w14:paraId="26DBF8D5" w14:textId="45BBCE32"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lients informally assessed as being at risk of suicide given warm referral to suitable available mental health service</w:t>
      </w:r>
    </w:p>
    <w:p w14:paraId="5FE5CA2F" w14:textId="111093A8" w:rsidR="00D53A1D" w:rsidRPr="00E52513" w:rsidRDefault="00ED7281" w:rsidP="009437A5">
      <w:pPr>
        <w:pStyle w:val="ListParagraph"/>
        <w:numPr>
          <w:ilvl w:val="0"/>
          <w:numId w:val="43"/>
        </w:numPr>
        <w:spacing w:after="120"/>
        <w:rPr>
          <w:rFonts w:cs="Segoe UI"/>
        </w:rPr>
      </w:pPr>
      <w:r w:rsidRPr="00E52513">
        <w:rPr>
          <w:rFonts w:cs="Segoe UI"/>
        </w:rPr>
        <w:t>s</w:t>
      </w:r>
      <w:r w:rsidR="00D53A1D" w:rsidRPr="00E52513">
        <w:rPr>
          <w:rFonts w:cs="Segoe UI"/>
        </w:rPr>
        <w:t>ervice locations have an established community engagement process in place to guide local NICRS service provision and networking</w:t>
      </w:r>
    </w:p>
    <w:p w14:paraId="0D8A5FDE" w14:textId="38E1D5D2"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 xml:space="preserve">ases have involved active planning for coordinated </w:t>
      </w:r>
      <w:proofErr w:type="spellStart"/>
      <w:r w:rsidR="00D53A1D" w:rsidRPr="00E52513">
        <w:rPr>
          <w:rFonts w:cs="Segoe UI"/>
        </w:rPr>
        <w:t>throughcare</w:t>
      </w:r>
      <w:proofErr w:type="spellEnd"/>
      <w:r w:rsidR="00D53A1D" w:rsidRPr="00E52513">
        <w:rPr>
          <w:rFonts w:cs="Segoe UI"/>
        </w:rPr>
        <w:t xml:space="preserve"> involving other relevant service providers</w:t>
      </w:r>
    </w:p>
    <w:p w14:paraId="108C859E" w14:textId="4215431E"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ases have involved active involvement and capacity</w:t>
      </w:r>
      <w:r w:rsidR="00D73661" w:rsidRPr="00E52513">
        <w:rPr>
          <w:rFonts w:cs="Segoe UI"/>
        </w:rPr>
        <w:t xml:space="preserve"> </w:t>
      </w:r>
      <w:r w:rsidR="00D53A1D" w:rsidRPr="00E52513">
        <w:rPr>
          <w:rFonts w:cs="Segoe UI"/>
        </w:rPr>
        <w:t xml:space="preserve">building for clients’ carers, family and kin in developing </w:t>
      </w:r>
      <w:proofErr w:type="spellStart"/>
      <w:r w:rsidR="00D53A1D" w:rsidRPr="00E52513">
        <w:rPr>
          <w:rFonts w:cs="Segoe UI"/>
        </w:rPr>
        <w:t>throughcare</w:t>
      </w:r>
      <w:proofErr w:type="spellEnd"/>
      <w:r w:rsidR="00D53A1D" w:rsidRPr="00E52513">
        <w:rPr>
          <w:rFonts w:cs="Segoe UI"/>
        </w:rPr>
        <w:t xml:space="preserve"> plans</w:t>
      </w:r>
    </w:p>
    <w:p w14:paraId="79EEBA30" w14:textId="532EB1DC" w:rsidR="00D53A1D" w:rsidRPr="00E52513" w:rsidRDefault="00ED7281" w:rsidP="009437A5">
      <w:pPr>
        <w:pStyle w:val="ListParagraph"/>
        <w:numPr>
          <w:ilvl w:val="0"/>
          <w:numId w:val="43"/>
        </w:numPr>
        <w:spacing w:after="120"/>
        <w:rPr>
          <w:rFonts w:cs="Segoe UI"/>
        </w:rPr>
      </w:pPr>
      <w:r w:rsidRPr="00E52513">
        <w:rPr>
          <w:rFonts w:cs="Segoe UI"/>
        </w:rPr>
        <w:t>n</w:t>
      </w:r>
      <w:r w:rsidR="00D53A1D" w:rsidRPr="00E52513">
        <w:rPr>
          <w:rFonts w:cs="Segoe UI"/>
        </w:rPr>
        <w:t>umber of suicides/suicide attempts within 28 days of incident/ commencement of NICRS support</w:t>
      </w:r>
    </w:p>
    <w:p w14:paraId="5669C1B1" w14:textId="1FC878E9"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ases have a minimum of 90% of ORS fields completed</w:t>
      </w:r>
    </w:p>
    <w:p w14:paraId="32387FB0" w14:textId="77777777" w:rsidR="00D53A1D" w:rsidRPr="00E52513" w:rsidRDefault="00D53A1D" w:rsidP="009437A5">
      <w:pPr>
        <w:pStyle w:val="ListParagraph"/>
        <w:numPr>
          <w:ilvl w:val="0"/>
          <w:numId w:val="43"/>
        </w:numPr>
        <w:spacing w:after="120"/>
        <w:rPr>
          <w:rFonts w:cs="Segoe UI"/>
        </w:rPr>
      </w:pPr>
      <w:r w:rsidRPr="00E52513">
        <w:rPr>
          <w:rFonts w:cs="Segoe UI"/>
        </w:rPr>
        <w:t>ORS data is regularly analysed in conjunction with feedback from clients and local service providers and relevant secondary data sources</w:t>
      </w:r>
    </w:p>
    <w:p w14:paraId="3C875B5A" w14:textId="59740EC7" w:rsidR="00D53A1D" w:rsidRPr="00E52513" w:rsidRDefault="00ED7281" w:rsidP="009437A5">
      <w:pPr>
        <w:pStyle w:val="ListParagraph"/>
        <w:numPr>
          <w:ilvl w:val="0"/>
          <w:numId w:val="43"/>
        </w:numPr>
        <w:spacing w:after="120"/>
        <w:rPr>
          <w:rFonts w:cs="Segoe UI"/>
        </w:rPr>
      </w:pPr>
      <w:r w:rsidRPr="00E52513">
        <w:rPr>
          <w:rFonts w:cs="Segoe UI"/>
        </w:rPr>
        <w:t>s</w:t>
      </w:r>
      <w:r w:rsidR="00D53A1D" w:rsidRPr="00E52513">
        <w:rPr>
          <w:rFonts w:cs="Segoe UI"/>
        </w:rPr>
        <w:t xml:space="preserve">ecure data system is regularly reviewed and </w:t>
      </w:r>
      <w:r w:rsidR="00CF21DA" w:rsidRPr="00E52513">
        <w:rPr>
          <w:rFonts w:cs="Segoe UI"/>
        </w:rPr>
        <w:t>maintained,</w:t>
      </w:r>
      <w:r w:rsidR="00D53A1D" w:rsidRPr="00E52513">
        <w:rPr>
          <w:rFonts w:cs="Segoe UI"/>
        </w:rPr>
        <w:t xml:space="preserve"> and service protocols are in place and followed to ensure confidentiality and secure storage</w:t>
      </w:r>
    </w:p>
    <w:p w14:paraId="2FC8726C" w14:textId="67DF9957" w:rsidR="00D53A1D" w:rsidRPr="00E52513" w:rsidRDefault="00ED7281" w:rsidP="009437A5">
      <w:pPr>
        <w:pStyle w:val="ListParagraph"/>
        <w:numPr>
          <w:ilvl w:val="0"/>
          <w:numId w:val="43"/>
        </w:numPr>
        <w:spacing w:after="120"/>
        <w:rPr>
          <w:rFonts w:cs="Segoe UI"/>
        </w:rPr>
      </w:pPr>
      <w:r w:rsidRPr="00E52513">
        <w:rPr>
          <w:rFonts w:cs="Segoe UI"/>
        </w:rPr>
        <w:t>s</w:t>
      </w:r>
      <w:r w:rsidR="00D53A1D" w:rsidRPr="00E52513">
        <w:rPr>
          <w:rFonts w:cs="Segoe UI"/>
        </w:rPr>
        <w:t>taff have had a skills audit undertaken and professional development plan agreed and activated</w:t>
      </w:r>
    </w:p>
    <w:p w14:paraId="37DA7433" w14:textId="1AFE002D" w:rsidR="00D53A1D" w:rsidRPr="00E52513" w:rsidRDefault="00ED7281" w:rsidP="009437A5">
      <w:pPr>
        <w:pStyle w:val="ListParagraph"/>
        <w:numPr>
          <w:ilvl w:val="0"/>
          <w:numId w:val="43"/>
        </w:numPr>
        <w:spacing w:after="120"/>
        <w:rPr>
          <w:rFonts w:cs="Segoe UI"/>
        </w:rPr>
      </w:pPr>
      <w:r w:rsidRPr="00E52513">
        <w:rPr>
          <w:rFonts w:cs="Segoe UI"/>
        </w:rPr>
        <w:t>c</w:t>
      </w:r>
      <w:r w:rsidR="00D53A1D" w:rsidRPr="00E52513">
        <w:rPr>
          <w:rFonts w:cs="Segoe UI"/>
        </w:rPr>
        <w:t>linical staff meet relevant professional accreditation requirements and address professional development needs for their current and/or anticipated role in the service, in consultation with relevant manager/s</w:t>
      </w:r>
    </w:p>
    <w:p w14:paraId="52A88FA2" w14:textId="460C9C68" w:rsidR="00D53A1D" w:rsidRPr="00E52513" w:rsidRDefault="00ED7281" w:rsidP="009437A5">
      <w:pPr>
        <w:pStyle w:val="ListParagraph"/>
        <w:numPr>
          <w:ilvl w:val="0"/>
          <w:numId w:val="43"/>
        </w:numPr>
        <w:rPr>
          <w:rFonts w:cs="Segoe UI"/>
        </w:rPr>
      </w:pPr>
      <w:proofErr w:type="gramStart"/>
      <w:r w:rsidRPr="00E52513">
        <w:rPr>
          <w:rFonts w:cs="Segoe UI"/>
        </w:rPr>
        <w:t>p</w:t>
      </w:r>
      <w:r w:rsidR="00D53A1D" w:rsidRPr="00E52513">
        <w:rPr>
          <w:rFonts w:cs="Segoe UI"/>
        </w:rPr>
        <w:t>artner</w:t>
      </w:r>
      <w:proofErr w:type="gramEnd"/>
      <w:r w:rsidR="00D53A1D" w:rsidRPr="00E52513">
        <w:rPr>
          <w:rFonts w:cs="Segoe UI"/>
        </w:rPr>
        <w:t xml:space="preserve"> agencies reporting satisfaction with the contribution of the service providers to integrated service delivery.</w:t>
      </w:r>
    </w:p>
    <w:p w14:paraId="279B2227" w14:textId="77777777" w:rsidR="00D53A1D" w:rsidRPr="00E52513" w:rsidRDefault="00D53A1D" w:rsidP="00D53A1D">
      <w:pPr>
        <w:rPr>
          <w:rFonts w:cs="Segoe UI"/>
        </w:rPr>
      </w:pPr>
      <w:r w:rsidRPr="00E52513">
        <w:rPr>
          <w:rFonts w:cs="Segoe UI"/>
        </w:rPr>
        <w:t>A sound information system is required to make data for most, if not all, of these potential performance indicators accessible to the Board, managers and workers. Currently the ORS is intended to provide that function, but it has limitations. These limitations and how they might be overcome are discussed below.</w:t>
      </w:r>
    </w:p>
    <w:p w14:paraId="057A0604" w14:textId="77777777" w:rsidR="00D53A1D" w:rsidRPr="00E52513" w:rsidRDefault="00D53A1D" w:rsidP="00D53A1D">
      <w:pPr>
        <w:pStyle w:val="Heading3"/>
      </w:pPr>
      <w:r w:rsidRPr="00E52513">
        <w:t>Service planning and operations management</w:t>
      </w:r>
    </w:p>
    <w:p w14:paraId="354584BF" w14:textId="72084A99" w:rsidR="00D53A1D" w:rsidRPr="00E52513" w:rsidRDefault="00D53A1D" w:rsidP="00D53A1D">
      <w:r w:rsidRPr="00E52513">
        <w:t>Improved service planning should result from the development of a strategic and business plan and if managers are properly held accountable through performance indicators for its implementation. Of concern, though, is that under the current iteration of the organisational structure, there are three key management levels – the CEO / Director, Project Manager, and two Coordinators. Almost all of the interface with CRSAs under this structure lies with the Coordinators.</w:t>
      </w:r>
    </w:p>
    <w:p w14:paraId="47025D31" w14:textId="26165568" w:rsidR="00D53A1D" w:rsidRPr="00E52513" w:rsidRDefault="00D53A1D" w:rsidP="00D53A1D">
      <w:r w:rsidRPr="00E52513">
        <w:t>Several CRSAs offered the view that an ‘operations manager’ position was required - one that would spend a lot more time in the field supporting [and supervising] Coordinators and interfacing directly with CRSAs to ensure policy and procedure are being clearly articulated and translated appropriately into operational practice. Such a position, possibly in lieu of the Project Manager role, might result in a more even distribution of accountability across the layers of governance between the Board and the CRSAs.</w:t>
      </w:r>
    </w:p>
    <w:p w14:paraId="3829989F" w14:textId="335DADF2" w:rsidR="00CC61F9" w:rsidRPr="00E52513" w:rsidRDefault="00606F2E" w:rsidP="00152634">
      <w:pPr>
        <w:pStyle w:val="Heading2"/>
      </w:pPr>
      <w:r>
        <w:lastRenderedPageBreak/>
        <w:t xml:space="preserve"> </w:t>
      </w:r>
      <w:bookmarkStart w:id="115" w:name="_Toc54966659"/>
      <w:r w:rsidR="00A810C9" w:rsidRPr="00E52513">
        <w:t xml:space="preserve">Service </w:t>
      </w:r>
      <w:r w:rsidR="00AA2007" w:rsidRPr="00E52513">
        <w:t xml:space="preserve">resources </w:t>
      </w:r>
      <w:r w:rsidR="00A810C9" w:rsidRPr="00E52513">
        <w:t>location</w:t>
      </w:r>
      <w:bookmarkEnd w:id="115"/>
    </w:p>
    <w:p w14:paraId="7D663D95" w14:textId="77777777" w:rsidR="00E11E5A" w:rsidRPr="00E52513" w:rsidRDefault="00E11E5A" w:rsidP="00E11E5A">
      <w:pPr>
        <w:spacing w:after="120"/>
      </w:pPr>
      <w:r w:rsidRPr="00E52513">
        <w:t>In earlier sections it has been noted that:</w:t>
      </w:r>
    </w:p>
    <w:p w14:paraId="56556A86" w14:textId="77777777" w:rsidR="00E11E5A" w:rsidRPr="00E52513" w:rsidRDefault="00E11E5A" w:rsidP="009437A5">
      <w:pPr>
        <w:pStyle w:val="ListParagraph"/>
        <w:numPr>
          <w:ilvl w:val="0"/>
          <w:numId w:val="44"/>
        </w:numPr>
        <w:spacing w:after="120"/>
      </w:pPr>
      <w:r w:rsidRPr="00E52513">
        <w:t>CRSAs spend a significant amount of their time travelling or arranging travel to meet with clients</w:t>
      </w:r>
    </w:p>
    <w:p w14:paraId="25E47803" w14:textId="77777777" w:rsidR="00E11E5A" w:rsidRPr="00E52513" w:rsidRDefault="00E11E5A" w:rsidP="009437A5">
      <w:pPr>
        <w:pStyle w:val="ListParagraph"/>
        <w:numPr>
          <w:ilvl w:val="0"/>
          <w:numId w:val="44"/>
        </w:numPr>
        <w:spacing w:after="120"/>
      </w:pPr>
      <w:r w:rsidRPr="00E52513">
        <w:t>they are often required to travel to client locations alone because it would not be feasible to bring a companion CRSA from another part of the jurisdiction or another jurisdiction</w:t>
      </w:r>
    </w:p>
    <w:p w14:paraId="48DCE30E" w14:textId="77777777" w:rsidR="00E11E5A" w:rsidRPr="00E52513" w:rsidRDefault="00E11E5A" w:rsidP="009437A5">
      <w:pPr>
        <w:pStyle w:val="ListParagraph"/>
        <w:numPr>
          <w:ilvl w:val="0"/>
          <w:numId w:val="44"/>
        </w:numPr>
        <w:spacing w:after="120"/>
      </w:pPr>
      <w:r w:rsidRPr="00E52513">
        <w:t>many stakeholders have argued that CRSAs need to be located closer to their client’s communities in order to be able to form stronger understanding of, and relationships with, those communities, and</w:t>
      </w:r>
    </w:p>
    <w:p w14:paraId="5CFF735D" w14:textId="77777777" w:rsidR="00E11E5A" w:rsidRPr="00E52513" w:rsidRDefault="00E11E5A" w:rsidP="009437A5">
      <w:pPr>
        <w:pStyle w:val="ListParagraph"/>
        <w:numPr>
          <w:ilvl w:val="0"/>
          <w:numId w:val="44"/>
        </w:numPr>
      </w:pPr>
      <w:proofErr w:type="gramStart"/>
      <w:r w:rsidRPr="00E52513">
        <w:t>the</w:t>
      </w:r>
      <w:proofErr w:type="gramEnd"/>
      <w:r w:rsidRPr="00E52513">
        <w:t xml:space="preserve"> current CRSA resources are likely insufficient to implement the model of care nationally.</w:t>
      </w:r>
    </w:p>
    <w:p w14:paraId="4EF9AA79" w14:textId="41D736FF" w:rsidR="00E11E5A" w:rsidRPr="00E52513" w:rsidRDefault="00E11E5A" w:rsidP="00E11E5A">
      <w:r w:rsidRPr="00E52513">
        <w:t>Many stakeholders offered the opinion that the NICRS would be better delivered on a regional rather than national basis, and that this would improve the service delivery practice, reduce occupational health and safety risks to CRSAs, and make service delivery more efficient. NICRS management advised that indeed the original idea for the NICRS service was for it to be delivered regionally in collaboration with the Aboriginal Community Controlled Health sector, but such collaboration had been difficult to facilitate. It is perhaps time to reconsider the pursuit of a more regionalised service model.</w:t>
      </w:r>
    </w:p>
    <w:p w14:paraId="35555496" w14:textId="77777777" w:rsidR="00E755C1" w:rsidRDefault="006B4E5D" w:rsidP="00E11E5A">
      <w:pPr>
        <w:spacing w:after="0"/>
      </w:pPr>
      <w:r w:rsidRPr="00E52513">
        <w:t>Figure 26</w:t>
      </w:r>
      <w:r w:rsidR="00E11E5A" w:rsidRPr="00E52513">
        <w:t xml:space="preserve"> shows the distribution of completed suicide incidents across Australia based on coronial suicide data between 2003 and 2018 (HMA, 2019). It mirrors an earlier figure (Figure 6) that was based on suicide incident notifications to the NICRS. Both the figures (Figure 6 and 25) provide a basis for examining how and where NICRS services might be regionalised. The key regions where high levels of suicide incidents occur (i.e. ‘hot spots’) are:</w:t>
      </w:r>
    </w:p>
    <w:p w14:paraId="41CE65B1" w14:textId="77777777" w:rsidR="00E755C1" w:rsidRDefault="00E755C1" w:rsidP="009437A5">
      <w:pPr>
        <w:pStyle w:val="ListParagraph"/>
        <w:numPr>
          <w:ilvl w:val="0"/>
          <w:numId w:val="52"/>
        </w:numPr>
        <w:spacing w:after="0"/>
        <w:sectPr w:rsidR="00E755C1" w:rsidSect="00054B25">
          <w:type w:val="continuous"/>
          <w:pgSz w:w="11906" w:h="16838"/>
          <w:pgMar w:top="1440" w:right="1080" w:bottom="1440" w:left="1080" w:header="709" w:footer="454" w:gutter="0"/>
          <w:cols w:space="708"/>
          <w:docGrid w:linePitch="360"/>
        </w:sectPr>
      </w:pPr>
    </w:p>
    <w:p w14:paraId="0F79DD06" w14:textId="00687147" w:rsidR="00E755C1" w:rsidRDefault="00E755C1" w:rsidP="009437A5">
      <w:pPr>
        <w:pStyle w:val="ListParagraph"/>
        <w:numPr>
          <w:ilvl w:val="0"/>
          <w:numId w:val="46"/>
        </w:numPr>
        <w:tabs>
          <w:tab w:val="clear" w:pos="284"/>
          <w:tab w:val="left" w:pos="426"/>
        </w:tabs>
        <w:spacing w:after="0"/>
        <w:ind w:hanging="578"/>
      </w:pPr>
      <w:r>
        <w:t>The Kimberley</w:t>
      </w:r>
    </w:p>
    <w:p w14:paraId="4DE96DDD" w14:textId="77777777" w:rsidR="00E755C1" w:rsidRDefault="00E755C1" w:rsidP="009437A5">
      <w:pPr>
        <w:pStyle w:val="ListParagraph"/>
        <w:numPr>
          <w:ilvl w:val="0"/>
          <w:numId w:val="46"/>
        </w:numPr>
        <w:tabs>
          <w:tab w:val="clear" w:pos="284"/>
          <w:tab w:val="left" w:pos="426"/>
        </w:tabs>
        <w:spacing w:after="0"/>
        <w:ind w:hanging="578"/>
      </w:pPr>
      <w:r>
        <w:t>Alice Springs / Central Australia</w:t>
      </w:r>
    </w:p>
    <w:p w14:paraId="418238D0" w14:textId="77777777" w:rsidR="00E755C1" w:rsidRDefault="00E755C1" w:rsidP="009437A5">
      <w:pPr>
        <w:pStyle w:val="ListParagraph"/>
        <w:numPr>
          <w:ilvl w:val="0"/>
          <w:numId w:val="46"/>
        </w:numPr>
        <w:tabs>
          <w:tab w:val="clear" w:pos="284"/>
          <w:tab w:val="left" w:pos="426"/>
        </w:tabs>
        <w:spacing w:after="0"/>
        <w:ind w:hanging="578"/>
      </w:pPr>
      <w:r>
        <w:t>Darwin</w:t>
      </w:r>
    </w:p>
    <w:p w14:paraId="7978F2E7" w14:textId="77777777" w:rsidR="00E755C1" w:rsidRDefault="00E755C1" w:rsidP="009437A5">
      <w:pPr>
        <w:pStyle w:val="ListParagraph"/>
        <w:numPr>
          <w:ilvl w:val="0"/>
          <w:numId w:val="46"/>
        </w:numPr>
        <w:spacing w:after="0"/>
        <w:ind w:hanging="720"/>
      </w:pPr>
      <w:r>
        <w:t>Brisbane</w:t>
      </w:r>
    </w:p>
    <w:p w14:paraId="1DA390CE" w14:textId="2A0BCC92" w:rsidR="00E571B6" w:rsidRDefault="00E755C1" w:rsidP="009437A5">
      <w:pPr>
        <w:pStyle w:val="ListParagraph"/>
        <w:numPr>
          <w:ilvl w:val="0"/>
          <w:numId w:val="46"/>
        </w:numPr>
        <w:spacing w:after="0"/>
        <w:ind w:left="567" w:hanging="578"/>
      </w:pPr>
      <w:r>
        <w:t>Perth.</w:t>
      </w:r>
    </w:p>
    <w:p w14:paraId="389D225C" w14:textId="77777777" w:rsidR="00E755C1" w:rsidRDefault="00E755C1" w:rsidP="00E11E5A">
      <w:pPr>
        <w:spacing w:after="0"/>
        <w:sectPr w:rsidR="00E755C1" w:rsidSect="00E755C1">
          <w:type w:val="continuous"/>
          <w:pgSz w:w="11906" w:h="16838"/>
          <w:pgMar w:top="1440" w:right="1080" w:bottom="1440" w:left="2552" w:header="709" w:footer="454" w:gutter="0"/>
          <w:cols w:num="2" w:space="52"/>
          <w:docGrid w:linePitch="360"/>
        </w:sectPr>
      </w:pPr>
    </w:p>
    <w:p w14:paraId="6BC67A7A" w14:textId="26201A49" w:rsidR="00E755C1" w:rsidRPr="00E52513" w:rsidRDefault="00E755C1" w:rsidP="00E11E5A">
      <w:pPr>
        <w:spacing w:after="0"/>
      </w:pPr>
    </w:p>
    <w:p w14:paraId="26F6E6A9" w14:textId="77777777" w:rsidR="00E571B6" w:rsidRPr="00E52513" w:rsidRDefault="00E571B6" w:rsidP="00E11E5A">
      <w:pPr>
        <w:spacing w:after="0"/>
      </w:pPr>
    </w:p>
    <w:p w14:paraId="702A7500" w14:textId="250B9C4F" w:rsidR="00E11E5A" w:rsidRDefault="00E11E5A" w:rsidP="00E11E5A">
      <w:pPr>
        <w:spacing w:after="120"/>
      </w:pPr>
      <w:r w:rsidRPr="00E52513">
        <w:t>Other major hubs of suicide incidents are:</w:t>
      </w:r>
    </w:p>
    <w:p w14:paraId="0920EE52" w14:textId="77777777" w:rsidR="006A6D48" w:rsidRDefault="006A6D48" w:rsidP="009437A5">
      <w:pPr>
        <w:pStyle w:val="ListParagraph"/>
        <w:numPr>
          <w:ilvl w:val="0"/>
          <w:numId w:val="46"/>
        </w:numPr>
        <w:sectPr w:rsidR="006A6D48" w:rsidSect="00E755C1">
          <w:type w:val="continuous"/>
          <w:pgSz w:w="11906" w:h="16838"/>
          <w:pgMar w:top="1440" w:right="1080" w:bottom="1440" w:left="1080" w:header="709" w:footer="454" w:gutter="0"/>
          <w:cols w:space="708"/>
          <w:docGrid w:linePitch="360"/>
        </w:sectPr>
      </w:pPr>
    </w:p>
    <w:p w14:paraId="6EDDD531" w14:textId="71A2AF03" w:rsidR="006A6D48" w:rsidRDefault="006A6D48" w:rsidP="009437A5">
      <w:pPr>
        <w:pStyle w:val="ListParagraph"/>
        <w:numPr>
          <w:ilvl w:val="0"/>
          <w:numId w:val="46"/>
        </w:numPr>
        <w:tabs>
          <w:tab w:val="clear" w:pos="284"/>
          <w:tab w:val="left" w:pos="426"/>
        </w:tabs>
        <w:spacing w:after="0"/>
        <w:ind w:left="1985" w:hanging="578"/>
      </w:pPr>
      <w:r>
        <w:t>Perth</w:t>
      </w:r>
    </w:p>
    <w:p w14:paraId="4F48A406" w14:textId="77777777" w:rsidR="006A6D48" w:rsidRPr="00E52513" w:rsidRDefault="006A6D48" w:rsidP="009437A5">
      <w:pPr>
        <w:pStyle w:val="ListParagraph"/>
        <w:numPr>
          <w:ilvl w:val="0"/>
          <w:numId w:val="46"/>
        </w:numPr>
        <w:tabs>
          <w:tab w:val="clear" w:pos="284"/>
          <w:tab w:val="left" w:pos="426"/>
        </w:tabs>
        <w:spacing w:after="0"/>
        <w:ind w:left="1985" w:hanging="578"/>
      </w:pPr>
      <w:r w:rsidRPr="00E52513">
        <w:t>Geraldton</w:t>
      </w:r>
    </w:p>
    <w:p w14:paraId="30C95153" w14:textId="77777777" w:rsidR="006A6D48" w:rsidRPr="00E52513" w:rsidRDefault="006A6D48" w:rsidP="009437A5">
      <w:pPr>
        <w:pStyle w:val="ListParagraph"/>
        <w:numPr>
          <w:ilvl w:val="0"/>
          <w:numId w:val="46"/>
        </w:numPr>
        <w:tabs>
          <w:tab w:val="clear" w:pos="284"/>
          <w:tab w:val="left" w:pos="426"/>
        </w:tabs>
        <w:spacing w:after="0"/>
        <w:ind w:left="1985" w:hanging="578"/>
      </w:pPr>
      <w:r w:rsidRPr="00E52513">
        <w:t>Pilbara</w:t>
      </w:r>
    </w:p>
    <w:p w14:paraId="36419A25" w14:textId="77777777" w:rsidR="006A6D48" w:rsidRDefault="006A6D48" w:rsidP="009437A5">
      <w:pPr>
        <w:pStyle w:val="ListParagraph"/>
        <w:numPr>
          <w:ilvl w:val="0"/>
          <w:numId w:val="46"/>
        </w:numPr>
        <w:tabs>
          <w:tab w:val="clear" w:pos="284"/>
          <w:tab w:val="left" w:pos="426"/>
        </w:tabs>
        <w:spacing w:after="0"/>
        <w:ind w:left="1985" w:hanging="578"/>
      </w:pPr>
      <w:r w:rsidRPr="00E52513">
        <w:t>Maningrida / Nhulunbuy</w:t>
      </w:r>
    </w:p>
    <w:p w14:paraId="3D52E993" w14:textId="77777777" w:rsidR="006A6D48" w:rsidRDefault="006A6D48" w:rsidP="009437A5">
      <w:pPr>
        <w:pStyle w:val="ListParagraph"/>
        <w:numPr>
          <w:ilvl w:val="0"/>
          <w:numId w:val="46"/>
        </w:numPr>
        <w:tabs>
          <w:tab w:val="clear" w:pos="284"/>
          <w:tab w:val="left" w:pos="426"/>
        </w:tabs>
        <w:spacing w:after="0"/>
        <w:ind w:left="1985" w:hanging="578"/>
      </w:pPr>
      <w:r>
        <w:t>Cooktown</w:t>
      </w:r>
    </w:p>
    <w:p w14:paraId="497836C6" w14:textId="6458887C" w:rsidR="006A6D48" w:rsidRDefault="006A6D48" w:rsidP="009437A5">
      <w:pPr>
        <w:pStyle w:val="ListParagraph"/>
        <w:numPr>
          <w:ilvl w:val="0"/>
          <w:numId w:val="46"/>
        </w:numPr>
        <w:tabs>
          <w:tab w:val="clear" w:pos="284"/>
          <w:tab w:val="left" w:pos="426"/>
        </w:tabs>
        <w:spacing w:after="0"/>
        <w:ind w:left="1985" w:hanging="578"/>
      </w:pPr>
      <w:r>
        <w:t>Mt Isa</w:t>
      </w:r>
    </w:p>
    <w:p w14:paraId="1B2A2DBB" w14:textId="77777777" w:rsidR="006A6D48" w:rsidRDefault="006A6D48" w:rsidP="009437A5">
      <w:pPr>
        <w:pStyle w:val="ListParagraph"/>
        <w:numPr>
          <w:ilvl w:val="0"/>
          <w:numId w:val="46"/>
        </w:numPr>
      </w:pPr>
      <w:r w:rsidRPr="00E52513">
        <w:t>Townsville / Palm Island</w:t>
      </w:r>
    </w:p>
    <w:p w14:paraId="3C292E95" w14:textId="77777777" w:rsidR="006A6D48" w:rsidRPr="00E52513" w:rsidRDefault="006A6D48" w:rsidP="009437A5">
      <w:pPr>
        <w:pStyle w:val="ListParagraph"/>
        <w:numPr>
          <w:ilvl w:val="0"/>
          <w:numId w:val="46"/>
        </w:numPr>
      </w:pPr>
      <w:r>
        <w:t>Cairns</w:t>
      </w:r>
    </w:p>
    <w:p w14:paraId="12ECE731" w14:textId="77777777" w:rsidR="006A6D48" w:rsidRPr="00E52513" w:rsidRDefault="006A6D48" w:rsidP="009437A5">
      <w:pPr>
        <w:pStyle w:val="ListParagraph"/>
        <w:numPr>
          <w:ilvl w:val="0"/>
          <w:numId w:val="46"/>
        </w:numPr>
      </w:pPr>
      <w:r>
        <w:t>Mackay</w:t>
      </w:r>
    </w:p>
    <w:p w14:paraId="256E0D35" w14:textId="77777777" w:rsidR="006A6D48" w:rsidRDefault="006A6D48" w:rsidP="009437A5">
      <w:pPr>
        <w:pStyle w:val="ListParagraph"/>
        <w:numPr>
          <w:ilvl w:val="0"/>
          <w:numId w:val="46"/>
        </w:numPr>
      </w:pPr>
      <w:r w:rsidRPr="00E52513">
        <w:t>Sydney</w:t>
      </w:r>
    </w:p>
    <w:p w14:paraId="3378E3C6" w14:textId="09FD6BE5" w:rsidR="006A6D48" w:rsidRDefault="006A6D48" w:rsidP="009437A5">
      <w:pPr>
        <w:pStyle w:val="ListParagraph"/>
        <w:numPr>
          <w:ilvl w:val="0"/>
          <w:numId w:val="46"/>
        </w:numPr>
      </w:pPr>
      <w:r>
        <w:t>Adelaide</w:t>
      </w:r>
      <w:r w:rsidRPr="00E52513">
        <w:t>.</w:t>
      </w:r>
    </w:p>
    <w:p w14:paraId="335B5F9F" w14:textId="77777777" w:rsidR="006A6D48" w:rsidRDefault="006A6D48" w:rsidP="00E11E5A">
      <w:pPr>
        <w:spacing w:after="120"/>
        <w:sectPr w:rsidR="006A6D48" w:rsidSect="006A6D48">
          <w:type w:val="continuous"/>
          <w:pgSz w:w="11906" w:h="16838"/>
          <w:pgMar w:top="1440" w:right="1080" w:bottom="1440" w:left="1080" w:header="709" w:footer="454" w:gutter="0"/>
          <w:cols w:num="2" w:space="708"/>
          <w:docGrid w:linePitch="360"/>
        </w:sectPr>
      </w:pPr>
    </w:p>
    <w:p w14:paraId="0447E269" w14:textId="4F636660" w:rsidR="00E755C1" w:rsidRPr="00E52513" w:rsidRDefault="00E755C1" w:rsidP="00E11E5A">
      <w:pPr>
        <w:spacing w:after="120"/>
      </w:pPr>
    </w:p>
    <w:p w14:paraId="45285A52" w14:textId="324E06AC" w:rsidR="00E571B6" w:rsidRDefault="00E571B6" w:rsidP="00E11E5A">
      <w:pPr>
        <w:spacing w:after="120"/>
      </w:pPr>
    </w:p>
    <w:p w14:paraId="7662D4FD" w14:textId="2123A363" w:rsidR="005E6F5C" w:rsidRPr="00E52513" w:rsidRDefault="005E6F5C" w:rsidP="00E11E5A">
      <w:pPr>
        <w:spacing w:after="120"/>
      </w:pPr>
      <w:r>
        <w:rPr>
          <w:noProof/>
          <w:lang w:eastAsia="en-AU"/>
        </w:rPr>
        <w:lastRenderedPageBreak/>
        <w:drawing>
          <wp:inline distT="0" distB="0" distL="0" distR="0" wp14:anchorId="6F3FDD23" wp14:editId="0CCC7C00">
            <wp:extent cx="6119706" cy="6709932"/>
            <wp:effectExtent l="0" t="0" r="0" b="0"/>
            <wp:docPr id="221" name="Picture 221" descr="Map indicates the location of the very major and major hubs as outlined in the text above. In addition, the map indicates moderate hubs - Kalgoorlie, Mildura, Shepparton, Melbourne, Dubbo, Illawarra, Central Coast, Dubbo, Moree, Clarence Valley, Toowoomba, Mackay, Gove, Cooktown, Tennant Creek, Katerine, Daley River, North East Arnhem Land, Tiwi Islands.  Jursidictional totals: WA - 319; NT - 322; Qld - 321; NSW - 127; ACT - 13; Victoria - 40; Tasmania - 24; SA - 52.  CRSA locations - Perth, Geraldton, Broome, Darwin, Cairns, Brisbane, Melbourne, Adelaide" title="Figure 27: Coronial suicide data 2003-18 – Aboriginal &amp; Torres Strait Islander people by location of suicide, top 10 LGAs by jurisdiction ≥5 per location  (Source: Thirrili Ltd., (2019). National Coronial Information Service Suicide 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Figure 27: Coronial Aboriginal and Torres Strait Islander suicide data - map of Australia and CRSA locations&#10;&#10;Map indicates the location of the very major and major hubs as outlined in the text above. In addition, the map indicates moderate hubs - Kalgoorlie, Mildura, Shepparton, Melbourne, Dubbo, Illawarra, Central Coast, Dubbo, Moree, Clarence Valley, Toowoomba, Mackay, Gove, Cooktown, Tennant Creek, Katerine, Daley River, North East Arnhem Land, Tiwi Islands.  Jursidictional totals: WA - 319; NT - 322; Qld - 321; NSW - 127; ACT - 13; Victoria - 40; Tasmania - 24; SA - 52.  CRSA locations - Perth, Geraldton, Broome, Darwin, Cairns, Brisbane, Melbourne, Adelaide"/>
                    <pic:cNvPicPr/>
                  </pic:nvPicPr>
                  <pic:blipFill>
                    <a:blip r:embed="rId41">
                      <a:extLst>
                        <a:ext uri="{28A0092B-C50C-407E-A947-70E740481C1C}">
                          <a14:useLocalDpi xmlns:a14="http://schemas.microsoft.com/office/drawing/2010/main" val="0"/>
                        </a:ext>
                      </a:extLst>
                    </a:blip>
                    <a:stretch>
                      <a:fillRect/>
                    </a:stretch>
                  </pic:blipFill>
                  <pic:spPr>
                    <a:xfrm>
                      <a:off x="0" y="0"/>
                      <a:ext cx="6119706" cy="6709932"/>
                    </a:xfrm>
                    <a:prstGeom prst="rect">
                      <a:avLst/>
                    </a:prstGeom>
                  </pic:spPr>
                </pic:pic>
              </a:graphicData>
            </a:graphic>
          </wp:inline>
        </w:drawing>
      </w:r>
    </w:p>
    <w:p w14:paraId="2F858A6A" w14:textId="77777777" w:rsidR="00CC61F9" w:rsidRPr="00E52513" w:rsidRDefault="00CC61F9" w:rsidP="00CC61F9">
      <w:pPr>
        <w:spacing w:after="0"/>
        <w:rPr>
          <w:sz w:val="16"/>
          <w:szCs w:val="16"/>
        </w:rPr>
      </w:pPr>
    </w:p>
    <w:p w14:paraId="247A9BD8" w14:textId="71098C14" w:rsidR="00E11E5A" w:rsidRPr="00E52513" w:rsidRDefault="00E11E5A" w:rsidP="00E11E5A">
      <w:bookmarkStart w:id="116" w:name="_Toc35966359"/>
      <w:r w:rsidRPr="00E52513">
        <w:t>Currently resources are located in Adelaide and Melbourne that do not coincide with ‘hot spots’, whil</w:t>
      </w:r>
      <w:r w:rsidR="00E179F6" w:rsidRPr="00E52513">
        <w:t>e</w:t>
      </w:r>
      <w:r w:rsidRPr="00E52513">
        <w:t xml:space="preserve"> </w:t>
      </w:r>
      <w:r w:rsidR="00F74BF4" w:rsidRPr="00E52513">
        <w:t>t</w:t>
      </w:r>
      <w:r w:rsidRPr="00E52513">
        <w:t xml:space="preserve">he Pilbara, Townsville / Palm Island, Maningrida / Nhulunbuy and Sydney all require services from remotely placed CRSAs. Based on this data alone (and one can accept that many other considerations might need to be </w:t>
      </w:r>
      <w:r w:rsidR="00F74BF4" w:rsidRPr="00E52513">
        <w:t>considered</w:t>
      </w:r>
      <w:r w:rsidRPr="00E52513">
        <w:t>), teams of CRSAs (i.e. no less than two) should be placed in the Kimberly, Darwin, Central Australia and Brisbane. If funds permitted, then teams could also be located in North QLD and Perth.</w:t>
      </w:r>
    </w:p>
    <w:p w14:paraId="1E55A66C" w14:textId="3BF6FF52" w:rsidR="00E11E5A" w:rsidRPr="00E52513" w:rsidRDefault="00E11E5A" w:rsidP="00E11E5A">
      <w:r w:rsidRPr="00E52513">
        <w:t xml:space="preserve">Locating CRSA resources in teams closer to hotspots would support more effective implementation of the example revised model of care, especially during the </w:t>
      </w:r>
      <w:r w:rsidRPr="00E52513">
        <w:rPr>
          <w:b/>
          <w:bCs/>
        </w:rPr>
        <w:t>ongoing support phase</w:t>
      </w:r>
      <w:r w:rsidRPr="00E52513">
        <w:t xml:space="preserve">, where community level / population health intervention would be envisaged. By locating CRSAs in teams, </w:t>
      </w:r>
      <w:r w:rsidRPr="00E52513">
        <w:lastRenderedPageBreak/>
        <w:t>the processes of practice supervision and workforce capacity building could be better supported. Finally, greater efficiency in the use of CRSA resources should result.</w:t>
      </w:r>
    </w:p>
    <w:p w14:paraId="6C9E623E" w14:textId="164FC092" w:rsidR="008F4C12" w:rsidRPr="00E52513" w:rsidRDefault="00E11E5A" w:rsidP="008F4C12">
      <w:r w:rsidRPr="00E52513">
        <w:t>A variation on the ‘hotspot’ location of CRSA resources would be to adopt more of a ‘hub and spoke’ deployment approach. In this construct, the ‘hubs’ could be more regionally-based deployments of CRSAs, and the ‘spokes’ would be 3-4 members (or more) of hot spot communities trained to be first responders to incidents as well as trained connectors or links to those communities to support the NICRS regionally-based CRSA resources to provide an intervention. Standby in the NT has tentatively started to develop this type of model by training community members in selected Central Australia communities.</w:t>
      </w:r>
      <w:r w:rsidR="008F4C12" w:rsidRPr="00E52513">
        <w:t xml:space="preserve"> In any of these variations, where possible</w:t>
      </w:r>
      <w:r w:rsidR="00F74BF4" w:rsidRPr="00E52513">
        <w:t>,</w:t>
      </w:r>
      <w:r w:rsidR="008F4C12" w:rsidRPr="00E52513">
        <w:t xml:space="preserve"> team composition should also reflect male and female workers to address the gender-sensitive service delivery requirements that have been discussed earlier.</w:t>
      </w:r>
    </w:p>
    <w:p w14:paraId="43E7DE92" w14:textId="521A0F6B" w:rsidR="00663BEF" w:rsidRPr="00E52513" w:rsidRDefault="005E6F5C" w:rsidP="00152634">
      <w:pPr>
        <w:pStyle w:val="Heading2"/>
      </w:pPr>
      <w:r>
        <w:t xml:space="preserve"> </w:t>
      </w:r>
      <w:bookmarkStart w:id="117" w:name="_Toc54966660"/>
      <w:r w:rsidR="00663BEF" w:rsidRPr="00E52513">
        <w:t>Data collection for the program</w:t>
      </w:r>
      <w:bookmarkEnd w:id="116"/>
      <w:bookmarkEnd w:id="117"/>
    </w:p>
    <w:p w14:paraId="08C0FEAA" w14:textId="77777777" w:rsidR="00355EBF" w:rsidRPr="00E52513" w:rsidRDefault="00355EBF" w:rsidP="00E671B9">
      <w:pPr>
        <w:pStyle w:val="Heading3"/>
      </w:pPr>
      <w:r w:rsidRPr="00E52513">
        <w:t>Data quality concerns</w:t>
      </w:r>
    </w:p>
    <w:p w14:paraId="2CD9F7A7" w14:textId="1845BE33" w:rsidR="00A61996" w:rsidRPr="00E52513" w:rsidRDefault="001B036E" w:rsidP="00A61996">
      <w:r w:rsidRPr="00E52513">
        <w:t>T</w:t>
      </w:r>
      <w:r w:rsidR="00A61996" w:rsidRPr="00E52513">
        <w:t xml:space="preserve">he quality of the ORS data </w:t>
      </w:r>
      <w:r w:rsidR="006E608F" w:rsidRPr="00E52513">
        <w:t xml:space="preserve">was raised in the discussion of the method (see Appendix </w:t>
      </w:r>
      <w:r w:rsidR="000F66D0" w:rsidRPr="00E52513">
        <w:t>7</w:t>
      </w:r>
      <w:r w:rsidR="006E608F" w:rsidRPr="00E52513">
        <w:t>) and in various other sections. The quality of the data is compromised from several directions</w:t>
      </w:r>
      <w:r w:rsidR="00966386" w:rsidRPr="00E52513">
        <w:t xml:space="preserve"> but some of </w:t>
      </w:r>
      <w:r w:rsidR="00F74BF4" w:rsidRPr="00E52513">
        <w:t xml:space="preserve">the </w:t>
      </w:r>
      <w:r w:rsidR="00966386" w:rsidRPr="00E52513">
        <w:t>main factors are</w:t>
      </w:r>
      <w:r w:rsidR="003C21BF" w:rsidRPr="00E52513">
        <w:t>:</w:t>
      </w:r>
    </w:p>
    <w:p w14:paraId="37DBA580" w14:textId="766616B4" w:rsidR="00E11E5A" w:rsidRPr="00E52513" w:rsidRDefault="00A61996" w:rsidP="00E11E5A">
      <w:pPr>
        <w:ind w:left="720"/>
      </w:pPr>
      <w:r w:rsidRPr="00E52513">
        <w:rPr>
          <w:b/>
          <w:bCs/>
        </w:rPr>
        <w:t>First</w:t>
      </w:r>
      <w:r w:rsidRPr="00E52513">
        <w:t xml:space="preserve">, current, and past, CRSAs have admitted to not placing </w:t>
      </w:r>
      <w:r w:rsidR="006E608F" w:rsidRPr="00E52513">
        <w:t>sufficient importance</w:t>
      </w:r>
      <w:r w:rsidRPr="00E52513">
        <w:t xml:space="preserve"> at all times on the data entry for the ORS. This is a common problem that arises in social welfare organisations when program activity data is to be entered by direct care workers. Workers invariably preference the care work over what they see as the ‘administrative’ work </w:t>
      </w:r>
      <w:r w:rsidR="006E608F" w:rsidRPr="00E52513">
        <w:t>(</w:t>
      </w:r>
      <w:proofErr w:type="spellStart"/>
      <w:r w:rsidR="006E608F" w:rsidRPr="00E52513">
        <w:t>Nonprofit</w:t>
      </w:r>
      <w:proofErr w:type="spellEnd"/>
      <w:r w:rsidR="006E608F" w:rsidRPr="00E52513">
        <w:t xml:space="preserve"> Hub, 2019) </w:t>
      </w:r>
      <w:r w:rsidRPr="00E52513">
        <w:t xml:space="preserve">and some comments were made that the ORS was only really well maintained during a period when a dedicated officer (rather than the CRSAs) was doing the data entry. </w:t>
      </w:r>
      <w:r w:rsidR="00E11E5A" w:rsidRPr="00E52513">
        <w:t>At best, the consequence of this general reluctance was tardy data entry; at worst, retrospective data entry has led to inaccuracies in the activities captured and/or missing data since memory fades and workers move on. After reviewing the data, the evaluation team has formed a strong suspicion that some (perhaps a significant amount) of NICRS activity has not been recorded.</w:t>
      </w:r>
    </w:p>
    <w:p w14:paraId="018CA851" w14:textId="24EA538D" w:rsidR="00A61996" w:rsidRPr="00E52513" w:rsidRDefault="003C21BF" w:rsidP="00510A0A">
      <w:pPr>
        <w:ind w:left="720"/>
      </w:pPr>
      <w:r w:rsidRPr="00E52513">
        <w:rPr>
          <w:b/>
          <w:bCs/>
        </w:rPr>
        <w:t>Second</w:t>
      </w:r>
      <w:r w:rsidRPr="00E52513">
        <w:t>, it was reported through the interviews that Coordinators had historically received little or no training in ORS system management and consequently could only provide limited direct support for CRSAs. Several CRSAs interviewed also indicated their understanding of the ORS was poor.</w:t>
      </w:r>
    </w:p>
    <w:p w14:paraId="0C21EA72" w14:textId="4581E1A4" w:rsidR="00A61996" w:rsidRPr="00E52513" w:rsidRDefault="003C21BF" w:rsidP="00510A0A">
      <w:pPr>
        <w:ind w:left="720"/>
      </w:pPr>
      <w:r w:rsidRPr="00E52513">
        <w:rPr>
          <w:b/>
          <w:bCs/>
        </w:rPr>
        <w:t>Third</w:t>
      </w:r>
      <w:r w:rsidR="00A61996" w:rsidRPr="00E52513">
        <w:t>, during the early days of the program implementation, prior to the ORS becoming fully established, some cases were provided services without being properly recorded.</w:t>
      </w:r>
      <w:r w:rsidRPr="00E52513">
        <w:t xml:space="preserve"> This problem has continued to varying degrees because data fields have continually been added, and some critical fields were not added to the database until late 2018.</w:t>
      </w:r>
    </w:p>
    <w:p w14:paraId="0DB6B7EF" w14:textId="22BA19C9" w:rsidR="003C21BF" w:rsidRPr="00E52513" w:rsidRDefault="003C21BF" w:rsidP="00510A0A">
      <w:pPr>
        <w:ind w:left="720"/>
      </w:pPr>
      <w:r w:rsidRPr="00E52513">
        <w:rPr>
          <w:b/>
          <w:bCs/>
        </w:rPr>
        <w:t>Fourth</w:t>
      </w:r>
      <w:r w:rsidRPr="00E52513">
        <w:t xml:space="preserve">, </w:t>
      </w:r>
      <w:r w:rsidR="001A06B4" w:rsidRPr="00E52513">
        <w:t>the ORS</w:t>
      </w:r>
      <w:r w:rsidRPr="00E52513">
        <w:t xml:space="preserve"> </w:t>
      </w:r>
      <w:r w:rsidR="001A06B4" w:rsidRPr="00E52513">
        <w:t>M</w:t>
      </w:r>
      <w:r w:rsidRPr="00E52513">
        <w:t>anual</w:t>
      </w:r>
      <w:r w:rsidR="001A06B4" w:rsidRPr="00E52513">
        <w:t xml:space="preserve"> (NICRS, 2018), meant to be an aid to data entry, has been described by CRSAs as difficult to understand, a sentiment reflected as well by the evaluation team.</w:t>
      </w:r>
    </w:p>
    <w:p w14:paraId="45712A81" w14:textId="3E8C22B1" w:rsidR="003615B2" w:rsidRPr="00E52513" w:rsidRDefault="00A61996" w:rsidP="00A61996">
      <w:r w:rsidRPr="00E52513">
        <w:t>Compounding the effect of the above issues on the data quality, the ORS data set is incomplete – that is</w:t>
      </w:r>
      <w:r w:rsidR="004C6A0B" w:rsidRPr="00E52513">
        <w:t>,</w:t>
      </w:r>
      <w:r w:rsidRPr="00E52513">
        <w:t xml:space="preserve"> not all the data required to monitor implementation and support continuous improvement is </w:t>
      </w:r>
      <w:r w:rsidR="003615B2" w:rsidRPr="00E52513">
        <w:t xml:space="preserve">either </w:t>
      </w:r>
      <w:r w:rsidRPr="00E52513">
        <w:t>required to be entered by CRSAs</w:t>
      </w:r>
      <w:r w:rsidR="003615B2" w:rsidRPr="00E52513">
        <w:t xml:space="preserve"> or is entered in a way that is easily accessible to analysis</w:t>
      </w:r>
      <w:r w:rsidRPr="00E52513">
        <w:t xml:space="preserve">. </w:t>
      </w:r>
      <w:r w:rsidR="003615B2" w:rsidRPr="00E52513">
        <w:lastRenderedPageBreak/>
        <w:t xml:space="preserve">Some key service variables that need to be monitored but currently are either absent or difficult to access </w:t>
      </w:r>
      <w:r w:rsidR="00704DC5" w:rsidRPr="00E52513">
        <w:t xml:space="preserve">(this is not an exhaustive list) </w:t>
      </w:r>
      <w:r w:rsidR="003615B2" w:rsidRPr="00E52513">
        <w:t>are:</w:t>
      </w:r>
    </w:p>
    <w:p w14:paraId="3B19C21A" w14:textId="5B3947CF" w:rsidR="003615B2" w:rsidRPr="00E52513" w:rsidRDefault="00A61996" w:rsidP="009437A5">
      <w:pPr>
        <w:pStyle w:val="ListParagraph"/>
        <w:numPr>
          <w:ilvl w:val="0"/>
          <w:numId w:val="30"/>
        </w:numPr>
      </w:pPr>
      <w:r w:rsidRPr="00E52513">
        <w:t>the time of the first client contact is difficult to determine</w:t>
      </w:r>
    </w:p>
    <w:p w14:paraId="1CF8F73B" w14:textId="3F84A40B" w:rsidR="003615B2" w:rsidRPr="00E52513" w:rsidRDefault="00A61996" w:rsidP="009437A5">
      <w:pPr>
        <w:pStyle w:val="ListParagraph"/>
        <w:numPr>
          <w:ilvl w:val="0"/>
          <w:numId w:val="30"/>
        </w:numPr>
      </w:pPr>
      <w:r w:rsidRPr="00E52513">
        <w:t xml:space="preserve">inconsistency </w:t>
      </w:r>
      <w:r w:rsidR="003615B2" w:rsidRPr="00E52513">
        <w:t xml:space="preserve">in the reporting </w:t>
      </w:r>
      <w:r w:rsidRPr="00E52513">
        <w:t>between cases and clients</w:t>
      </w:r>
    </w:p>
    <w:p w14:paraId="00B3AAEE" w14:textId="0E3DDBC0" w:rsidR="003615B2" w:rsidRPr="00E52513" w:rsidRDefault="003615B2" w:rsidP="009437A5">
      <w:pPr>
        <w:pStyle w:val="ListParagraph"/>
        <w:numPr>
          <w:ilvl w:val="0"/>
          <w:numId w:val="30"/>
        </w:numPr>
      </w:pPr>
      <w:r w:rsidRPr="00E52513">
        <w:t>needs of clients are not recorded except in case notes</w:t>
      </w:r>
    </w:p>
    <w:p w14:paraId="7623FE55" w14:textId="1A212FC0" w:rsidR="003615B2" w:rsidRPr="00E52513" w:rsidRDefault="003615B2" w:rsidP="009437A5">
      <w:pPr>
        <w:pStyle w:val="ListParagraph"/>
        <w:numPr>
          <w:ilvl w:val="0"/>
          <w:numId w:val="30"/>
        </w:numPr>
      </w:pPr>
      <w:r w:rsidRPr="00E52513">
        <w:t xml:space="preserve">whether a </w:t>
      </w:r>
      <w:proofErr w:type="spellStart"/>
      <w:r w:rsidRPr="00E52513">
        <w:t>throughcare</w:t>
      </w:r>
      <w:proofErr w:type="spellEnd"/>
      <w:r w:rsidRPr="00E52513">
        <w:t xml:space="preserve"> plan was created</w:t>
      </w:r>
    </w:p>
    <w:p w14:paraId="0631A734" w14:textId="2C52F0EA" w:rsidR="003615B2" w:rsidRPr="00E52513" w:rsidRDefault="003615B2" w:rsidP="009437A5">
      <w:pPr>
        <w:pStyle w:val="ListParagraph"/>
        <w:numPr>
          <w:ilvl w:val="0"/>
          <w:numId w:val="30"/>
        </w:numPr>
      </w:pPr>
      <w:r w:rsidRPr="00E52513">
        <w:t xml:space="preserve">objectives of the </w:t>
      </w:r>
      <w:proofErr w:type="spellStart"/>
      <w:r w:rsidRPr="00E52513">
        <w:t>throughcare</w:t>
      </w:r>
      <w:proofErr w:type="spellEnd"/>
      <w:r w:rsidRPr="00E52513">
        <w:t xml:space="preserve"> plan </w:t>
      </w:r>
      <w:r w:rsidR="00704DC5" w:rsidRPr="00E52513">
        <w:t>are not recorded and nor is the achievement (or not) of those objectives</w:t>
      </w:r>
    </w:p>
    <w:p w14:paraId="23700097" w14:textId="587BF941" w:rsidR="003615B2" w:rsidRPr="00E52513" w:rsidRDefault="00A61996" w:rsidP="009437A5">
      <w:pPr>
        <w:pStyle w:val="ListParagraph"/>
        <w:numPr>
          <w:ilvl w:val="0"/>
          <w:numId w:val="30"/>
        </w:numPr>
      </w:pPr>
      <w:proofErr w:type="gramStart"/>
      <w:r w:rsidRPr="00E52513">
        <w:t>the</w:t>
      </w:r>
      <w:proofErr w:type="gramEnd"/>
      <w:r w:rsidRPr="00E52513">
        <w:t xml:space="preserve"> types of intervention</w:t>
      </w:r>
      <w:r w:rsidR="003615B2" w:rsidRPr="00E52513">
        <w:t>, other than ERF,</w:t>
      </w:r>
      <w:r w:rsidRPr="00E52513">
        <w:t xml:space="preserve"> are difficult to discern and inaccessible for analysis</w:t>
      </w:r>
      <w:r w:rsidR="003615B2" w:rsidRPr="00E52513">
        <w:t>. For instance, there is no recording of accidental counselling (other than in case notes) nor of actual referrals attempted. There is no detail on the types of referrals attempted or the outcomes.</w:t>
      </w:r>
    </w:p>
    <w:p w14:paraId="6AB48FF3" w14:textId="4269E856" w:rsidR="003615B2" w:rsidRPr="00E52513" w:rsidRDefault="003615B2" w:rsidP="009437A5">
      <w:pPr>
        <w:pStyle w:val="ListParagraph"/>
        <w:numPr>
          <w:ilvl w:val="0"/>
          <w:numId w:val="30"/>
        </w:numPr>
      </w:pPr>
      <w:proofErr w:type="gramStart"/>
      <w:r w:rsidRPr="00E52513">
        <w:t>other</w:t>
      </w:r>
      <w:proofErr w:type="gramEnd"/>
      <w:r w:rsidRPr="00E52513">
        <w:t xml:space="preserve"> service providers involved in cases are not named or categorised (e.g. ACCHOs, NGO, government mental health services, etc.)</w:t>
      </w:r>
    </w:p>
    <w:p w14:paraId="2FE46AF6" w14:textId="3FFC5979" w:rsidR="003615B2" w:rsidRPr="00E52513" w:rsidRDefault="003615B2" w:rsidP="009437A5">
      <w:pPr>
        <w:pStyle w:val="ListParagraph"/>
        <w:numPr>
          <w:ilvl w:val="0"/>
          <w:numId w:val="30"/>
        </w:numPr>
      </w:pPr>
      <w:r w:rsidRPr="00E52513">
        <w:t>the</w:t>
      </w:r>
      <w:r w:rsidR="00A61996" w:rsidRPr="00E52513">
        <w:t xml:space="preserve"> amount of time spent on cases is not amenable to analysis</w:t>
      </w:r>
    </w:p>
    <w:p w14:paraId="4897208E" w14:textId="27160629" w:rsidR="00704DC5" w:rsidRPr="00E52513" w:rsidRDefault="00A61996" w:rsidP="009437A5">
      <w:pPr>
        <w:pStyle w:val="ListParagraph"/>
        <w:numPr>
          <w:ilvl w:val="0"/>
          <w:numId w:val="30"/>
        </w:numPr>
      </w:pPr>
      <w:proofErr w:type="gramStart"/>
      <w:r w:rsidRPr="00E52513">
        <w:t>case</w:t>
      </w:r>
      <w:proofErr w:type="gramEnd"/>
      <w:r w:rsidRPr="00E52513">
        <w:t xml:space="preserve"> closures </w:t>
      </w:r>
      <w:r w:rsidR="00704DC5" w:rsidRPr="00E52513">
        <w:t xml:space="preserve">are </w:t>
      </w:r>
      <w:r w:rsidRPr="00E52513">
        <w:t>not recorded.</w:t>
      </w:r>
    </w:p>
    <w:p w14:paraId="05B1D9EA" w14:textId="12F71AAE" w:rsidR="00A61996" w:rsidRPr="00E52513" w:rsidRDefault="00704DC5" w:rsidP="00A61996">
      <w:r w:rsidRPr="00E52513">
        <w:t xml:space="preserve">To undertake the analysis reported upon in earlier sections, </w:t>
      </w:r>
      <w:r w:rsidR="00A61996" w:rsidRPr="00E52513">
        <w:t xml:space="preserve">the research team attempted to retrospectively create several data fields that would allow analysis of some key program implementation variables, particularly the referral to and use of other service providers, the time spent on cases, and the interventions employed for cases / clients. This was done by extracting </w:t>
      </w:r>
      <w:r w:rsidRPr="00E52513">
        <w:t>information</w:t>
      </w:r>
      <w:r w:rsidR="00A61996" w:rsidRPr="00E52513">
        <w:t xml:space="preserve"> from the summary case notes, but these notes clearly presented limitations and required some researcher judgement to be exercised.</w:t>
      </w:r>
    </w:p>
    <w:p w14:paraId="343B0ED0" w14:textId="2D698A7C" w:rsidR="00A61996" w:rsidRPr="00E52513" w:rsidRDefault="00704DC5" w:rsidP="00510A0A">
      <w:r w:rsidRPr="00E52513">
        <w:t xml:space="preserve">From a governance perspective, the inability to easily and reliably access data which monitors critical service activities and processes severely undermines governance intentions. </w:t>
      </w:r>
      <w:r w:rsidR="00B275A6" w:rsidRPr="00E52513">
        <w:t xml:space="preserve">How can a CRSA’s service to a client be monitored and a CRSA be held accountable for the quality of that service if there is no record of the client’s needs having been assessed, no record of a </w:t>
      </w:r>
      <w:proofErr w:type="spellStart"/>
      <w:r w:rsidR="00B275A6" w:rsidRPr="00E52513">
        <w:t>throughcare</w:t>
      </w:r>
      <w:proofErr w:type="spellEnd"/>
      <w:r w:rsidR="00B275A6" w:rsidRPr="00E52513">
        <w:t xml:space="preserve"> plan and no accessible record of what interventions were provided?</w:t>
      </w:r>
      <w:r w:rsidR="00D31245" w:rsidRPr="00E52513">
        <w:t xml:space="preserve"> Even if these documents exist, it is inappropriate for monitoring and continuous improvement processes for this data to be ‘buried’ in several separate documents.</w:t>
      </w:r>
    </w:p>
    <w:p w14:paraId="0A833E4F" w14:textId="77777777" w:rsidR="00D31245" w:rsidRPr="00E52513" w:rsidRDefault="00D31245" w:rsidP="00E671B9">
      <w:pPr>
        <w:pStyle w:val="Heading3"/>
      </w:pPr>
      <w:r w:rsidRPr="00E52513">
        <w:t>Outcomes data</w:t>
      </w:r>
    </w:p>
    <w:p w14:paraId="66990609" w14:textId="2CC73923" w:rsidR="00B275A6" w:rsidRPr="00E52513" w:rsidRDefault="00B275A6" w:rsidP="00510A0A">
      <w:r w:rsidRPr="00E52513">
        <w:t xml:space="preserve">Arguably though the most important data variables missing from an organisation governance perspective are those variables to measure outcomes. In section 8.2 the absence of quantitative outcomes data was discussed and the </w:t>
      </w:r>
      <w:r w:rsidR="00E04009" w:rsidRPr="00E52513">
        <w:t>objection of many internal stakeholders to clinical psychological assessment tools noted.</w:t>
      </w:r>
    </w:p>
    <w:p w14:paraId="1F5CD942" w14:textId="77777777" w:rsidR="00E04009" w:rsidRPr="00E52513" w:rsidRDefault="00E04009" w:rsidP="00ED179C">
      <w:r w:rsidRPr="00E52513">
        <w:t>The search for suitable quantitative measures of service outcomes, that would support a more rigorous governance framework, needs to be undertaken with both internal stakeholders (CRSAs and managers) and external stakeholders (</w:t>
      </w:r>
      <w:proofErr w:type="spellStart"/>
      <w:r w:rsidRPr="00E52513">
        <w:t>Thirrili</w:t>
      </w:r>
      <w:proofErr w:type="spellEnd"/>
      <w:r w:rsidRPr="00E52513">
        <w:t xml:space="preserve"> Board and NIAA) to find measures that are </w:t>
      </w:r>
      <w:r w:rsidRPr="00E52513">
        <w:lastRenderedPageBreak/>
        <w:t>practical, culturally appropriate and satisfy the needs of external stakeholders that funds are achieving value for money. The evaluation team is reluctant to put forward suggestions, but some discussion is provided below of the possibilities.</w:t>
      </w:r>
    </w:p>
    <w:p w14:paraId="385A3BB8" w14:textId="230F4CAA" w:rsidR="00E04009" w:rsidRPr="00E52513" w:rsidRDefault="00ED179C" w:rsidP="00ED179C">
      <w:r w:rsidRPr="00E52513">
        <w:t>Dudgeon et al. (2016) offered a set of objective measures that might be culturally appropriate</w:t>
      </w:r>
      <w:r w:rsidR="00E04009" w:rsidRPr="00E52513">
        <w:t>.</w:t>
      </w:r>
      <w:r w:rsidR="00EB6345" w:rsidRPr="00E52513">
        <w:t xml:space="preserve"> These were itemised in Section 10.2.</w:t>
      </w:r>
    </w:p>
    <w:p w14:paraId="192D302C" w14:textId="08961194" w:rsidR="00ED179C" w:rsidRPr="00E52513" w:rsidRDefault="00E04009" w:rsidP="00ED179C">
      <w:r w:rsidRPr="00E52513">
        <w:t xml:space="preserve">In the area of </w:t>
      </w:r>
      <w:r w:rsidR="00810135" w:rsidRPr="00E52513">
        <w:t>more structured assessment tools, one</w:t>
      </w:r>
      <w:r w:rsidR="00ED179C" w:rsidRPr="00E52513">
        <w:t xml:space="preserve"> stakeholder interviewed was using in her own service, and keen to recommend the use of by NICRS, a tool developed some years ago by the Menzies School of Health Research called the </w:t>
      </w:r>
      <w:r w:rsidR="00ED179C" w:rsidRPr="00E52513">
        <w:rPr>
          <w:i/>
          <w:iCs/>
        </w:rPr>
        <w:t>Strong souls assessment</w:t>
      </w:r>
      <w:r w:rsidR="00ED179C" w:rsidRPr="00E52513">
        <w:t xml:space="preserve"> tool</w:t>
      </w:r>
      <w:r w:rsidR="00ED179C" w:rsidRPr="00E52513">
        <w:rPr>
          <w:vertAlign w:val="superscript"/>
        </w:rPr>
        <w:footnoteReference w:id="29"/>
      </w:r>
      <w:r w:rsidR="00ED179C" w:rsidRPr="00E52513">
        <w:t xml:space="preserve">. </w:t>
      </w:r>
      <w:r w:rsidR="00ED179C" w:rsidRPr="00315C77">
        <w:rPr>
          <w:i/>
          <w:iCs/>
        </w:rPr>
        <w:t>Strong souls</w:t>
      </w:r>
      <w:r w:rsidR="00ED179C" w:rsidRPr="00E52513">
        <w:t xml:space="preserve"> was developed as a measure of social and emotional wellbeing (SEWB) for use with Aboriginal and Torres Strait Islander populations. Other stakeholders pointed to the use of the </w:t>
      </w:r>
      <w:proofErr w:type="spellStart"/>
      <w:r w:rsidR="00ED179C" w:rsidRPr="00E52513">
        <w:rPr>
          <w:i/>
          <w:iCs/>
        </w:rPr>
        <w:t>Westerman</w:t>
      </w:r>
      <w:proofErr w:type="spellEnd"/>
      <w:r w:rsidR="00ED179C" w:rsidRPr="00E52513">
        <w:rPr>
          <w:i/>
          <w:iCs/>
        </w:rPr>
        <w:t xml:space="preserve"> Aboriginal Symptom Checklist – Adults (WASC-A),</w:t>
      </w:r>
      <w:r w:rsidR="00ED179C" w:rsidRPr="00E52513">
        <w:t xml:space="preserve"> which has been validated (</w:t>
      </w:r>
      <w:r w:rsidR="00810135" w:rsidRPr="00E52513">
        <w:t>Bright, 20</w:t>
      </w:r>
      <w:r w:rsidR="000F66D0" w:rsidRPr="00E52513">
        <w:t>16</w:t>
      </w:r>
      <w:r w:rsidR="00810135" w:rsidRPr="00E52513">
        <w:t>)</w:t>
      </w:r>
      <w:r w:rsidR="00ED179C" w:rsidRPr="00E52513">
        <w:t>, but can only be used under licence.</w:t>
      </w:r>
      <w:r w:rsidR="00810135" w:rsidRPr="00E52513">
        <w:t xml:space="preserve"> Both these tools were specifically designed for use with Aboriginal populations.</w:t>
      </w:r>
    </w:p>
    <w:p w14:paraId="759DC233" w14:textId="469E6FB0" w:rsidR="00ED179C" w:rsidRPr="00E52513" w:rsidRDefault="00ED179C" w:rsidP="00ED179C">
      <w:r w:rsidRPr="00E52513">
        <w:t xml:space="preserve">In a study of </w:t>
      </w:r>
      <w:proofErr w:type="spellStart"/>
      <w:r w:rsidRPr="00E52513">
        <w:t>postvention</w:t>
      </w:r>
      <w:proofErr w:type="spellEnd"/>
      <w:r w:rsidRPr="00E52513">
        <w:t xml:space="preserve"> clients undertaken by </w:t>
      </w:r>
      <w:proofErr w:type="spellStart"/>
      <w:r w:rsidRPr="00E52513">
        <w:t>Stand</w:t>
      </w:r>
      <w:r w:rsidR="00E03911" w:rsidRPr="00E52513">
        <w:t>B</w:t>
      </w:r>
      <w:r w:rsidRPr="00E52513">
        <w:t>y</w:t>
      </w:r>
      <w:proofErr w:type="spellEnd"/>
      <w:r w:rsidRPr="00E52513">
        <w:t xml:space="preserve"> (</w:t>
      </w:r>
      <w:proofErr w:type="spellStart"/>
      <w:r w:rsidRPr="00E52513">
        <w:t>Gehrmann</w:t>
      </w:r>
      <w:proofErr w:type="spellEnd"/>
      <w:r w:rsidRPr="00E52513">
        <w:t xml:space="preserve">, et al., 2018) the following </w:t>
      </w:r>
      <w:r w:rsidR="00810135" w:rsidRPr="00E52513">
        <w:t>tools to measure aspects of wellbeing or “how clients were travelling”</w:t>
      </w:r>
      <w:r w:rsidRPr="00E52513">
        <w:t xml:space="preserve"> were employed:</w:t>
      </w:r>
    </w:p>
    <w:p w14:paraId="403023E6" w14:textId="77777777" w:rsidR="00ED179C" w:rsidRPr="00E52513" w:rsidRDefault="00ED179C" w:rsidP="009437A5">
      <w:pPr>
        <w:numPr>
          <w:ilvl w:val="0"/>
          <w:numId w:val="28"/>
        </w:numPr>
        <w:tabs>
          <w:tab w:val="left" w:pos="284"/>
        </w:tabs>
        <w:spacing w:before="120"/>
        <w:rPr>
          <w:rFonts w:eastAsiaTheme="minorEastAsia" w:cs="Microsoft Sans Serif"/>
          <w:szCs w:val="24"/>
        </w:rPr>
      </w:pPr>
      <w:r w:rsidRPr="00E52513">
        <w:rPr>
          <w:rFonts w:eastAsiaTheme="minorEastAsia" w:cs="Microsoft Sans Serif"/>
          <w:szCs w:val="24"/>
        </w:rPr>
        <w:t>Suicide Behaviours Questionnaire-Revised (SBQ)</w:t>
      </w:r>
    </w:p>
    <w:p w14:paraId="11DE14AF" w14:textId="71E7C8D5" w:rsidR="00ED179C" w:rsidRPr="00E52513" w:rsidRDefault="00ED179C" w:rsidP="009437A5">
      <w:pPr>
        <w:numPr>
          <w:ilvl w:val="0"/>
          <w:numId w:val="28"/>
        </w:numPr>
        <w:tabs>
          <w:tab w:val="left" w:pos="284"/>
        </w:tabs>
        <w:spacing w:before="120"/>
        <w:rPr>
          <w:rFonts w:eastAsiaTheme="minorEastAsia" w:cs="Microsoft Sans Serif"/>
          <w:szCs w:val="24"/>
        </w:rPr>
      </w:pPr>
      <w:r w:rsidRPr="00E52513">
        <w:rPr>
          <w:rFonts w:eastAsiaTheme="minorEastAsia" w:cs="Microsoft Sans Serif"/>
          <w:szCs w:val="24"/>
        </w:rPr>
        <w:t>Grief Experience Questionnaire (GEQ)</w:t>
      </w:r>
    </w:p>
    <w:p w14:paraId="0FCC4728" w14:textId="64107A67" w:rsidR="00ED179C" w:rsidRPr="00E52513" w:rsidRDefault="00ED179C" w:rsidP="009437A5">
      <w:pPr>
        <w:numPr>
          <w:ilvl w:val="0"/>
          <w:numId w:val="28"/>
        </w:numPr>
        <w:tabs>
          <w:tab w:val="left" w:pos="284"/>
        </w:tabs>
        <w:spacing w:before="120"/>
        <w:rPr>
          <w:rFonts w:eastAsiaTheme="minorEastAsia" w:cs="Microsoft Sans Serif"/>
          <w:szCs w:val="24"/>
        </w:rPr>
      </w:pPr>
      <w:r w:rsidRPr="00E52513">
        <w:rPr>
          <w:rFonts w:eastAsiaTheme="minorEastAsia" w:cs="Microsoft Sans Serif"/>
          <w:szCs w:val="24"/>
        </w:rPr>
        <w:t xml:space="preserve">De Jong </w:t>
      </w:r>
      <w:proofErr w:type="spellStart"/>
      <w:r w:rsidRPr="00E52513">
        <w:rPr>
          <w:rFonts w:eastAsiaTheme="minorEastAsia" w:cs="Microsoft Sans Serif"/>
          <w:szCs w:val="24"/>
        </w:rPr>
        <w:t>Gierveld</w:t>
      </w:r>
      <w:proofErr w:type="spellEnd"/>
      <w:r w:rsidRPr="00E52513">
        <w:rPr>
          <w:rFonts w:eastAsiaTheme="minorEastAsia" w:cs="Microsoft Sans Serif"/>
          <w:szCs w:val="24"/>
        </w:rPr>
        <w:t xml:space="preserve"> Loneliness Scale (DLS)</w:t>
      </w:r>
    </w:p>
    <w:p w14:paraId="2AD28B3F" w14:textId="6734B854" w:rsidR="00ED179C" w:rsidRPr="00E52513" w:rsidRDefault="00ED179C" w:rsidP="00ED179C">
      <w:r w:rsidRPr="00E52513">
        <w:t xml:space="preserve">The use of these tools though was not extended to the </w:t>
      </w:r>
      <w:proofErr w:type="spellStart"/>
      <w:r w:rsidRPr="00E52513">
        <w:t>Stand</w:t>
      </w:r>
      <w:r w:rsidR="00E03911" w:rsidRPr="00E52513">
        <w:t>B</w:t>
      </w:r>
      <w:r w:rsidRPr="00E52513">
        <w:t>y</w:t>
      </w:r>
      <w:proofErr w:type="spellEnd"/>
      <w:r w:rsidRPr="00E52513">
        <w:t xml:space="preserve"> project site in the Kimberly, where a high proportion of the population is Aboriginal, because </w:t>
      </w:r>
      <w:r w:rsidR="00CF21DA" w:rsidRPr="00E52513">
        <w:t>“...</w:t>
      </w:r>
      <w:r w:rsidRPr="00E52513">
        <w:rPr>
          <w:i/>
          <w:iCs/>
        </w:rPr>
        <w:t xml:space="preserve"> there were significant differences in the way in which the </w:t>
      </w:r>
      <w:proofErr w:type="spellStart"/>
      <w:r w:rsidRPr="00E52513">
        <w:rPr>
          <w:i/>
          <w:iCs/>
        </w:rPr>
        <w:t>StandBy</w:t>
      </w:r>
      <w:proofErr w:type="spellEnd"/>
      <w:r w:rsidRPr="00E52513">
        <w:rPr>
          <w:i/>
          <w:iCs/>
        </w:rPr>
        <w:t xml:space="preserve"> model was being delivered within that region</w:t>
      </w:r>
      <w:r w:rsidRPr="00E52513">
        <w:t>.”</w:t>
      </w:r>
    </w:p>
    <w:p w14:paraId="6A34AED3" w14:textId="77777777" w:rsidR="00ED179C" w:rsidRPr="00E52513" w:rsidRDefault="00ED179C" w:rsidP="00ED179C">
      <w:r w:rsidRPr="00E52513">
        <w:t>One stakeholder with good insights into the NICRS program suggested rather simpler outcome measures be adopted in line with the immediate ‘critical response’ ambitions of the service. Their suggestions included checking for the following outcomes:</w:t>
      </w:r>
    </w:p>
    <w:p w14:paraId="0223C4AD" w14:textId="77777777" w:rsidR="00ED179C" w:rsidRPr="00E52513" w:rsidRDefault="00ED179C" w:rsidP="00CF21DA">
      <w:pPr>
        <w:numPr>
          <w:ilvl w:val="0"/>
          <w:numId w:val="11"/>
        </w:numPr>
        <w:spacing w:after="160" w:line="256" w:lineRule="auto"/>
        <w:contextualSpacing/>
        <w:rPr>
          <w:rFonts w:asciiTheme="minorHAnsi" w:eastAsiaTheme="minorEastAsia" w:hAnsiTheme="minorHAnsi" w:cs="Microsoft Sans Serif"/>
          <w:szCs w:val="24"/>
        </w:rPr>
      </w:pPr>
      <w:r w:rsidRPr="00E52513">
        <w:rPr>
          <w:rFonts w:eastAsiaTheme="minorEastAsia" w:cs="Microsoft Sans Serif"/>
          <w:szCs w:val="24"/>
        </w:rPr>
        <w:t>stable housing</w:t>
      </w:r>
    </w:p>
    <w:p w14:paraId="313CC32B" w14:textId="1DCF3ED3" w:rsidR="00ED179C" w:rsidRPr="00E52513" w:rsidRDefault="00ED179C" w:rsidP="00CF21DA">
      <w:pPr>
        <w:numPr>
          <w:ilvl w:val="0"/>
          <w:numId w:val="11"/>
        </w:numPr>
        <w:spacing w:after="160" w:line="256" w:lineRule="auto"/>
        <w:contextualSpacing/>
        <w:rPr>
          <w:rFonts w:eastAsiaTheme="minorEastAsia" w:cs="Microsoft Sans Serif"/>
          <w:szCs w:val="24"/>
        </w:rPr>
      </w:pPr>
      <w:r w:rsidRPr="00E52513">
        <w:rPr>
          <w:rFonts w:eastAsiaTheme="minorEastAsia" w:cs="Microsoft Sans Serif"/>
          <w:szCs w:val="24"/>
        </w:rPr>
        <w:t>problems have been identified and a plan is in place as to how they are to be addressed</w:t>
      </w:r>
    </w:p>
    <w:p w14:paraId="03180372" w14:textId="77777777" w:rsidR="00ED179C" w:rsidRPr="00E52513" w:rsidRDefault="00ED179C" w:rsidP="00CF21DA">
      <w:pPr>
        <w:numPr>
          <w:ilvl w:val="0"/>
          <w:numId w:val="11"/>
        </w:numPr>
        <w:spacing w:after="160" w:line="256" w:lineRule="auto"/>
        <w:contextualSpacing/>
        <w:rPr>
          <w:rFonts w:eastAsiaTheme="minorEastAsia" w:cs="Microsoft Sans Serif"/>
          <w:szCs w:val="24"/>
        </w:rPr>
      </w:pPr>
      <w:r w:rsidRPr="00E52513">
        <w:rPr>
          <w:rFonts w:eastAsiaTheme="minorEastAsia" w:cs="Microsoft Sans Serif"/>
          <w:szCs w:val="24"/>
        </w:rPr>
        <w:t>counselling for trauma is in place</w:t>
      </w:r>
    </w:p>
    <w:p w14:paraId="4B48E715" w14:textId="77777777" w:rsidR="00ED179C" w:rsidRPr="00E52513" w:rsidRDefault="00ED179C" w:rsidP="00CF21DA">
      <w:pPr>
        <w:numPr>
          <w:ilvl w:val="0"/>
          <w:numId w:val="11"/>
        </w:numPr>
        <w:tabs>
          <w:tab w:val="left" w:pos="284"/>
        </w:tabs>
        <w:spacing w:before="120"/>
        <w:rPr>
          <w:rFonts w:eastAsiaTheme="minorEastAsia" w:cs="Microsoft Sans Serif"/>
          <w:szCs w:val="24"/>
        </w:rPr>
      </w:pPr>
      <w:r w:rsidRPr="00E52513">
        <w:rPr>
          <w:rFonts w:eastAsiaTheme="minorEastAsia" w:cs="Microsoft Sans Serif"/>
          <w:szCs w:val="24"/>
        </w:rPr>
        <w:t>care for different health and welfare issues is being coordinated</w:t>
      </w:r>
    </w:p>
    <w:p w14:paraId="7130AF78" w14:textId="6C905278" w:rsidR="00810135" w:rsidRPr="00E52513" w:rsidRDefault="00810135" w:rsidP="00A61996">
      <w:pPr>
        <w:spacing w:line="276" w:lineRule="auto"/>
      </w:pPr>
      <w:r w:rsidRPr="00E52513">
        <w:t xml:space="preserve">In theory these outcomes should be prescribed in </w:t>
      </w:r>
      <w:proofErr w:type="spellStart"/>
      <w:r w:rsidRPr="00E52513">
        <w:t>throughcare</w:t>
      </w:r>
      <w:proofErr w:type="spellEnd"/>
      <w:r w:rsidRPr="00E52513">
        <w:t xml:space="preserve"> plans and the attainment of these outcomes (and how attainment was measured) could be included in the plan.</w:t>
      </w:r>
    </w:p>
    <w:p w14:paraId="1B844719" w14:textId="2E435255" w:rsidR="003E49EC" w:rsidRPr="00E52513" w:rsidRDefault="003E49EC" w:rsidP="00510A0A">
      <w:r w:rsidRPr="00E52513">
        <w:t xml:space="preserve">Another source of thought is the </w:t>
      </w:r>
      <w:r w:rsidR="00E03911" w:rsidRPr="00E52513">
        <w:t>p</w:t>
      </w:r>
      <w:r w:rsidRPr="00E52513">
        <w:t xml:space="preserve">rogram </w:t>
      </w:r>
      <w:r w:rsidR="00E03911" w:rsidRPr="00E52513">
        <w:t>l</w:t>
      </w:r>
      <w:r w:rsidRPr="00E52513">
        <w:t xml:space="preserve">ogic (NICRS, 2017) which underpins the service design and should inform the governance framework. Within the critical response, individually targeted </w:t>
      </w:r>
      <w:proofErr w:type="spellStart"/>
      <w:r w:rsidRPr="00E52513">
        <w:lastRenderedPageBreak/>
        <w:t>postvention</w:t>
      </w:r>
      <w:proofErr w:type="spellEnd"/>
      <w:r w:rsidRPr="00E52513">
        <w:t xml:space="preserve"> activity of the program logic there are two immediate and two intermediate outcomes prescribed as follows:</w:t>
      </w:r>
    </w:p>
    <w:p w14:paraId="2C3844FC" w14:textId="50001D1A" w:rsidR="003E49EC" w:rsidRPr="00E52513" w:rsidRDefault="003E49EC" w:rsidP="009437A5">
      <w:pPr>
        <w:pStyle w:val="ListParagraph"/>
        <w:numPr>
          <w:ilvl w:val="0"/>
          <w:numId w:val="31"/>
        </w:numPr>
      </w:pPr>
      <w:r w:rsidRPr="00E52513">
        <w:t xml:space="preserve">Aboriginal and Torres Strait Islander families receiving culturally appropriate </w:t>
      </w:r>
      <w:proofErr w:type="spellStart"/>
      <w:r w:rsidRPr="00E52513">
        <w:t>postvention</w:t>
      </w:r>
      <w:proofErr w:type="spellEnd"/>
      <w:r w:rsidRPr="00E52513">
        <w:t xml:space="preserve"> response</w:t>
      </w:r>
    </w:p>
    <w:p w14:paraId="05BB45B3" w14:textId="77777777" w:rsidR="003E49EC" w:rsidRPr="00E52513" w:rsidRDefault="003E49EC" w:rsidP="009437A5">
      <w:pPr>
        <w:pStyle w:val="ListParagraph"/>
        <w:numPr>
          <w:ilvl w:val="0"/>
          <w:numId w:val="31"/>
        </w:numPr>
      </w:pPr>
      <w:r w:rsidRPr="00E52513">
        <w:t>Local services being supported to provide response</w:t>
      </w:r>
    </w:p>
    <w:p w14:paraId="4FF9E3C7" w14:textId="77777777" w:rsidR="003E49EC" w:rsidRPr="00E52513" w:rsidRDefault="003E49EC" w:rsidP="009437A5">
      <w:pPr>
        <w:pStyle w:val="ListParagraph"/>
        <w:numPr>
          <w:ilvl w:val="0"/>
          <w:numId w:val="31"/>
        </w:numPr>
        <w:rPr>
          <w:rFonts w:asciiTheme="minorHAnsi" w:hAnsiTheme="minorHAnsi"/>
        </w:rPr>
      </w:pPr>
      <w:r w:rsidRPr="00E52513">
        <w:t>Local services providing improved coordinated and culturally appropriate response</w:t>
      </w:r>
    </w:p>
    <w:p w14:paraId="75856E45" w14:textId="77777777" w:rsidR="003E49EC" w:rsidRPr="00E52513" w:rsidRDefault="003E49EC" w:rsidP="009437A5">
      <w:pPr>
        <w:pStyle w:val="ListParagraph"/>
        <w:numPr>
          <w:ilvl w:val="0"/>
          <w:numId w:val="31"/>
        </w:numPr>
      </w:pPr>
      <w:r w:rsidRPr="00E52513">
        <w:t xml:space="preserve">Services and community working more closely together on </w:t>
      </w:r>
      <w:proofErr w:type="spellStart"/>
      <w:r w:rsidRPr="00E52513">
        <w:t>postvention</w:t>
      </w:r>
      <w:proofErr w:type="spellEnd"/>
      <w:r w:rsidRPr="00E52513">
        <w:t xml:space="preserve"> support</w:t>
      </w:r>
    </w:p>
    <w:p w14:paraId="17AE4E00" w14:textId="340944C2" w:rsidR="003E49EC" w:rsidRPr="00E52513" w:rsidRDefault="003E49EC" w:rsidP="003E49EC">
      <w:r w:rsidRPr="00E52513">
        <w:t>These could be used to determine what could be observed that would indicate these outcomes had been satisfied.</w:t>
      </w:r>
    </w:p>
    <w:p w14:paraId="7D595795" w14:textId="15827AF5" w:rsidR="00D31245" w:rsidRPr="00E52513" w:rsidRDefault="00D31245" w:rsidP="00E671B9">
      <w:pPr>
        <w:pStyle w:val="Heading3"/>
      </w:pPr>
      <w:r w:rsidRPr="00E52513">
        <w:t>The process of data collection</w:t>
      </w:r>
    </w:p>
    <w:p w14:paraId="6781FB3E" w14:textId="329356D5" w:rsidR="00D31245" w:rsidRPr="00E52513" w:rsidRDefault="00300D28" w:rsidP="00D31245">
      <w:r w:rsidRPr="00E52513">
        <w:t>As outlined above, t</w:t>
      </w:r>
      <w:r w:rsidR="00D31245" w:rsidRPr="00E52513">
        <w:t xml:space="preserve">he NICRS service model can be largely divided into three distinct phases, all with associated data requirements. Phase 1, as indicated in Figure </w:t>
      </w:r>
      <w:r w:rsidR="000F66D0" w:rsidRPr="00E52513">
        <w:t>2</w:t>
      </w:r>
      <w:r w:rsidR="00626673" w:rsidRPr="00E52513">
        <w:t>8</w:t>
      </w:r>
      <w:r w:rsidR="00D31245" w:rsidRPr="00E52513">
        <w:t xml:space="preserve"> below, is an intensive data collection phase and a large proportion of that data is likely to be </w:t>
      </w:r>
      <w:r w:rsidR="00FD1BF3" w:rsidRPr="00E52513">
        <w:t>sensitive</w:t>
      </w:r>
      <w:r w:rsidR="00D31245" w:rsidRPr="00E52513">
        <w:t xml:space="preserve">. This data therefore requires the protection of the secure entry environment. But this phase also occurs largely prior to service engagement with the client and family, with many details required </w:t>
      </w:r>
      <w:r w:rsidR="00CF21DA" w:rsidRPr="00E52513">
        <w:t>for</w:t>
      </w:r>
      <w:r w:rsidR="00D31245" w:rsidRPr="00E52513">
        <w:t xml:space="preserve"> the NICRS to be able to decide whether the case is suitable for its services (that is in</w:t>
      </w:r>
      <w:r w:rsidR="00D73661" w:rsidRPr="00E52513">
        <w:t>-</w:t>
      </w:r>
      <w:r w:rsidR="00D31245" w:rsidRPr="00E52513">
        <w:t xml:space="preserve">scope and no other existing service able to satisfy needs). Further details will almost certainly emerge over the course of an active </w:t>
      </w:r>
      <w:r w:rsidR="00CF21DA" w:rsidRPr="00E52513">
        <w:t>case,</w:t>
      </w:r>
      <w:r w:rsidR="00D31245" w:rsidRPr="00E52513">
        <w:t xml:space="preserve"> but these can be added incrementally under secure circumstances.</w:t>
      </w:r>
    </w:p>
    <w:p w14:paraId="6E4370CA" w14:textId="028F62A4" w:rsidR="00D53A1D" w:rsidRPr="00E52513" w:rsidRDefault="00D53A1D" w:rsidP="00D53A1D">
      <w:r w:rsidRPr="00E52513">
        <w:t xml:space="preserve">By contrast, the Phase 2 objective of preparing a </w:t>
      </w:r>
      <w:proofErr w:type="spellStart"/>
      <w:r w:rsidRPr="00E52513">
        <w:t>postvention</w:t>
      </w:r>
      <w:proofErr w:type="spellEnd"/>
      <w:r w:rsidRPr="00E52513">
        <w:t xml:space="preserve"> </w:t>
      </w:r>
      <w:proofErr w:type="spellStart"/>
      <w:r w:rsidRPr="00E52513">
        <w:t>throughcare</w:t>
      </w:r>
      <w:proofErr w:type="spellEnd"/>
      <w:r w:rsidRPr="00E52513">
        <w:t xml:space="preserve"> plan in partnership with clients (and their family) and the local community and service network requires a quite different approach to data. This is the point where personal information meets the process of identifying and documenting relevant local resources then activating that local network. There is a definite need for effective and secure ways to link the two datasets as needed but this community information remains restricted in its purpose if it is contained only in the secure database.</w:t>
      </w:r>
    </w:p>
    <w:p w14:paraId="00906D24" w14:textId="77777777" w:rsidR="00D31245" w:rsidRPr="00E52513" w:rsidRDefault="00D31245" w:rsidP="00D31245">
      <w:pPr>
        <w:spacing w:line="276" w:lineRule="auto"/>
        <w:rPr>
          <w:b/>
          <w:bCs/>
          <w:color w:val="009CDA"/>
          <w:sz w:val="20"/>
          <w:szCs w:val="18"/>
        </w:rPr>
      </w:pPr>
      <w:r w:rsidRPr="00E52513">
        <w:br w:type="page"/>
      </w:r>
    </w:p>
    <w:p w14:paraId="3FB7BBF8" w14:textId="77777777" w:rsidR="00D31245" w:rsidRPr="00E52513" w:rsidRDefault="00D31245" w:rsidP="00D31245"/>
    <w:p w14:paraId="06B2F449" w14:textId="54C9ED6D" w:rsidR="00D31245" w:rsidRPr="00E52513" w:rsidRDefault="00215032" w:rsidP="00D31245">
      <w:r>
        <w:rPr>
          <w:noProof/>
          <w:lang w:eastAsia="en-AU"/>
        </w:rPr>
        <w:drawing>
          <wp:inline distT="0" distB="0" distL="0" distR="0" wp14:anchorId="61A66090" wp14:editId="3B09CA29">
            <wp:extent cx="6188710" cy="3056890"/>
            <wp:effectExtent l="0" t="0" r="2540" b="0"/>
            <wp:docPr id="8" name="Picture 8" descr="1. Preparation Phase: Intensive pre-casework data collection.&#10;Notification, initial contact and consent period - intensive client data collection and local service mapping - 1. Notification 2. Verification 3. Collect detailed information about the incident and obtain client/family consent to explore who is best placed to assist; assign client code for active data collection phase (? reflect client nominated culture e.g totem, symbol) 4. Active collection and documentation of local service and community support network information 5. Explore engagement and capacity of local services to respond and capacity of NICRS to respond.  Progressive secure data entry to fill case information gaps - sensitive client and family data is added incrementally to the ORS as required - under secure conditions. Progressively build a matrix of shareable regional service and community organisations or services (also accessible for future reference).  Documentation of NICRS Exit Plan and formal step back. " title="Schematic - possible Phase 1 data collec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28.PNG"/>
                    <pic:cNvPicPr/>
                  </pic:nvPicPr>
                  <pic:blipFill>
                    <a:blip r:embed="rId42">
                      <a:extLst>
                        <a:ext uri="{28A0092B-C50C-407E-A947-70E740481C1C}">
                          <a14:useLocalDpi xmlns:a14="http://schemas.microsoft.com/office/drawing/2010/main" val="0"/>
                        </a:ext>
                      </a:extLst>
                    </a:blip>
                    <a:stretch>
                      <a:fillRect/>
                    </a:stretch>
                  </pic:blipFill>
                  <pic:spPr>
                    <a:xfrm>
                      <a:off x="0" y="0"/>
                      <a:ext cx="6188710" cy="3056890"/>
                    </a:xfrm>
                    <a:prstGeom prst="rect">
                      <a:avLst/>
                    </a:prstGeom>
                  </pic:spPr>
                </pic:pic>
              </a:graphicData>
            </a:graphic>
          </wp:inline>
        </w:drawing>
      </w:r>
    </w:p>
    <w:p w14:paraId="1A5255A3" w14:textId="72EC30B1" w:rsidR="00D31245" w:rsidRPr="00E52513" w:rsidRDefault="00D31245" w:rsidP="00D31245">
      <w:pPr>
        <w:pStyle w:val="Caption"/>
      </w:pPr>
      <w:r w:rsidRPr="00E52513">
        <w:t xml:space="preserve">Figure </w:t>
      </w:r>
      <w:r w:rsidR="00D97F39">
        <w:rPr>
          <w:noProof/>
        </w:rPr>
        <w:fldChar w:fldCharType="begin"/>
      </w:r>
      <w:r w:rsidR="00D97F39">
        <w:rPr>
          <w:noProof/>
        </w:rPr>
        <w:instrText xml:space="preserve"> SEQ Figure \* ARABIC </w:instrText>
      </w:r>
      <w:r w:rsidR="00D97F39">
        <w:rPr>
          <w:noProof/>
        </w:rPr>
        <w:fldChar w:fldCharType="separate"/>
      </w:r>
      <w:r w:rsidR="009A4879">
        <w:rPr>
          <w:noProof/>
        </w:rPr>
        <w:t>28</w:t>
      </w:r>
      <w:r w:rsidR="00D97F39">
        <w:rPr>
          <w:noProof/>
        </w:rPr>
        <w:fldChar w:fldCharType="end"/>
      </w:r>
      <w:r w:rsidRPr="00E52513">
        <w:t>: Phase 1 data collection requirements within overall model of care</w:t>
      </w:r>
    </w:p>
    <w:p w14:paraId="57E69F30" w14:textId="445293D7" w:rsidR="00D31245" w:rsidRDefault="00D31245" w:rsidP="00D31245">
      <w:r w:rsidRPr="00E52513">
        <w:t>In addition to facilitating communication and capacity</w:t>
      </w:r>
      <w:r w:rsidR="00D73661" w:rsidRPr="00E52513">
        <w:t xml:space="preserve"> </w:t>
      </w:r>
      <w:r w:rsidRPr="00E52513">
        <w:t xml:space="preserve">building for the clients, adoption of a more visual data collection tool would be helpful as a prompt for ensuring all potential sources of support have been considered for the </w:t>
      </w:r>
      <w:proofErr w:type="spellStart"/>
      <w:r w:rsidRPr="00E52513">
        <w:t>throughcare</w:t>
      </w:r>
      <w:proofErr w:type="spellEnd"/>
      <w:r w:rsidRPr="00E52513">
        <w:t xml:space="preserve"> planning process while at the same time building a service database for current and future reference. An example of a more dynamic approach to these issues of data collection and facilitation of engagement is provided at Figure </w:t>
      </w:r>
      <w:r w:rsidR="000F66D0" w:rsidRPr="00E52513">
        <w:t>2</w:t>
      </w:r>
      <w:r w:rsidR="00626673" w:rsidRPr="00E52513">
        <w:t>9</w:t>
      </w:r>
      <w:r w:rsidRPr="00E52513">
        <w:t>.</w:t>
      </w:r>
    </w:p>
    <w:p w14:paraId="5631CC0A" w14:textId="4E709CE8" w:rsidR="00D31245" w:rsidRPr="00E52513" w:rsidRDefault="00B82F04" w:rsidP="00B82F04">
      <w:r>
        <w:rPr>
          <w:noProof/>
          <w:lang w:eastAsia="en-AU"/>
        </w:rPr>
        <w:drawing>
          <wp:inline distT="0" distB="0" distL="0" distR="0" wp14:anchorId="3EEDB9C1" wp14:editId="5B7B62AD">
            <wp:extent cx="6188710" cy="3432501"/>
            <wp:effectExtent l="0" t="0" r="2540" b="0"/>
            <wp:docPr id="4" name="Picture 4" descr="Open, active and enabling co-design process for preparation and implementation of postvention throughcare plan.&#10;2. Critical Response Phase: Co-design  a throughcare support plan with clients, families and other service providers, using information resources collated during the Preparation Phase plus incremental new information.&#10;3. Ongoing Support Phase: Implement throughcare support plan (for and with) individuals and families, in partnership with local services. Step back and monitor success of plan implementation at scheduled intervals. Schematic shows Client in circle on the left hand side - Client code name e.g. Yagl 1 - consider social and emotional wellbeing needs to strengthen: 1. emotional health 2. cultural and spiritual health 3. physical health 4. social, family and community. Central circle shows client - Yaegl 1 and family, surrounded by example options for connection and support i.e. ACCHO primary care and SEWB services, local and regional Indigenous community organisations (such as the YAegl Local Land Council), State/territory-funded mental health services (link to local community mental health website), including phone and online services, cultural programs and other SEWB activities (such as relevant programs like Yaegl Men's Camps), other useful contact points for healing (such as relevant programs like The Healing Foundation), other social support services (like relevant programs such as Service Australia and Department of Housing), Primary Health Network GP practices and commissioned suicide prevention services (link to North Coast PH website - suicide prevention programs), and extended kinship networks." title="Schematic of draft tool to promote comprehensive and co-designed throughcar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Stanford\AppData\Local\Microsoft\Windows\INetCache\Content.Word\Screen Shot 2020-04-05 at 9.53.19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8710" cy="3432501"/>
                    </a:xfrm>
                    <a:prstGeom prst="rect">
                      <a:avLst/>
                    </a:prstGeom>
                    <a:noFill/>
                    <a:ln>
                      <a:noFill/>
                    </a:ln>
                  </pic:spPr>
                </pic:pic>
              </a:graphicData>
            </a:graphic>
          </wp:inline>
        </w:drawing>
      </w:r>
    </w:p>
    <w:p w14:paraId="4F6D710D" w14:textId="3B5A16D0" w:rsidR="00D31245" w:rsidRPr="00E52513" w:rsidRDefault="00D31245" w:rsidP="00D31245">
      <w:pPr>
        <w:pStyle w:val="Caption"/>
      </w:pPr>
      <w:r w:rsidRPr="00E52513">
        <w:t xml:space="preserve">Figure </w:t>
      </w:r>
      <w:r w:rsidR="00D97F39">
        <w:rPr>
          <w:noProof/>
        </w:rPr>
        <w:fldChar w:fldCharType="begin"/>
      </w:r>
      <w:r w:rsidR="00D97F39">
        <w:rPr>
          <w:noProof/>
        </w:rPr>
        <w:instrText xml:space="preserve"> SEQ Figure \* ARABIC </w:instrText>
      </w:r>
      <w:r w:rsidR="00D97F39">
        <w:rPr>
          <w:noProof/>
        </w:rPr>
        <w:fldChar w:fldCharType="separate"/>
      </w:r>
      <w:r w:rsidR="009A4879">
        <w:rPr>
          <w:noProof/>
        </w:rPr>
        <w:t>29</w:t>
      </w:r>
      <w:r w:rsidR="00D97F39">
        <w:rPr>
          <w:noProof/>
        </w:rPr>
        <w:fldChar w:fldCharType="end"/>
      </w:r>
      <w:r w:rsidRPr="00E52513">
        <w:t xml:space="preserve">: Draft tool to promote comprehensive and co-designed </w:t>
      </w:r>
      <w:proofErr w:type="spellStart"/>
      <w:r w:rsidRPr="00E52513">
        <w:t>throughcare</w:t>
      </w:r>
      <w:proofErr w:type="spellEnd"/>
      <w:r w:rsidRPr="00E52513">
        <w:t xml:space="preserve"> planning</w:t>
      </w:r>
    </w:p>
    <w:p w14:paraId="3F8342B6" w14:textId="4B4DF068" w:rsidR="00D31245" w:rsidRPr="00E52513" w:rsidRDefault="00D31245" w:rsidP="00D31245">
      <w:pPr>
        <w:rPr>
          <w:rFonts w:ascii="Lato Medium" w:eastAsiaTheme="majorEastAsia" w:hAnsi="Lato Medium" w:cstheme="majorBidi"/>
          <w:b/>
          <w:bCs/>
          <w:color w:val="009CDA"/>
          <w:sz w:val="32"/>
          <w:szCs w:val="26"/>
        </w:rPr>
      </w:pPr>
      <w:r w:rsidRPr="00E52513">
        <w:lastRenderedPageBreak/>
        <w:t xml:space="preserve">Creation of this collation of local information resources also provides an obvious opportunity for the NICRS to develop a visual database of suicide and SEWB support resources across the country in the course of their everyday practice. This more interactive process would also address the current observed deficit in capturing data about what has been done with the assistance of the NICRS to connect and activate </w:t>
      </w:r>
      <w:proofErr w:type="spellStart"/>
      <w:r w:rsidRPr="00E52513">
        <w:t>postvention</w:t>
      </w:r>
      <w:proofErr w:type="spellEnd"/>
      <w:r w:rsidRPr="00E52513">
        <w:t xml:space="preserve"> supports for Aboriginal and Torres Strait Islander communities throughout Australia.</w:t>
      </w:r>
    </w:p>
    <w:p w14:paraId="5C515CF3" w14:textId="27D4CF4F" w:rsidR="00EB6345" w:rsidRPr="00E52513" w:rsidRDefault="00EB6345" w:rsidP="00152634">
      <w:pPr>
        <w:pStyle w:val="Heading2"/>
      </w:pPr>
      <w:r w:rsidRPr="00E52513">
        <w:t xml:space="preserve"> </w:t>
      </w:r>
      <w:bookmarkStart w:id="118" w:name="_Toc54966661"/>
      <w:r w:rsidRPr="00E52513">
        <w:t>Conclusion</w:t>
      </w:r>
      <w:bookmarkEnd w:id="118"/>
    </w:p>
    <w:p w14:paraId="3867C46C" w14:textId="7D36DA91" w:rsidR="00EB6345" w:rsidRPr="00E52513" w:rsidRDefault="00EB6345" w:rsidP="00EB6345">
      <w:r w:rsidRPr="00E52513">
        <w:t xml:space="preserve">The evaluation confirmed </w:t>
      </w:r>
      <w:proofErr w:type="spellStart"/>
      <w:r w:rsidRPr="00E52513">
        <w:t>postvention</w:t>
      </w:r>
      <w:proofErr w:type="spellEnd"/>
      <w:r w:rsidRPr="00E52513">
        <w:t xml:space="preserve"> services were viewed as essential for Aboriginal and Torres Strait Islander people to provide support post suicide and trauma confirming the relevance of the NICRS. For many clients interviewed for the evaluation, the NICRS service was reported to be highly valued, particularly due to the practical support offered, such as the provision of ERF funds, which could help to alleviate short</w:t>
      </w:r>
      <w:r w:rsidR="00D73661" w:rsidRPr="00E52513">
        <w:t>-</w:t>
      </w:r>
      <w:r w:rsidRPr="00E52513">
        <w:t>term stress during a period of grief, confusion and instability. The evaluation also indicated that NICRS staff, the CRSAs, were highly valued and highly regarded for the emotional, financial and advocacy support they provided to clients and their families.</w:t>
      </w:r>
    </w:p>
    <w:p w14:paraId="070819C6" w14:textId="66B97862" w:rsidR="004D1537" w:rsidRPr="00E52513" w:rsidRDefault="00EB6345" w:rsidP="00734CC4">
      <w:r w:rsidRPr="00E52513">
        <w:t>Yet, it was evident that the effectiveness, efficiency, impact and sustainability of the service are potentially being compr</w:t>
      </w:r>
      <w:r w:rsidR="008F4C12" w:rsidRPr="00E52513">
        <w:t>om</w:t>
      </w:r>
      <w:r w:rsidRPr="00E52513">
        <w:t xml:space="preserve">ised. This appears to be primarily related to inconsistent implementation of the model, limited governance processes, location of the service and insufficient appropriate data collection of the service. The evaluation findings suggest that the service is attempting to build </w:t>
      </w:r>
      <w:r w:rsidRPr="00E52513">
        <w:rPr>
          <w:lang w:eastAsia="en-AU"/>
        </w:rPr>
        <w:t>on individuals and families’ strengths, that it has demonstrated cultural respect for its clients, the community and other service providers, and that it is aiming to work collaboratively. However, further work is required to ensure that the service is implemented as intended to definitively make a positive contribution to the lives of current and future generations of Aboriginal and Torres Strait Islander people.</w:t>
      </w:r>
      <w:r w:rsidR="00734CC4" w:rsidRPr="00E52513">
        <w:t xml:space="preserve"> </w:t>
      </w:r>
    </w:p>
    <w:p w14:paraId="006BF326" w14:textId="77777777" w:rsidR="00B01351" w:rsidRPr="00E52513" w:rsidRDefault="00B01351">
      <w:pPr>
        <w:spacing w:line="276" w:lineRule="auto"/>
        <w:rPr>
          <w:rFonts w:ascii="Lato Medium" w:eastAsiaTheme="majorEastAsia" w:hAnsi="Lato Medium"/>
          <w:b/>
          <w:bCs/>
          <w:color w:val="0050B5"/>
          <w:sz w:val="40"/>
          <w:szCs w:val="28"/>
        </w:rPr>
      </w:pPr>
      <w:r w:rsidRPr="00E52513">
        <w:br w:type="page"/>
      </w:r>
    </w:p>
    <w:p w14:paraId="50EEB740" w14:textId="6B29710C" w:rsidR="00410AEE" w:rsidRPr="00E52513" w:rsidRDefault="00410AEE" w:rsidP="00215032">
      <w:pPr>
        <w:pStyle w:val="Heading1"/>
        <w:ind w:left="431" w:hanging="431"/>
      </w:pPr>
      <w:bookmarkStart w:id="119" w:name="_Toc35966367"/>
      <w:bookmarkStart w:id="120" w:name="_Toc54966662"/>
      <w:r w:rsidRPr="00E52513">
        <w:lastRenderedPageBreak/>
        <w:t>References</w:t>
      </w:r>
      <w:bookmarkEnd w:id="119"/>
      <w:bookmarkEnd w:id="120"/>
    </w:p>
    <w:p w14:paraId="0C4F6F1C" w14:textId="592991B5" w:rsidR="008F4C12" w:rsidRPr="00E52513" w:rsidRDefault="008F4C12" w:rsidP="008F4C12">
      <w:proofErr w:type="spellStart"/>
      <w:r w:rsidRPr="00E52513">
        <w:t>Arguden</w:t>
      </w:r>
      <w:proofErr w:type="spellEnd"/>
      <w:r w:rsidRPr="00E52513">
        <w:t xml:space="preserve">, Y. (2010). </w:t>
      </w:r>
      <w:hyperlink r:id="rId44" w:history="1">
        <w:r w:rsidRPr="00841B5E">
          <w:rPr>
            <w:rStyle w:val="Hyperlink"/>
            <w:i/>
            <w:iCs/>
          </w:rPr>
          <w:t>Measuring the effectiveness of corporate governance</w:t>
        </w:r>
      </w:hyperlink>
      <w:r w:rsidRPr="00E52513">
        <w:rPr>
          <w:i/>
          <w:iCs/>
        </w:rPr>
        <w:t>.</w:t>
      </w:r>
      <w:r w:rsidRPr="00E52513">
        <w:t xml:space="preserve"> INSEAD Knowledge Online Resource. (Accessed on 30 March </w:t>
      </w:r>
      <w:proofErr w:type="gramStart"/>
      <w:r w:rsidRPr="00E52513">
        <w:t>2020:</w:t>
      </w:r>
      <w:proofErr w:type="gramEnd"/>
      <w:r w:rsidRPr="00E52513">
        <w:t xml:space="preserve">) </w:t>
      </w:r>
    </w:p>
    <w:p w14:paraId="671BE8E1" w14:textId="3412E9F3" w:rsidR="00A22240" w:rsidRPr="00E52513" w:rsidRDefault="00A22240" w:rsidP="00A22240">
      <w:r w:rsidRPr="00E52513">
        <w:t xml:space="preserve">Australian Bureau of Statistics (ABS). (2019). </w:t>
      </w:r>
      <w:hyperlink r:id="rId45" w:history="1">
        <w:r w:rsidRPr="00841B5E">
          <w:rPr>
            <w:rStyle w:val="Hyperlink"/>
            <w:i/>
            <w:iCs/>
          </w:rPr>
          <w:t>Causes of Death, Australia, 2018</w:t>
        </w:r>
      </w:hyperlink>
      <w:r w:rsidRPr="00E52513">
        <w:t xml:space="preserve">. </w:t>
      </w:r>
      <w:r w:rsidR="00841B5E">
        <w:t>Cat. No. 3303.0. Canberra: ABS.</w:t>
      </w:r>
    </w:p>
    <w:p w14:paraId="5DEB3951" w14:textId="2402B929" w:rsidR="00861E74" w:rsidRPr="00E52513" w:rsidRDefault="00861E74">
      <w:r w:rsidRPr="00E52513">
        <w:t xml:space="preserve">Australian Commission on Safety and Quality in Health Care (2017) </w:t>
      </w:r>
      <w:r w:rsidRPr="00E52513">
        <w:rPr>
          <w:i/>
          <w:iCs/>
        </w:rPr>
        <w:t>National Model Clinical Governance Framework.</w:t>
      </w:r>
      <w:r w:rsidRPr="00E52513">
        <w:t xml:space="preserve"> Sydney: ACSQHC</w:t>
      </w:r>
    </w:p>
    <w:p w14:paraId="70F8EF15" w14:textId="0B65DD66" w:rsidR="00410AEE" w:rsidRPr="00E52513" w:rsidRDefault="00410AEE">
      <w:r w:rsidRPr="00E52513">
        <w:t xml:space="preserve">Australian Institute of Health and Welfare (2018). </w:t>
      </w:r>
      <w:r w:rsidRPr="00E52513">
        <w:rPr>
          <w:i/>
        </w:rPr>
        <w:t>Aboriginal and Torres Strait Islander adolescent and youth health and wellbeing 2018</w:t>
      </w:r>
      <w:r w:rsidRPr="00E52513">
        <w:t xml:space="preserve">. Cat. </w:t>
      </w:r>
      <w:proofErr w:type="gramStart"/>
      <w:r w:rsidRPr="00E52513">
        <w:t>no</w:t>
      </w:r>
      <w:proofErr w:type="gramEnd"/>
      <w:r w:rsidRPr="00E52513">
        <w:t>. IHW 202. AIHW: Canberra.</w:t>
      </w:r>
    </w:p>
    <w:p w14:paraId="18F8FADB" w14:textId="77777777" w:rsidR="00410AEE" w:rsidRPr="00E52513" w:rsidRDefault="00410AEE">
      <w:r w:rsidRPr="00E52513">
        <w:t xml:space="preserve">Australian Institute for Suicide Research and Prevention &amp; </w:t>
      </w:r>
      <w:proofErr w:type="spellStart"/>
      <w:r w:rsidRPr="00E52513">
        <w:t>Postvention</w:t>
      </w:r>
      <w:proofErr w:type="spellEnd"/>
      <w:r w:rsidRPr="00E52513">
        <w:t xml:space="preserve"> Australia (2017) </w:t>
      </w:r>
      <w:proofErr w:type="spellStart"/>
      <w:r w:rsidRPr="00E52513">
        <w:rPr>
          <w:i/>
        </w:rPr>
        <w:t>Postvention</w:t>
      </w:r>
      <w:proofErr w:type="spellEnd"/>
      <w:r w:rsidRPr="00E52513">
        <w:rPr>
          <w:i/>
        </w:rPr>
        <w:t xml:space="preserve"> Australia Guidelines: A resource for organisations and individuals providing services to people bereaved by suicide. </w:t>
      </w:r>
      <w:r w:rsidRPr="00E52513">
        <w:t>Brisbane: Australian Institute for Suicide Research and Prevention.</w:t>
      </w:r>
    </w:p>
    <w:p w14:paraId="22BC7190" w14:textId="13484DD5" w:rsidR="00410AEE" w:rsidRPr="00E52513" w:rsidRDefault="00410AEE" w:rsidP="008040F0">
      <w:pPr>
        <w:rPr>
          <w:rStyle w:val="Hyperlink"/>
        </w:rPr>
      </w:pPr>
      <w:r w:rsidRPr="00E52513">
        <w:t xml:space="preserve">Australian Mental Health Outcomes and Classification Network (AMHOCN) (2015). </w:t>
      </w:r>
      <w:hyperlink r:id="rId46" w:history="1">
        <w:r w:rsidRPr="00734CC4">
          <w:rPr>
            <w:rStyle w:val="Hyperlink"/>
            <w:i/>
          </w:rPr>
          <w:t xml:space="preserve">Living in the Community </w:t>
        </w:r>
        <w:r w:rsidR="00CF21DA" w:rsidRPr="00734CC4">
          <w:rPr>
            <w:rStyle w:val="Hyperlink"/>
            <w:i/>
          </w:rPr>
          <w:t>Questionnaire (</w:t>
        </w:r>
        <w:r w:rsidRPr="00734CC4">
          <w:rPr>
            <w:rStyle w:val="Hyperlink"/>
            <w:i/>
          </w:rPr>
          <w:t xml:space="preserve">LCQ) </w:t>
        </w:r>
        <w:proofErr w:type="gramStart"/>
        <w:r w:rsidRPr="00734CC4">
          <w:rPr>
            <w:rStyle w:val="Hyperlink"/>
            <w:i/>
          </w:rPr>
          <w:t>A</w:t>
        </w:r>
        <w:proofErr w:type="gramEnd"/>
        <w:r w:rsidRPr="00734CC4">
          <w:rPr>
            <w:rStyle w:val="Hyperlink"/>
            <w:i/>
          </w:rPr>
          <w:t xml:space="preserve"> measure of social participation</w:t>
        </w:r>
      </w:hyperlink>
      <w:r w:rsidRPr="00E52513">
        <w:t xml:space="preserve">. Australian Government: Canberra. </w:t>
      </w:r>
    </w:p>
    <w:p w14:paraId="5DB04011" w14:textId="3E619E20" w:rsidR="00D80C75" w:rsidRPr="00E52513" w:rsidRDefault="00D80C75" w:rsidP="008040F0">
      <w:pPr>
        <w:rPr>
          <w:rStyle w:val="Hyperlink"/>
        </w:rPr>
      </w:pPr>
      <w:r w:rsidRPr="00E52513">
        <w:t xml:space="preserve">Brandt, J. (2013) </w:t>
      </w:r>
      <w:hyperlink r:id="rId47" w:history="1">
        <w:r w:rsidRPr="00734CC4">
          <w:rPr>
            <w:rStyle w:val="Hyperlink"/>
          </w:rPr>
          <w:t>Overhead Costs: The Obsession Must Stop</w:t>
        </w:r>
      </w:hyperlink>
      <w:r w:rsidRPr="00E52513">
        <w:t xml:space="preserve">. Stanford Social Innovation Review, </w:t>
      </w:r>
    </w:p>
    <w:p w14:paraId="4D96C2F0" w14:textId="34D81DFB" w:rsidR="00D80C75" w:rsidRPr="00E52513" w:rsidRDefault="00D80C75">
      <w:r w:rsidRPr="00E52513">
        <w:t xml:space="preserve">Brewer, C. (2018) </w:t>
      </w:r>
      <w:hyperlink r:id="rId48" w:history="1">
        <w:r w:rsidRPr="00734CC4">
          <w:rPr>
            <w:rStyle w:val="Hyperlink"/>
            <w:i/>
            <w:iCs/>
          </w:rPr>
          <w:t>Accounting for overheads in project-driven NGOs</w:t>
        </w:r>
      </w:hyperlink>
      <w:r w:rsidRPr="00E52513">
        <w:t xml:space="preserve">. </w:t>
      </w:r>
    </w:p>
    <w:p w14:paraId="61D1A2F5" w14:textId="4844EC31" w:rsidR="000D423C" w:rsidRPr="00E52513" w:rsidRDefault="000D423C" w:rsidP="008040F0">
      <w:r w:rsidRPr="00E52513">
        <w:t xml:space="preserve">Clear Horizon Consulting, (2018). </w:t>
      </w:r>
      <w:r w:rsidRPr="00E52513">
        <w:rPr>
          <w:i/>
        </w:rPr>
        <w:t>Formative Evaluation of the National Critical Incident Response Service</w:t>
      </w:r>
      <w:r w:rsidRPr="00E52513">
        <w:t xml:space="preserve">, </w:t>
      </w:r>
      <w:proofErr w:type="spellStart"/>
      <w:r w:rsidRPr="00E52513">
        <w:t>Thirrili</w:t>
      </w:r>
      <w:proofErr w:type="spellEnd"/>
      <w:r w:rsidRPr="00E52513">
        <w:t xml:space="preserve"> Ltd.</w:t>
      </w:r>
    </w:p>
    <w:p w14:paraId="420BF53C" w14:textId="77777777" w:rsidR="00410AEE" w:rsidRPr="00E52513" w:rsidRDefault="00410AEE" w:rsidP="008040F0">
      <w:r w:rsidRPr="00E52513">
        <w:t xml:space="preserve">Commonwealth of Australia (2007). </w:t>
      </w:r>
      <w:r w:rsidRPr="00E52513">
        <w:rPr>
          <w:i/>
        </w:rPr>
        <w:t>Living Is For Everyone (LIFE) Framework</w:t>
      </w:r>
      <w:r w:rsidRPr="00E52513">
        <w:t>. Commonwealth of Australia, Canberra</w:t>
      </w:r>
    </w:p>
    <w:p w14:paraId="63DD8F09" w14:textId="7C87B1F5" w:rsidR="006A4F83" w:rsidRPr="00E52513" w:rsidRDefault="006A4F83" w:rsidP="006A4F83">
      <w:r w:rsidRPr="00E52513">
        <w:t xml:space="preserve">Commonwealth of Australia. (2013). </w:t>
      </w:r>
      <w:hyperlink r:id="rId49" w:history="1">
        <w:r w:rsidRPr="00734CC4">
          <w:rPr>
            <w:rStyle w:val="Hyperlink"/>
            <w:i/>
            <w:iCs/>
          </w:rPr>
          <w:t>National Aboriginal and Torres Strait Islander Health Plan</w:t>
        </w:r>
        <w:r w:rsidRPr="00734CC4">
          <w:rPr>
            <w:rStyle w:val="Hyperlink"/>
          </w:rPr>
          <w:t xml:space="preserve"> </w:t>
        </w:r>
        <w:r w:rsidRPr="00734CC4">
          <w:rPr>
            <w:rStyle w:val="Hyperlink"/>
            <w:i/>
            <w:iCs/>
          </w:rPr>
          <w:t>2013-2023</w:t>
        </w:r>
      </w:hyperlink>
      <w:r w:rsidRPr="00E52513">
        <w:t>. C</w:t>
      </w:r>
      <w:r w:rsidR="00102874">
        <w:t>anberra: Australian Government.</w:t>
      </w:r>
    </w:p>
    <w:p w14:paraId="2B25CCAC" w14:textId="77777777" w:rsidR="00410AEE" w:rsidRPr="00E52513" w:rsidRDefault="00410AEE" w:rsidP="008040F0">
      <w:r w:rsidRPr="00E52513">
        <w:t xml:space="preserve">Dart, J and Davies, R. (2003) </w:t>
      </w:r>
      <w:proofErr w:type="gramStart"/>
      <w:r w:rsidRPr="00E52513">
        <w:t>A</w:t>
      </w:r>
      <w:proofErr w:type="gramEnd"/>
      <w:r w:rsidRPr="00E52513">
        <w:t xml:space="preserve"> Dialogical, Story-Based Evaluation Tool: The Most Significant Change Technique. </w:t>
      </w:r>
      <w:r w:rsidRPr="00E52513">
        <w:rPr>
          <w:i/>
        </w:rPr>
        <w:t>American Journal of Evaluation. 24</w:t>
      </w:r>
      <w:r w:rsidRPr="00E52513">
        <w:t xml:space="preserve"> (2): 137–155.</w:t>
      </w:r>
    </w:p>
    <w:p w14:paraId="519BCBC1" w14:textId="3EB5C209" w:rsidR="00A22240" w:rsidRPr="00E52513" w:rsidRDefault="00A22240" w:rsidP="00A22240">
      <w:r w:rsidRPr="00E52513">
        <w:t xml:space="preserve">Department of Health. (2017). </w:t>
      </w:r>
      <w:hyperlink r:id="rId50" w:history="1">
        <w:r w:rsidRPr="00734CC4">
          <w:rPr>
            <w:rStyle w:val="Hyperlink"/>
          </w:rPr>
          <w:t>My Life My Lead: Opportunities for strengthening approaches to the social determinants and cultural determinants of Indigenous health: Report on the national consultations</w:t>
        </w:r>
      </w:hyperlink>
      <w:r w:rsidRPr="00E52513">
        <w:t xml:space="preserve">. </w:t>
      </w:r>
    </w:p>
    <w:p w14:paraId="15A69724" w14:textId="7E910E30" w:rsidR="006A4F83" w:rsidRPr="00E52513" w:rsidRDefault="006A4F83" w:rsidP="006A4F83">
      <w:r w:rsidRPr="00E52513">
        <w:t xml:space="preserve">Department of Health and Ageing. (2013). </w:t>
      </w:r>
      <w:hyperlink r:id="rId51" w:history="1">
        <w:r w:rsidRPr="00C34FE7">
          <w:rPr>
            <w:rStyle w:val="Hyperlink"/>
            <w:i/>
            <w:iCs/>
          </w:rPr>
          <w:t>National Aboriginal and Torres Strait Islander Suicide Prevention Strategy</w:t>
        </w:r>
      </w:hyperlink>
      <w:r w:rsidRPr="00E52513">
        <w:rPr>
          <w:i/>
          <w:iCs/>
        </w:rPr>
        <w:t>.</w:t>
      </w:r>
      <w:r w:rsidRPr="00E52513">
        <w:t xml:space="preserve"> Commonwealth of Australia, C</w:t>
      </w:r>
      <w:r w:rsidR="00C34FE7">
        <w:t>anberra: Australian Government.</w:t>
      </w:r>
    </w:p>
    <w:p w14:paraId="14DE2B2F" w14:textId="08026DA8" w:rsidR="006A4F83" w:rsidRPr="00E52513" w:rsidRDefault="006A4F83" w:rsidP="006A4F83">
      <w:r w:rsidRPr="00E52513">
        <w:t xml:space="preserve">Department of Health. (2015). </w:t>
      </w:r>
      <w:hyperlink r:id="rId52" w:history="1">
        <w:r w:rsidRPr="00734CC4">
          <w:rPr>
            <w:rStyle w:val="Hyperlink"/>
            <w:i/>
          </w:rPr>
          <w:t>Implementation Plan for the National Aboriginal and Torres Strait Islander Health Plan 2013–2023</w:t>
        </w:r>
      </w:hyperlink>
      <w:r w:rsidRPr="00E52513">
        <w:t>. C</w:t>
      </w:r>
      <w:r w:rsidR="00102874">
        <w:t>anberra: Australian Government.</w:t>
      </w:r>
    </w:p>
    <w:p w14:paraId="610C4BA1" w14:textId="47EE120C" w:rsidR="006A4F83" w:rsidRPr="00E52513" w:rsidRDefault="006A4F83" w:rsidP="006A4F83">
      <w:pPr>
        <w:rPr>
          <w:rStyle w:val="value"/>
          <w:rFonts w:asciiTheme="minorHAnsi" w:hAnsiTheme="minorHAnsi"/>
          <w:szCs w:val="22"/>
        </w:rPr>
      </w:pPr>
      <w:r w:rsidRPr="00E52513">
        <w:t xml:space="preserve">Department of Prime </w:t>
      </w:r>
      <w:proofErr w:type="gramStart"/>
      <w:r w:rsidRPr="00E52513">
        <w:t>Minister &amp;</w:t>
      </w:r>
      <w:proofErr w:type="gramEnd"/>
      <w:r w:rsidRPr="00E52513">
        <w:t xml:space="preserve"> Cabinet. (2019). </w:t>
      </w:r>
      <w:hyperlink r:id="rId53" w:history="1">
        <w:r w:rsidRPr="00734CC4">
          <w:rPr>
            <w:rStyle w:val="Hyperlink"/>
          </w:rPr>
          <w:t>Closing the Gap Prime Minister’s Report 2019</w:t>
        </w:r>
      </w:hyperlink>
      <w:r w:rsidRPr="00E52513">
        <w:t>. Canberra:</w:t>
      </w:r>
      <w:r w:rsidRPr="00E52513">
        <w:rPr>
          <w:rStyle w:val="value"/>
          <w:rFonts w:asciiTheme="minorHAnsi" w:hAnsiTheme="minorHAnsi"/>
          <w:szCs w:val="22"/>
        </w:rPr>
        <w:t xml:space="preserve"> </w:t>
      </w:r>
      <w:r w:rsidRPr="00734CC4">
        <w:t xml:space="preserve">Australian Government. </w:t>
      </w:r>
    </w:p>
    <w:p w14:paraId="5573297C" w14:textId="77777777" w:rsidR="008F4C12" w:rsidRPr="00E52513" w:rsidRDefault="008F4C12" w:rsidP="008F4C12">
      <w:r w:rsidRPr="00E52513">
        <w:t>Department of Social Services (DSS), (2011</w:t>
      </w:r>
      <w:r w:rsidRPr="00E52513">
        <w:rPr>
          <w:i/>
          <w:iCs/>
        </w:rPr>
        <w:t>). Performance Framework Service Provider Help Guide: Family Support Program.</w:t>
      </w:r>
      <w:r w:rsidRPr="00E52513">
        <w:t xml:space="preserve"> Commonwealth of Australia, Canberra.</w:t>
      </w:r>
    </w:p>
    <w:p w14:paraId="2D4D8ECE" w14:textId="77777777" w:rsidR="00410AEE" w:rsidRPr="00E52513" w:rsidRDefault="00410AEE">
      <w:r w:rsidRPr="00E52513">
        <w:lastRenderedPageBreak/>
        <w:t xml:space="preserve">Dudgeon, P., </w:t>
      </w:r>
      <w:proofErr w:type="spellStart"/>
      <w:r w:rsidRPr="00E52513">
        <w:t>Calma</w:t>
      </w:r>
      <w:proofErr w:type="spellEnd"/>
      <w:r w:rsidRPr="00E52513">
        <w:t xml:space="preserve">, T., </w:t>
      </w:r>
      <w:proofErr w:type="spellStart"/>
      <w:r w:rsidRPr="00E52513">
        <w:t>Luxford</w:t>
      </w:r>
      <w:proofErr w:type="spellEnd"/>
      <w:r w:rsidRPr="00E52513">
        <w:t xml:space="preserve">, Y., Ring, I., Walker, R., Cox, A., </w:t>
      </w:r>
      <w:proofErr w:type="spellStart"/>
      <w:r w:rsidRPr="00E52513">
        <w:t>Georgatos</w:t>
      </w:r>
      <w:proofErr w:type="spellEnd"/>
      <w:r w:rsidRPr="00E52513">
        <w:t xml:space="preserve">, G. And Holland, C. (2016). </w:t>
      </w:r>
      <w:r w:rsidRPr="00E52513">
        <w:rPr>
          <w:i/>
          <w:iCs/>
        </w:rPr>
        <w:t>Solutions that work: What the evidence and our people tell us - Aboriginal and Torres Strait Islander Suicide Prevention Evaluation Project Report.</w:t>
      </w:r>
      <w:r w:rsidRPr="00E52513">
        <w:t xml:space="preserve"> University of Western Australia, Perth.</w:t>
      </w:r>
    </w:p>
    <w:p w14:paraId="136C36ED" w14:textId="77777777" w:rsidR="00410AEE" w:rsidRPr="00E52513" w:rsidRDefault="00410AEE">
      <w:r w:rsidRPr="00E52513">
        <w:t xml:space="preserve">Dudgeon, P., Milroy, J., </w:t>
      </w:r>
      <w:proofErr w:type="spellStart"/>
      <w:r w:rsidRPr="00E52513">
        <w:t>Luxford</w:t>
      </w:r>
      <w:proofErr w:type="spellEnd"/>
      <w:r w:rsidRPr="00E52513">
        <w:t xml:space="preserve">, Y. and Holland, C. (2017). </w:t>
      </w:r>
      <w:r w:rsidRPr="00E52513">
        <w:rPr>
          <w:i/>
        </w:rPr>
        <w:t>Report of the Critical Response Pilot Project - Aboriginal and Torres Strait Islander Suicide Prevention Evaluation Project</w:t>
      </w:r>
      <w:r w:rsidRPr="00E52513">
        <w:t>. University of Western Australia, Perth.</w:t>
      </w:r>
    </w:p>
    <w:p w14:paraId="3983DD84" w14:textId="662D64DB" w:rsidR="00410AEE" w:rsidRPr="00E52513" w:rsidRDefault="00410AEE">
      <w:r w:rsidRPr="00E52513">
        <w:t>Gee G, Dudgeon P,</w:t>
      </w:r>
      <w:r w:rsidR="006A4F83" w:rsidRPr="00E52513">
        <w:t xml:space="preserve"> Schultz C, Hart A, and Kelly K. (2014).</w:t>
      </w:r>
      <w:r w:rsidRPr="00E52513">
        <w:t xml:space="preserve"> ‘Social and Emotional Wellbeing and Mental Health: An Aboriginal Perspective’. Chapter 4, in Dudgeon P, Milroy M, and Walker R (eds.), </w:t>
      </w:r>
      <w:r w:rsidRPr="00E52513">
        <w:rPr>
          <w:i/>
        </w:rPr>
        <w:t>Working Together: Aboriginal and Torres Strait Islander Mental Health and Wellbeing Principles and Practice</w:t>
      </w:r>
      <w:r w:rsidRPr="00E52513">
        <w:t xml:space="preserve"> – Revised Edition, Commonwealth of Australia, Canberra, p.55-68.</w:t>
      </w:r>
    </w:p>
    <w:p w14:paraId="12D5EC5E" w14:textId="77777777" w:rsidR="00410AEE" w:rsidRPr="00E52513" w:rsidRDefault="00410AEE">
      <w:proofErr w:type="spellStart"/>
      <w:r w:rsidRPr="00E52513">
        <w:t>Gehrmann</w:t>
      </w:r>
      <w:proofErr w:type="spellEnd"/>
      <w:r w:rsidRPr="00E52513">
        <w:t xml:space="preserve">, M., Dixon, S., </w:t>
      </w:r>
      <w:proofErr w:type="spellStart"/>
      <w:r w:rsidRPr="00E52513">
        <w:t>Visser</w:t>
      </w:r>
      <w:proofErr w:type="spellEnd"/>
      <w:r w:rsidRPr="00E52513">
        <w:t xml:space="preserve">, V., &amp; Griffin, M. (2018). </w:t>
      </w:r>
      <w:proofErr w:type="spellStart"/>
      <w:r w:rsidRPr="00E52513">
        <w:rPr>
          <w:i/>
        </w:rPr>
        <w:t>StandBy</w:t>
      </w:r>
      <w:proofErr w:type="spellEnd"/>
      <w:r w:rsidRPr="00E52513">
        <w:rPr>
          <w:i/>
        </w:rPr>
        <w:t xml:space="preserve"> National Client Outcomes Project – Final Report,</w:t>
      </w:r>
      <w:r w:rsidRPr="00E52513">
        <w:t xml:space="preserve"> The Science of Knowing, Buddina, QLD, Australia.</w:t>
      </w:r>
    </w:p>
    <w:p w14:paraId="41A60BDE" w14:textId="77777777" w:rsidR="00A22240" w:rsidRPr="00E52513" w:rsidRDefault="00A22240" w:rsidP="00A22240">
      <w:r w:rsidRPr="00E52513">
        <w:t xml:space="preserve">Goodwin-Smith, I., Hicks, N., Hawke, M., </w:t>
      </w:r>
      <w:proofErr w:type="spellStart"/>
      <w:r w:rsidRPr="00E52513">
        <w:t>Alver</w:t>
      </w:r>
      <w:proofErr w:type="spellEnd"/>
      <w:r w:rsidRPr="00E52513">
        <w:t xml:space="preserve">, G., &amp; </w:t>
      </w:r>
      <w:proofErr w:type="spellStart"/>
      <w:r w:rsidRPr="00E52513">
        <w:t>Raftery</w:t>
      </w:r>
      <w:proofErr w:type="spellEnd"/>
      <w:r w:rsidRPr="00E52513">
        <w:t xml:space="preserve">, P. (2013). Living beyond Aboriginal suicide: Developing a culturally appropriate and accessible suicide </w:t>
      </w:r>
      <w:proofErr w:type="spellStart"/>
      <w:r w:rsidRPr="00E52513">
        <w:t>postvention</w:t>
      </w:r>
      <w:proofErr w:type="spellEnd"/>
      <w:r w:rsidRPr="00E52513">
        <w:t xml:space="preserve"> service for Aboriginal communities in South Australia, </w:t>
      </w:r>
      <w:r w:rsidRPr="00E52513">
        <w:rPr>
          <w:i/>
          <w:iCs/>
        </w:rPr>
        <w:t>Advances in Mental Health, 11</w:t>
      </w:r>
      <w:r w:rsidRPr="00E52513">
        <w:t>(3), 238-245, DOI: 10.5172/jamh.2013.11.3.238</w:t>
      </w:r>
    </w:p>
    <w:p w14:paraId="0B05CD2F" w14:textId="77777777" w:rsidR="00D80C75" w:rsidRPr="00E52513" w:rsidRDefault="00D80C75">
      <w:r w:rsidRPr="00E52513">
        <w:t xml:space="preserve">HMA (2020) NICRS Service Profile and Activity Based Costing Report. </w:t>
      </w:r>
      <w:proofErr w:type="spellStart"/>
      <w:r w:rsidRPr="00E52513">
        <w:t>Thirrili</w:t>
      </w:r>
      <w:proofErr w:type="spellEnd"/>
      <w:r w:rsidRPr="00E52513">
        <w:t>, Melbourne (yet to be published)</w:t>
      </w:r>
    </w:p>
    <w:p w14:paraId="33D99CB4" w14:textId="77777777" w:rsidR="00410AEE" w:rsidRPr="00E52513" w:rsidRDefault="00410AEE">
      <w:r w:rsidRPr="00E52513">
        <w:t xml:space="preserve">Human Capital Alliance (2019) </w:t>
      </w:r>
      <w:r w:rsidRPr="00E52513">
        <w:rPr>
          <w:i/>
        </w:rPr>
        <w:t>Research Protocol for the National Indigenous Critical Response Service Summative Evaluation</w:t>
      </w:r>
      <w:r w:rsidRPr="00E52513">
        <w:t>. HCA, Sydney</w:t>
      </w:r>
    </w:p>
    <w:p w14:paraId="4629AB97" w14:textId="77777777" w:rsidR="00A22240" w:rsidRPr="00E52513" w:rsidRDefault="00A22240" w:rsidP="00A22240">
      <w:bookmarkStart w:id="121" w:name="_Hlk36514047"/>
      <w:r w:rsidRPr="00E52513">
        <w:t xml:space="preserve">Hunter, E., </w:t>
      </w:r>
      <w:proofErr w:type="spellStart"/>
      <w:r w:rsidRPr="00E52513">
        <w:t>Reser</w:t>
      </w:r>
      <w:proofErr w:type="spellEnd"/>
      <w:r w:rsidRPr="00E52513">
        <w:t xml:space="preserve">, J., Baird, M., &amp; </w:t>
      </w:r>
      <w:proofErr w:type="spellStart"/>
      <w:r w:rsidRPr="00E52513">
        <w:t>Reser</w:t>
      </w:r>
      <w:proofErr w:type="spellEnd"/>
      <w:r w:rsidRPr="00E52513">
        <w:t xml:space="preserve">, P. (2001). </w:t>
      </w:r>
      <w:bookmarkEnd w:id="121"/>
      <w:r w:rsidRPr="00E52513">
        <w:rPr>
          <w:i/>
        </w:rPr>
        <w:t>An analysis of suicide in Indigenous communities of North Queensland: The historical, cultural and symbolic landscape</w:t>
      </w:r>
      <w:r w:rsidRPr="00E52513">
        <w:t>. Canberra: Commonwealth Department of Health and Aged Care.</w:t>
      </w:r>
    </w:p>
    <w:p w14:paraId="6CFDFE81" w14:textId="77777777" w:rsidR="00291305" w:rsidRPr="00E52513" w:rsidRDefault="00291305" w:rsidP="00291305">
      <w:r w:rsidRPr="00E52513">
        <w:t xml:space="preserve">Jackson </w:t>
      </w:r>
      <w:proofErr w:type="spellStart"/>
      <w:r w:rsidRPr="00E52513">
        <w:t>Pulver</w:t>
      </w:r>
      <w:proofErr w:type="spellEnd"/>
      <w:r w:rsidRPr="00E52513">
        <w:t xml:space="preserve">, L., </w:t>
      </w:r>
      <w:r w:rsidRPr="00E52513">
        <w:rPr>
          <w:bCs/>
        </w:rPr>
        <w:t>Williams, M.</w:t>
      </w:r>
      <w:r w:rsidRPr="00E52513">
        <w:t xml:space="preserve"> &amp; Fitzpatrick, S. (2019). Social determinants of Australia’s First Peoples: A multi-level empowerment perspective. In. P. </w:t>
      </w:r>
      <w:proofErr w:type="spellStart"/>
      <w:r w:rsidRPr="00E52513">
        <w:t>Liamputtong</w:t>
      </w:r>
      <w:proofErr w:type="spellEnd"/>
      <w:r w:rsidRPr="00E52513">
        <w:t xml:space="preserve"> (Ed.). </w:t>
      </w:r>
      <w:r w:rsidRPr="00E52513">
        <w:rPr>
          <w:i/>
        </w:rPr>
        <w:t>Social Determinants of Health</w:t>
      </w:r>
      <w:r w:rsidRPr="00E52513">
        <w:t>. Melbourne: Oxford University Press.</w:t>
      </w:r>
    </w:p>
    <w:p w14:paraId="755EE0AE" w14:textId="53DE5EF5" w:rsidR="00D80C75" w:rsidRPr="00E52513" w:rsidRDefault="00D80C75">
      <w:r w:rsidRPr="00E52513">
        <w:t xml:space="preserve">King, J (2018) The OPM approach to assessing </w:t>
      </w:r>
      <w:proofErr w:type="spellStart"/>
      <w:r w:rsidRPr="00E52513">
        <w:t>VfM</w:t>
      </w:r>
      <w:proofErr w:type="spellEnd"/>
      <w:r w:rsidRPr="00E52513">
        <w:t>. Oxford Policy Management.</w:t>
      </w:r>
    </w:p>
    <w:p w14:paraId="7887424B" w14:textId="42BF257C" w:rsidR="00A22240" w:rsidRPr="00E52513" w:rsidRDefault="00A22240">
      <w:r w:rsidRPr="00E52513">
        <w:t xml:space="preserve">Markham, F., &amp; Biddle, N. (2018). </w:t>
      </w:r>
      <w:hyperlink r:id="rId54" w:history="1">
        <w:r w:rsidRPr="00734CC4">
          <w:rPr>
            <w:rStyle w:val="Hyperlink"/>
            <w:i/>
          </w:rPr>
          <w:t>Income, poverty and inequality. CAEPR 2016 Census Paper No. 2</w:t>
        </w:r>
        <w:r w:rsidRPr="00734CC4">
          <w:rPr>
            <w:rStyle w:val="Hyperlink"/>
          </w:rPr>
          <w:t xml:space="preserve">. </w:t>
        </w:r>
      </w:hyperlink>
      <w:r w:rsidRPr="00E52513">
        <w:t>Canberra: Centre for Abori</w:t>
      </w:r>
      <w:r w:rsidR="00734CC4">
        <w:t>ginal Economic Policy Research.</w:t>
      </w:r>
    </w:p>
    <w:p w14:paraId="741B7385" w14:textId="77777777" w:rsidR="00A22240" w:rsidRPr="00E52513" w:rsidRDefault="00A22240" w:rsidP="00A22240">
      <w:proofErr w:type="spellStart"/>
      <w:r w:rsidRPr="00E52513">
        <w:t>McCalman</w:t>
      </w:r>
      <w:proofErr w:type="spellEnd"/>
      <w:r w:rsidRPr="00E52513">
        <w:t xml:space="preserve">, J., </w:t>
      </w:r>
      <w:proofErr w:type="spellStart"/>
      <w:r w:rsidRPr="00E52513">
        <w:t>Tsey</w:t>
      </w:r>
      <w:proofErr w:type="spellEnd"/>
      <w:r w:rsidRPr="00E52513">
        <w:t xml:space="preserve">, K., Reilly, L., Connolly, B., Fagan, R. … Ross, A. (2010). Taking control of health: </w:t>
      </w:r>
      <w:proofErr w:type="spellStart"/>
      <w:r w:rsidRPr="00E52513">
        <w:t>Gurriny’s</w:t>
      </w:r>
      <w:proofErr w:type="spellEnd"/>
      <w:r w:rsidRPr="00E52513">
        <w:t xml:space="preserve"> story of organisational change. </w:t>
      </w:r>
      <w:r w:rsidRPr="00E52513">
        <w:rPr>
          <w:i/>
          <w:iCs/>
        </w:rPr>
        <w:t>Third Sector Review, 16</w:t>
      </w:r>
      <w:r w:rsidRPr="00E52513">
        <w:t>(1), 21-29.</w:t>
      </w:r>
    </w:p>
    <w:p w14:paraId="60ADC0F6" w14:textId="4FACCDCC" w:rsidR="00A22240" w:rsidRPr="00E52513" w:rsidRDefault="00A22240" w:rsidP="00A22240">
      <w:proofErr w:type="spellStart"/>
      <w:r w:rsidRPr="00E52513">
        <w:t>Seccombe</w:t>
      </w:r>
      <w:proofErr w:type="spellEnd"/>
      <w:r w:rsidRPr="00E52513">
        <w:t xml:space="preserve">, M. (2018, March 31). Gap not closing on Indigenous disadvantage. </w:t>
      </w:r>
      <w:hyperlink r:id="rId55" w:history="1">
        <w:r w:rsidRPr="00734CC4">
          <w:rPr>
            <w:rStyle w:val="Hyperlink"/>
            <w:i/>
          </w:rPr>
          <w:t>The Saturday Paper</w:t>
        </w:r>
        <w:r w:rsidRPr="00734CC4">
          <w:rPr>
            <w:rStyle w:val="Hyperlink"/>
          </w:rPr>
          <w:t xml:space="preserve">, </w:t>
        </w:r>
        <w:r w:rsidRPr="00734CC4">
          <w:rPr>
            <w:rStyle w:val="Hyperlink"/>
            <w:i/>
          </w:rPr>
          <w:t>198</w:t>
        </w:r>
      </w:hyperlink>
      <w:r w:rsidRPr="00E52513">
        <w:t xml:space="preserve">. </w:t>
      </w:r>
    </w:p>
    <w:p w14:paraId="3828EDE4" w14:textId="77777777" w:rsidR="006A4F83" w:rsidRPr="00E52513" w:rsidRDefault="006A4F83" w:rsidP="006A4F83">
      <w:r w:rsidRPr="00E52513">
        <w:t xml:space="preserve">Senate Community Affairs Reference Committee. (2010). </w:t>
      </w:r>
      <w:proofErr w:type="gramStart"/>
      <w:r w:rsidRPr="00E52513">
        <w:rPr>
          <w:i/>
          <w:iCs/>
        </w:rPr>
        <w:t>The</w:t>
      </w:r>
      <w:proofErr w:type="gramEnd"/>
      <w:r w:rsidRPr="00E52513">
        <w:rPr>
          <w:i/>
          <w:iCs/>
        </w:rPr>
        <w:t xml:space="preserve"> hidden toll: Suicide in Australia</w:t>
      </w:r>
      <w:r w:rsidRPr="00E52513">
        <w:t>. Canberra: Senate Printing Unit, Parliament House.</w:t>
      </w:r>
    </w:p>
    <w:p w14:paraId="3E5D74F7" w14:textId="1FA28545" w:rsidR="00410AEE" w:rsidRPr="00E52513" w:rsidRDefault="00410AEE">
      <w:proofErr w:type="spellStart"/>
      <w:r w:rsidRPr="00E52513">
        <w:t>Thirrili</w:t>
      </w:r>
      <w:proofErr w:type="spellEnd"/>
      <w:r w:rsidRPr="00E52513">
        <w:t xml:space="preserve"> Ltd (2018). </w:t>
      </w:r>
      <w:r w:rsidRPr="00E52513">
        <w:rPr>
          <w:i/>
        </w:rPr>
        <w:t xml:space="preserve">Defining and addressing Aboriginal and Torres Strait Islander trauma, grief and </w:t>
      </w:r>
      <w:proofErr w:type="spellStart"/>
      <w:r w:rsidRPr="00E52513">
        <w:rPr>
          <w:i/>
        </w:rPr>
        <w:t>postvention</w:t>
      </w:r>
      <w:proofErr w:type="spellEnd"/>
      <w:r w:rsidRPr="00E52513">
        <w:rPr>
          <w:i/>
        </w:rPr>
        <w:t>: Literature Review</w:t>
      </w:r>
      <w:r w:rsidRPr="00E52513">
        <w:t xml:space="preserve"> </w:t>
      </w:r>
      <w:proofErr w:type="spellStart"/>
      <w:r w:rsidRPr="00E52513">
        <w:t>Thirrili</w:t>
      </w:r>
      <w:proofErr w:type="spellEnd"/>
      <w:r w:rsidRPr="00E52513">
        <w:t xml:space="preserve"> Ltd</w:t>
      </w:r>
    </w:p>
    <w:p w14:paraId="225CFDD3" w14:textId="399BA0B0" w:rsidR="00410AEE" w:rsidRPr="00E52513" w:rsidRDefault="00410AEE">
      <w:proofErr w:type="spellStart"/>
      <w:r w:rsidRPr="00E52513">
        <w:lastRenderedPageBreak/>
        <w:t>Thirrili</w:t>
      </w:r>
      <w:proofErr w:type="spellEnd"/>
      <w:r w:rsidRPr="00E52513">
        <w:t xml:space="preserve"> Ltd (2017). </w:t>
      </w:r>
      <w:r w:rsidRPr="00E52513">
        <w:rPr>
          <w:i/>
        </w:rPr>
        <w:t>National Indigenous Critical Response Service: Program logic and evaluation approach.</w:t>
      </w:r>
      <w:r w:rsidRPr="00E52513">
        <w:t xml:space="preserve"> </w:t>
      </w:r>
      <w:proofErr w:type="spellStart"/>
      <w:r w:rsidRPr="00E52513">
        <w:t>Thirrili</w:t>
      </w:r>
      <w:proofErr w:type="spellEnd"/>
      <w:r w:rsidRPr="00E52513">
        <w:t xml:space="preserve"> Ltd: Melbourne.</w:t>
      </w:r>
    </w:p>
    <w:p w14:paraId="6482562D" w14:textId="77777777" w:rsidR="00410AEE" w:rsidRPr="00E52513" w:rsidRDefault="00410AEE">
      <w:proofErr w:type="spellStart"/>
      <w:r w:rsidRPr="00E52513">
        <w:t>Thirrili</w:t>
      </w:r>
      <w:proofErr w:type="spellEnd"/>
      <w:r w:rsidRPr="00E52513">
        <w:t xml:space="preserve"> Ltd. (</w:t>
      </w:r>
      <w:proofErr w:type="spellStart"/>
      <w:r w:rsidRPr="00E52513">
        <w:t>n.d.</w:t>
      </w:r>
      <w:proofErr w:type="spellEnd"/>
      <w:r w:rsidRPr="00E52513">
        <w:t xml:space="preserve">). </w:t>
      </w:r>
      <w:r w:rsidRPr="00E52513">
        <w:rPr>
          <w:i/>
        </w:rPr>
        <w:t>NICRS Model of Care Version 1.0</w:t>
      </w:r>
      <w:r w:rsidRPr="00E52513">
        <w:t xml:space="preserve">. </w:t>
      </w:r>
      <w:proofErr w:type="spellStart"/>
      <w:r w:rsidRPr="00E52513">
        <w:t>Thirrili</w:t>
      </w:r>
      <w:proofErr w:type="spellEnd"/>
      <w:r w:rsidRPr="00E52513">
        <w:t xml:space="preserve"> Ltd.</w:t>
      </w:r>
    </w:p>
    <w:p w14:paraId="7730E3F8" w14:textId="77777777" w:rsidR="00410AEE" w:rsidRPr="00E52513" w:rsidRDefault="00410AEE">
      <w:proofErr w:type="spellStart"/>
      <w:r w:rsidRPr="00E52513">
        <w:t>Thirrili</w:t>
      </w:r>
      <w:proofErr w:type="spellEnd"/>
      <w:r w:rsidRPr="00E52513">
        <w:t xml:space="preserve"> Ltd. (2019) </w:t>
      </w:r>
      <w:r w:rsidRPr="00E52513">
        <w:rPr>
          <w:i/>
        </w:rPr>
        <w:t>National Coronial Information Service Suicide Data Analysis. January 2003 to December 2018</w:t>
      </w:r>
      <w:r w:rsidRPr="00E52513">
        <w:t>. Final Report, 16 September 2019</w:t>
      </w:r>
    </w:p>
    <w:p w14:paraId="29A6A951" w14:textId="77777777" w:rsidR="00410AEE" w:rsidRPr="00E52513" w:rsidRDefault="00410AEE">
      <w:r w:rsidRPr="00E52513">
        <w:t xml:space="preserve">World Health Organization (WHO) (2014). </w:t>
      </w:r>
      <w:r w:rsidRPr="00E52513">
        <w:rPr>
          <w:i/>
        </w:rPr>
        <w:t>Preventing suicide: A global imperative</w:t>
      </w:r>
      <w:r w:rsidRPr="00E52513">
        <w:t>. Luxembourg: WHO</w:t>
      </w:r>
    </w:p>
    <w:p w14:paraId="613EF652" w14:textId="77777777" w:rsidR="00A22240" w:rsidRPr="00E52513" w:rsidRDefault="00A22240" w:rsidP="00A22240">
      <w:proofErr w:type="spellStart"/>
      <w:r w:rsidRPr="00E52513">
        <w:t>Zięba</w:t>
      </w:r>
      <w:proofErr w:type="spellEnd"/>
      <w:r w:rsidRPr="00E52513">
        <w:t xml:space="preserve">, M., </w:t>
      </w:r>
      <w:proofErr w:type="spellStart"/>
      <w:r w:rsidRPr="00E52513">
        <w:t>Wiecheć</w:t>
      </w:r>
      <w:proofErr w:type="spellEnd"/>
      <w:r w:rsidRPr="00E52513">
        <w:t xml:space="preserve">, K., </w:t>
      </w:r>
      <w:proofErr w:type="spellStart"/>
      <w:r w:rsidRPr="00E52513">
        <w:t>Biegańska-Banaś</w:t>
      </w:r>
      <w:proofErr w:type="spellEnd"/>
      <w:r w:rsidRPr="00E52513">
        <w:t xml:space="preserve">, J., &amp; </w:t>
      </w:r>
      <w:proofErr w:type="spellStart"/>
      <w:r w:rsidRPr="00E52513">
        <w:t>Mieleszczenko-Kowszewicz</w:t>
      </w:r>
      <w:proofErr w:type="spellEnd"/>
      <w:r w:rsidRPr="00E52513">
        <w:t xml:space="preserve">, W. (2019). Coexistence of Post-traumatic Growth and Post-traumatic Depreciation in the aftermath of trauma: Qualitative and quantitative narrative analysis. </w:t>
      </w:r>
      <w:r w:rsidRPr="00E52513">
        <w:rPr>
          <w:i/>
          <w:iCs/>
        </w:rPr>
        <w:t>Frontiers in Psychology, 10</w:t>
      </w:r>
      <w:r w:rsidRPr="00E52513">
        <w:t>, 29 March, DOI=10.3389/fpsyg.2019.00687.</w:t>
      </w:r>
    </w:p>
    <w:p w14:paraId="477C9C27" w14:textId="74883B33" w:rsidR="00A22240" w:rsidRPr="00E52513" w:rsidRDefault="00A22240" w:rsidP="00A22240">
      <w:pPr>
        <w:rPr>
          <w:rFonts w:cstheme="minorHAnsi"/>
          <w:szCs w:val="18"/>
        </w:rPr>
      </w:pPr>
      <w:proofErr w:type="spellStart"/>
      <w:r w:rsidRPr="00E52513">
        <w:rPr>
          <w:rFonts w:cstheme="minorHAnsi"/>
          <w:szCs w:val="18"/>
        </w:rPr>
        <w:t>Zubrick</w:t>
      </w:r>
      <w:proofErr w:type="spellEnd"/>
      <w:r w:rsidRPr="00E52513">
        <w:rPr>
          <w:rFonts w:cstheme="minorHAnsi"/>
          <w:szCs w:val="18"/>
        </w:rPr>
        <w:t xml:space="preserve">, S., Shepherd, C., Dudgeon, P., Gee, G., </w:t>
      </w:r>
      <w:proofErr w:type="spellStart"/>
      <w:r w:rsidRPr="00E52513">
        <w:rPr>
          <w:rFonts w:cstheme="minorHAnsi"/>
          <w:szCs w:val="18"/>
        </w:rPr>
        <w:t>Paradies</w:t>
      </w:r>
      <w:proofErr w:type="spellEnd"/>
      <w:r w:rsidRPr="00E52513">
        <w:rPr>
          <w:rFonts w:cstheme="minorHAnsi"/>
          <w:szCs w:val="18"/>
        </w:rPr>
        <w:t xml:space="preserve">, Y., </w:t>
      </w:r>
      <w:proofErr w:type="spellStart"/>
      <w:r w:rsidRPr="00E52513">
        <w:rPr>
          <w:rFonts w:cstheme="minorHAnsi"/>
          <w:szCs w:val="18"/>
        </w:rPr>
        <w:t>Scrine</w:t>
      </w:r>
      <w:proofErr w:type="spellEnd"/>
      <w:r w:rsidRPr="00E52513">
        <w:rPr>
          <w:rFonts w:cstheme="minorHAnsi"/>
          <w:szCs w:val="18"/>
        </w:rPr>
        <w:t>, C., &amp; Walker, R. (2014). Social determinants of social and emotional wellbeing. In P. Dudgeon, H. Milroy, &amp; R. Walker (</w:t>
      </w:r>
      <w:proofErr w:type="spellStart"/>
      <w:r w:rsidRPr="00E52513">
        <w:rPr>
          <w:rFonts w:cstheme="minorHAnsi"/>
          <w:szCs w:val="18"/>
        </w:rPr>
        <w:t>Eds</w:t>
      </w:r>
      <w:proofErr w:type="spellEnd"/>
      <w:r w:rsidRPr="00E52513">
        <w:rPr>
          <w:rFonts w:cstheme="minorHAnsi"/>
          <w:szCs w:val="18"/>
        </w:rPr>
        <w:t xml:space="preserve">), </w:t>
      </w:r>
      <w:r w:rsidRPr="00E52513">
        <w:rPr>
          <w:rFonts w:cstheme="minorHAnsi"/>
          <w:i/>
          <w:iCs/>
          <w:szCs w:val="18"/>
        </w:rPr>
        <w:t>Working Together: Aboriginal and Torres Strait Islander mental health and wellbeing principles and practice</w:t>
      </w:r>
      <w:r w:rsidRPr="00E52513">
        <w:rPr>
          <w:rFonts w:cstheme="minorHAnsi"/>
          <w:szCs w:val="18"/>
        </w:rPr>
        <w:t xml:space="preserve">, 2nd </w:t>
      </w:r>
      <w:proofErr w:type="spellStart"/>
      <w:r w:rsidRPr="00E52513">
        <w:rPr>
          <w:rFonts w:cstheme="minorHAnsi"/>
          <w:szCs w:val="18"/>
        </w:rPr>
        <w:t>edn</w:t>
      </w:r>
      <w:proofErr w:type="spellEnd"/>
      <w:r w:rsidRPr="00E52513">
        <w:rPr>
          <w:rFonts w:cstheme="minorHAnsi"/>
          <w:szCs w:val="18"/>
        </w:rPr>
        <w:t xml:space="preserve"> (pp. 93–112). Canberra: Department of Health. Retrieved from </w:t>
      </w:r>
      <w:hyperlink r:id="rId56" w:history="1">
        <w:r w:rsidR="00C34FE7" w:rsidRPr="00C34FE7">
          <w:rPr>
            <w:rStyle w:val="Hyperlink"/>
            <w:rFonts w:cstheme="minorHAnsi"/>
            <w:szCs w:val="18"/>
          </w:rPr>
          <w:t>Telethon Kids Institute</w:t>
        </w:r>
      </w:hyperlink>
    </w:p>
    <w:p w14:paraId="728130ED" w14:textId="77777777" w:rsidR="00A22240" w:rsidRPr="00E52513" w:rsidRDefault="00A22240"/>
    <w:p w14:paraId="36FB47C8" w14:textId="77777777" w:rsidR="00410AEE" w:rsidRPr="00E52513" w:rsidRDefault="00410AEE" w:rsidP="00410AEE"/>
    <w:p w14:paraId="60FD964D" w14:textId="77777777" w:rsidR="00410AEE" w:rsidRPr="00E52513" w:rsidRDefault="00410AEE" w:rsidP="00410AEE">
      <w:pPr>
        <w:pStyle w:val="Heading1"/>
        <w:sectPr w:rsidR="00410AEE" w:rsidRPr="00E52513" w:rsidSect="00E755C1">
          <w:type w:val="continuous"/>
          <w:pgSz w:w="11906" w:h="16838"/>
          <w:pgMar w:top="1440" w:right="1080" w:bottom="1440" w:left="1080" w:header="709" w:footer="454" w:gutter="0"/>
          <w:cols w:space="708"/>
          <w:docGrid w:linePitch="360"/>
        </w:sectPr>
      </w:pPr>
    </w:p>
    <w:p w14:paraId="5C4C9AC7" w14:textId="4C5DAF5E" w:rsidR="00A0747A" w:rsidRPr="00E52513" w:rsidRDefault="00A0747A" w:rsidP="008040F0">
      <w:pPr>
        <w:pStyle w:val="Heading1"/>
        <w:numPr>
          <w:ilvl w:val="0"/>
          <w:numId w:val="0"/>
        </w:numPr>
      </w:pPr>
      <w:bookmarkStart w:id="122" w:name="_Toc35966368"/>
      <w:bookmarkStart w:id="123" w:name="_Toc54966663"/>
      <w:r w:rsidRPr="00E52513">
        <w:lastRenderedPageBreak/>
        <w:t xml:space="preserve">Appendix </w:t>
      </w:r>
      <w:r w:rsidR="002F3929" w:rsidRPr="00E52513">
        <w:t>1</w:t>
      </w:r>
      <w:r w:rsidRPr="00E52513">
        <w:t xml:space="preserve">: </w:t>
      </w:r>
      <w:bookmarkEnd w:id="122"/>
      <w:r w:rsidR="00A33C5C" w:rsidRPr="00E52513">
        <w:t>D</w:t>
      </w:r>
      <w:r w:rsidR="00A252ED" w:rsidRPr="00E52513">
        <w:t>etailed background evidence</w:t>
      </w:r>
      <w:bookmarkEnd w:id="123"/>
    </w:p>
    <w:p w14:paraId="16B70E8E" w14:textId="22704FF7" w:rsidR="00D1590C" w:rsidRPr="00E52513" w:rsidRDefault="00D1590C" w:rsidP="00734CC4">
      <w:pPr>
        <w:outlineLvl w:val="1"/>
        <w:rPr>
          <w:b/>
          <w:color w:val="F79646"/>
          <w:sz w:val="36"/>
          <w:szCs w:val="36"/>
        </w:rPr>
      </w:pPr>
      <w:bookmarkStart w:id="124" w:name="_Toc35966369"/>
      <w:r w:rsidRPr="00E52513">
        <w:rPr>
          <w:b/>
          <w:color w:val="F79646"/>
          <w:sz w:val="36"/>
          <w:szCs w:val="36"/>
        </w:rPr>
        <w:t xml:space="preserve">The need for </w:t>
      </w:r>
      <w:r w:rsidR="00920A63" w:rsidRPr="00E52513">
        <w:rPr>
          <w:b/>
          <w:color w:val="F79646"/>
          <w:sz w:val="36"/>
          <w:szCs w:val="36"/>
        </w:rPr>
        <w:t xml:space="preserve">suicide </w:t>
      </w:r>
      <w:proofErr w:type="spellStart"/>
      <w:r w:rsidRPr="00E52513">
        <w:rPr>
          <w:b/>
          <w:color w:val="F79646"/>
          <w:sz w:val="36"/>
          <w:szCs w:val="36"/>
        </w:rPr>
        <w:t>postvention</w:t>
      </w:r>
      <w:proofErr w:type="spellEnd"/>
      <w:r w:rsidRPr="00E52513">
        <w:rPr>
          <w:b/>
          <w:color w:val="F79646"/>
          <w:sz w:val="36"/>
          <w:szCs w:val="36"/>
        </w:rPr>
        <w:t xml:space="preserve"> services</w:t>
      </w:r>
    </w:p>
    <w:p w14:paraId="07B60B98" w14:textId="77777777" w:rsidR="00D1590C" w:rsidRPr="00E52513" w:rsidRDefault="00D1590C" w:rsidP="00E571B6">
      <w:r w:rsidRPr="00E52513">
        <w:t>Suicide rates among Aboriginal and Torres Strait Islander people are 24.1 per 100,000, compared to 12.1 per 100,000 overall in Australia in 2018 (Australian Bureau of Statistics (ABS), 2019). For all, approximately three quarters of suicides are by males and a quarter by females. There are also important differences for Aboriginal and Torres Strait Islander people compared to the general population in relation to age and location (ABS, 2019).</w:t>
      </w:r>
    </w:p>
    <w:p w14:paraId="6DE78DEC" w14:textId="77777777" w:rsidR="00D1590C" w:rsidRPr="00E52513" w:rsidRDefault="00D1590C" w:rsidP="00E571B6">
      <w:r w:rsidRPr="00E52513">
        <w:t>In the five years from 2014-2018, intentional self-harm rates among Aboriginal and Torres Strait Islander people were 23.7 per 100,000 compared to 12.3 per 100,000 among the general Australian population (ABS, 2019). Aboriginal and Torres Strait Islander were again disproportionally over-represented and younger when self-harming.</w:t>
      </w:r>
    </w:p>
    <w:p w14:paraId="673C906A" w14:textId="49B869E8" w:rsidR="00D1590C" w:rsidRPr="00E52513" w:rsidRDefault="00D1590C" w:rsidP="00E571B6">
      <w:r w:rsidRPr="00E52513">
        <w:t xml:space="preserve">The underlying factors for these statistics are complex and varied. Ongoing health inequalities (Markham &amp; Biddle, 2018; </w:t>
      </w:r>
      <w:proofErr w:type="spellStart"/>
      <w:r w:rsidRPr="00E52513">
        <w:t>Seccombe</w:t>
      </w:r>
      <w:proofErr w:type="spellEnd"/>
      <w:r w:rsidRPr="00E52513">
        <w:t>, 2018), poor levels of access to mainstream health services (Department of Health, 2017; Goodwin-Smith, et al., 2013), and under-developed Aboriginal and Torres Strait Islander workforces and capacity to deliver culturally safe services (Department of Health, 2017) are some of the factors affecting health, social and emotional wellbeing of Aboriginal and Torres Strait Islander people.</w:t>
      </w:r>
    </w:p>
    <w:p w14:paraId="197D321D" w14:textId="3525AA26" w:rsidR="00D1590C" w:rsidRPr="00E52513" w:rsidRDefault="00D1590C" w:rsidP="00E571B6">
      <w:r w:rsidRPr="00E52513">
        <w:t xml:space="preserve">The report </w:t>
      </w:r>
      <w:r w:rsidRPr="00E52513">
        <w:rPr>
          <w:i/>
          <w:iCs/>
        </w:rPr>
        <w:t>Indigenous lived experience of suicide: Literature review</w:t>
      </w:r>
      <w:r w:rsidRPr="00E52513">
        <w:t xml:space="preserve"> discusses these and other experiences of Aboriginal and Torres Strait Islander people and highlights the need to for more support services, and the need for mainstream and Aboriginal and Torres Strait Islander sectoral development (Dudgeon, et al., 2018).</w:t>
      </w:r>
    </w:p>
    <w:p w14:paraId="72F842D2" w14:textId="42C3C571" w:rsidR="00D1590C" w:rsidRPr="00E52513" w:rsidRDefault="00D1590C" w:rsidP="00E571B6">
      <w:r w:rsidRPr="00E52513">
        <w:t>It is in this context that Aboriginal and Torres Strait Islander people live today – often with strong sense of being Indigenous to Australia but experiencing many barriers to equity and equality. Whole families and communities as well as culture and the environment (Country) are affected across generations when a person passes away by suicide or other trauma.</w:t>
      </w:r>
    </w:p>
    <w:p w14:paraId="39286CA6" w14:textId="6B7A69EC" w:rsidR="00D1590C" w:rsidRPr="00E52513" w:rsidRDefault="00D1590C" w:rsidP="00E571B6">
      <w:r w:rsidRPr="00E52513">
        <w:t xml:space="preserve">There is still limited evidence from rigorous research or program evaluations to inform </w:t>
      </w:r>
      <w:proofErr w:type="spellStart"/>
      <w:r w:rsidRPr="00E52513">
        <w:t>postvention</w:t>
      </w:r>
      <w:proofErr w:type="spellEnd"/>
      <w:r w:rsidRPr="00E52513">
        <w:t xml:space="preserve"> services for Aboriginal and Torres Strait Islander people, and in Australia, </w:t>
      </w:r>
      <w:proofErr w:type="spellStart"/>
      <w:r w:rsidRPr="00E52513">
        <w:t>postvention</w:t>
      </w:r>
      <w:proofErr w:type="spellEnd"/>
      <w:r w:rsidRPr="00E52513">
        <w:t xml:space="preserve"> is mostly considered in the context of suicide prevention. A range of gaps in </w:t>
      </w:r>
      <w:proofErr w:type="spellStart"/>
      <w:r w:rsidRPr="00E52513">
        <w:t>postvention</w:t>
      </w:r>
      <w:proofErr w:type="spellEnd"/>
      <w:r w:rsidRPr="00E52513">
        <w:t xml:space="preserve"> services for Aboriginal and Torres Strait Islander people have been identified by Dudgeon et al</w:t>
      </w:r>
      <w:r w:rsidR="00E179F6" w:rsidRPr="00E52513">
        <w:t>.</w:t>
      </w:r>
      <w:r w:rsidRPr="00E52513">
        <w:t xml:space="preserve"> (2017) and include limited resources for ‘after hours’ support when services are closed, range and complexity of needs, complex trauma and financial challenges, few health and needs assessment tools for use with diverse Aboriginal and Torres Strait Islander people, and minimal training, support and networking for staff, and too few experienced staff.</w:t>
      </w:r>
    </w:p>
    <w:p w14:paraId="5EDCE79B" w14:textId="77777777" w:rsidR="00D1590C" w:rsidRPr="00E52513" w:rsidRDefault="00D1590C" w:rsidP="00215032">
      <w:pPr>
        <w:outlineLvl w:val="1"/>
        <w:rPr>
          <w:b/>
          <w:color w:val="F79646"/>
          <w:sz w:val="36"/>
        </w:rPr>
      </w:pPr>
      <w:r w:rsidRPr="00E52513">
        <w:rPr>
          <w:b/>
          <w:color w:val="F79646"/>
          <w:sz w:val="36"/>
        </w:rPr>
        <w:t xml:space="preserve">What is </w:t>
      </w:r>
      <w:proofErr w:type="spellStart"/>
      <w:r w:rsidRPr="00734CC4">
        <w:rPr>
          <w:b/>
          <w:color w:val="F79646"/>
          <w:sz w:val="36"/>
          <w:szCs w:val="36"/>
        </w:rPr>
        <w:t>postvention</w:t>
      </w:r>
      <w:proofErr w:type="spellEnd"/>
      <w:r w:rsidRPr="00E52513">
        <w:rPr>
          <w:b/>
          <w:color w:val="F79646"/>
          <w:sz w:val="36"/>
        </w:rPr>
        <w:t>?</w:t>
      </w:r>
    </w:p>
    <w:p w14:paraId="5BAE1433" w14:textId="523E75D3" w:rsidR="00D1590C" w:rsidRPr="00E52513" w:rsidRDefault="00D1590C" w:rsidP="00E571B6">
      <w:proofErr w:type="spellStart"/>
      <w:r w:rsidRPr="00E52513">
        <w:t>Postvention</w:t>
      </w:r>
      <w:proofErr w:type="spellEnd"/>
      <w:r w:rsidRPr="00E52513">
        <w:t xml:space="preserve"> is generally defined as a direct form of support for individuals bereaved by suicide or other traumatic critical incidents such as suicide attempts or murder. Among Aboriginal and Torres Strait Islander people, </w:t>
      </w:r>
      <w:proofErr w:type="spellStart"/>
      <w:r w:rsidRPr="00E52513">
        <w:t>postvention</w:t>
      </w:r>
      <w:proofErr w:type="spellEnd"/>
      <w:r w:rsidRPr="00E52513">
        <w:t xml:space="preserve"> support is ideally also for families and community members of the deceased (Dudgeon, et al., 2017).</w:t>
      </w:r>
    </w:p>
    <w:p w14:paraId="4049E223" w14:textId="54A7799C" w:rsidR="00D1590C" w:rsidRPr="00E52513" w:rsidRDefault="00D1590C" w:rsidP="00D02BA0">
      <w:pPr>
        <w:spacing w:after="120"/>
      </w:pPr>
      <w:proofErr w:type="spellStart"/>
      <w:r w:rsidRPr="00E52513">
        <w:lastRenderedPageBreak/>
        <w:t>Postvention</w:t>
      </w:r>
      <w:proofErr w:type="spellEnd"/>
      <w:r w:rsidRPr="00E52513">
        <w:t xml:space="preserve"> is also considered a suicide prevention strategy, including </w:t>
      </w:r>
      <w:r w:rsidR="0004737F" w:rsidRPr="00E52513">
        <w:t>preventing</w:t>
      </w:r>
      <w:r w:rsidRPr="00E52513">
        <w:t xml:space="preserve"> people bereaved by suicide or other critical incidents themselves considering, attempting or completing suicide or other types of trauma (Dudgeon et al</w:t>
      </w:r>
      <w:r w:rsidR="00E179F6" w:rsidRPr="00E52513">
        <w:t>.</w:t>
      </w:r>
      <w:r w:rsidRPr="00E52513">
        <w:t>, 2017). A small range of literature examines suicides occurring in clusters, as well as in peaks at particular times, including among Aboriginal and Torres Strait Islander people (</w:t>
      </w:r>
      <w:r w:rsidRPr="00E52513">
        <w:rPr>
          <w:rFonts w:cs="Arial"/>
          <w:color w:val="000000"/>
        </w:rPr>
        <w:t xml:space="preserve">Hunter, et al., 2001; </w:t>
      </w:r>
      <w:proofErr w:type="spellStart"/>
      <w:r w:rsidRPr="00E52513">
        <w:rPr>
          <w:rFonts w:cs="Arial"/>
          <w:color w:val="000000"/>
        </w:rPr>
        <w:t>McCalman</w:t>
      </w:r>
      <w:proofErr w:type="spellEnd"/>
      <w:r w:rsidRPr="00E52513">
        <w:rPr>
          <w:rFonts w:cs="Arial"/>
          <w:color w:val="000000"/>
        </w:rPr>
        <w:t xml:space="preserve"> et al</w:t>
      </w:r>
      <w:r w:rsidR="00E179F6" w:rsidRPr="00E52513">
        <w:rPr>
          <w:rFonts w:cs="Arial"/>
          <w:color w:val="000000"/>
        </w:rPr>
        <w:t>.</w:t>
      </w:r>
      <w:r w:rsidRPr="00E52513">
        <w:rPr>
          <w:rFonts w:cs="Arial"/>
          <w:color w:val="000000"/>
        </w:rPr>
        <w:t>, 2010</w:t>
      </w:r>
      <w:r w:rsidRPr="00E52513">
        <w:t xml:space="preserve">). However, </w:t>
      </w:r>
      <w:proofErr w:type="spellStart"/>
      <w:r w:rsidRPr="00E52513">
        <w:t>postvention</w:t>
      </w:r>
      <w:proofErr w:type="spellEnd"/>
      <w:r w:rsidRPr="00E52513">
        <w:t xml:space="preserve"> literature is minimal, and while some articles provide descriptive localised information, there are few studies assessing effectiveness in achieving </w:t>
      </w:r>
      <w:proofErr w:type="spellStart"/>
      <w:r w:rsidRPr="00E52513">
        <w:t>postvention</w:t>
      </w:r>
      <w:proofErr w:type="spellEnd"/>
      <w:r w:rsidRPr="00E52513">
        <w:t xml:space="preserve"> outcomes or long-term impacts generally or among Aboriginal and Torres Strait Islander people.</w:t>
      </w:r>
    </w:p>
    <w:p w14:paraId="6D752AFC" w14:textId="413AF97E" w:rsidR="00D1590C" w:rsidRPr="00E52513" w:rsidRDefault="00D1590C" w:rsidP="00D02BA0">
      <w:pPr>
        <w:spacing w:after="120"/>
      </w:pPr>
      <w:proofErr w:type="spellStart"/>
      <w:r w:rsidRPr="00E52513">
        <w:t>Postvention</w:t>
      </w:r>
      <w:proofErr w:type="spellEnd"/>
      <w:r w:rsidRPr="00E52513">
        <w:t xml:space="preserve"> is most often described as practical assistance to individuals and families of the deceased, particularly by connecting them to other individuals and community agencies for support (Institute ref). For example, among Australians in general,</w:t>
      </w:r>
    </w:p>
    <w:p w14:paraId="42FEF052" w14:textId="0E822873" w:rsidR="00D1590C" w:rsidRPr="00E52513" w:rsidRDefault="00D1590C" w:rsidP="00920A63">
      <w:pPr>
        <w:spacing w:after="120"/>
        <w:ind w:left="283" w:right="283"/>
        <w:rPr>
          <w:i/>
        </w:rPr>
      </w:pPr>
      <w:r w:rsidRPr="00E52513">
        <w:rPr>
          <w:i/>
        </w:rPr>
        <w:t xml:space="preserve">“Some of the most remarkable </w:t>
      </w:r>
      <w:proofErr w:type="spellStart"/>
      <w:r w:rsidRPr="00E52513">
        <w:rPr>
          <w:i/>
        </w:rPr>
        <w:t>postvention</w:t>
      </w:r>
      <w:proofErr w:type="spellEnd"/>
      <w:r w:rsidRPr="00E52513">
        <w:rPr>
          <w:i/>
        </w:rPr>
        <w:t xml:space="preserve"> responses are when practical assistance is provided by individuals and local organisations to the sad aftermath of suicide: dealing with police, the Coroner’s Court, administrative messes and the personal upheavals left behind.”</w:t>
      </w:r>
    </w:p>
    <w:p w14:paraId="49564D7C" w14:textId="77777777" w:rsidR="00D1590C" w:rsidRPr="00E52513" w:rsidRDefault="00D1590C" w:rsidP="00920A63">
      <w:pPr>
        <w:spacing w:after="120"/>
        <w:ind w:left="283" w:right="283"/>
        <w:jc w:val="right"/>
        <w:rPr>
          <w:i/>
        </w:rPr>
      </w:pPr>
      <w:r w:rsidRPr="00E52513">
        <w:rPr>
          <w:i/>
        </w:rPr>
        <w:t>(Emeritus Professor Ian W Webster, cited in Australian Institute for Suicide Research and Prevention, 2017, p. 5)</w:t>
      </w:r>
    </w:p>
    <w:p w14:paraId="0EE763C5" w14:textId="325676CE" w:rsidR="00D1590C" w:rsidRPr="00E52513" w:rsidRDefault="00D1590C" w:rsidP="00E571B6">
      <w:r w:rsidRPr="00E52513">
        <w:t xml:space="preserve">However, </w:t>
      </w:r>
      <w:r w:rsidR="00920A63" w:rsidRPr="00E52513">
        <w:t xml:space="preserve">actual </w:t>
      </w:r>
      <w:proofErr w:type="spellStart"/>
      <w:r w:rsidRPr="00E52513">
        <w:t>postvention</w:t>
      </w:r>
      <w:proofErr w:type="spellEnd"/>
      <w:r w:rsidRPr="00E52513">
        <w:t xml:space="preserve"> needs of individuals are not well-identified in research-based literature, nor are strategies or tools for identifying needs. </w:t>
      </w:r>
      <w:proofErr w:type="spellStart"/>
      <w:r w:rsidRPr="00E52513">
        <w:t>Postvention</w:t>
      </w:r>
      <w:proofErr w:type="spellEnd"/>
      <w:r w:rsidRPr="00E52513">
        <w:t xml:space="preserve"> is often linked to suicide prevention programs, policies and research. Both are complex, with multiple risk factors relating to social conditions and developmental issues that emanate from pre-conception, childhood and youth, and occur across the lifespan (for example, </w:t>
      </w:r>
      <w:proofErr w:type="spellStart"/>
      <w:r w:rsidRPr="00E52513">
        <w:t>Zubrick</w:t>
      </w:r>
      <w:proofErr w:type="spellEnd"/>
      <w:r w:rsidRPr="00E52513">
        <w:t xml:space="preserve"> et al</w:t>
      </w:r>
      <w:r w:rsidR="00E179F6" w:rsidRPr="00E52513">
        <w:t>.</w:t>
      </w:r>
      <w:r w:rsidRPr="00E52513">
        <w:t>, 2014).</w:t>
      </w:r>
    </w:p>
    <w:p w14:paraId="5DEB2840" w14:textId="3A188B10" w:rsidR="00D1590C" w:rsidRPr="00E52513" w:rsidRDefault="00D1590C" w:rsidP="00E571B6">
      <w:proofErr w:type="spellStart"/>
      <w:r w:rsidRPr="00E52513">
        <w:t>Postvention</w:t>
      </w:r>
      <w:proofErr w:type="spellEnd"/>
      <w:r w:rsidRPr="00E52513">
        <w:t xml:space="preserve"> programs on their own are considered unlikely to be effective because risks for suicide are often broader, with long-term factors to address, including that there are “community settings with high multiple risks” (Department of Health and Ageing, 2013, p. 22). There are a small number of theories on suicide bereavement including the Tripartite Model of Suicide Bereavement (Sands, 2009); and Post-Traumatic Growth (</w:t>
      </w:r>
      <w:proofErr w:type="spellStart"/>
      <w:r w:rsidRPr="00E52513">
        <w:rPr>
          <w:rFonts w:cs="Calibri"/>
        </w:rPr>
        <w:t>Zięba</w:t>
      </w:r>
      <w:proofErr w:type="spellEnd"/>
      <w:r w:rsidRPr="00E52513">
        <w:rPr>
          <w:rFonts w:cs="Calibri"/>
        </w:rPr>
        <w:t>, et al., 2019</w:t>
      </w:r>
      <w:r w:rsidRPr="00E52513">
        <w:t>). However, it should be noted that these theories have not been developed with Aboriginal and Torres Strait Islander people cultures and histories in mind.</w:t>
      </w:r>
    </w:p>
    <w:p w14:paraId="2173F51F" w14:textId="79286120" w:rsidR="00D1590C" w:rsidRPr="00E52513" w:rsidRDefault="00D1590C" w:rsidP="00D1590C">
      <w:r w:rsidRPr="00E52513">
        <w:t xml:space="preserve">The National Aboriginal and Torres Strait Islander Suicide Prevention Strategy does, however, describe people bereaved by suicide as “important catalysts for change to services and policies” (Department of Health and Ageing, 2013, p. 19). Community-oriented </w:t>
      </w:r>
      <w:proofErr w:type="spellStart"/>
      <w:r w:rsidRPr="00E52513">
        <w:t>postvention</w:t>
      </w:r>
      <w:proofErr w:type="spellEnd"/>
      <w:r w:rsidRPr="00E52513">
        <w:t xml:space="preserve"> programs have included training and support for community service providers, community members and family members, coordinated action to work with and follow</w:t>
      </w:r>
      <w:r w:rsidR="00D73661" w:rsidRPr="00E52513">
        <w:t>-</w:t>
      </w:r>
      <w:r w:rsidRPr="00E52513">
        <w:t>up with individuals in high</w:t>
      </w:r>
      <w:r w:rsidR="00D73661" w:rsidRPr="00E52513">
        <w:t>-</w:t>
      </w:r>
      <w:r w:rsidRPr="00E52513">
        <w:t>risk settings; as well as build the capacity of community-based services to maintain targeted preventive activities (Department of Health and Ageing, 2013).</w:t>
      </w:r>
    </w:p>
    <w:p w14:paraId="788F5FE1" w14:textId="77777777" w:rsidR="00D1590C" w:rsidRPr="00E52513" w:rsidRDefault="00D1590C" w:rsidP="00D1590C">
      <w:pPr>
        <w:spacing w:before="200" w:after="120"/>
        <w:rPr>
          <w:b/>
          <w:color w:val="F79646"/>
          <w:sz w:val="36"/>
        </w:rPr>
      </w:pPr>
      <w:proofErr w:type="spellStart"/>
      <w:r w:rsidRPr="00E52513">
        <w:rPr>
          <w:b/>
          <w:color w:val="F79646"/>
          <w:sz w:val="36"/>
        </w:rPr>
        <w:t>Postvention</w:t>
      </w:r>
      <w:proofErr w:type="spellEnd"/>
      <w:r w:rsidRPr="00E52513">
        <w:rPr>
          <w:b/>
          <w:color w:val="F79646"/>
          <w:sz w:val="36"/>
        </w:rPr>
        <w:t xml:space="preserve"> initiatives</w:t>
      </w:r>
    </w:p>
    <w:p w14:paraId="2F5E2EBB" w14:textId="77777777" w:rsidR="00D1590C" w:rsidRPr="00E52513" w:rsidRDefault="00D1590C" w:rsidP="00710B3D">
      <w:pPr>
        <w:spacing w:before="120" w:after="0"/>
        <w:rPr>
          <w:color w:val="F79646"/>
          <w:sz w:val="32"/>
        </w:rPr>
      </w:pPr>
      <w:r w:rsidRPr="00E52513">
        <w:rPr>
          <w:color w:val="F79646"/>
          <w:sz w:val="32"/>
        </w:rPr>
        <w:t xml:space="preserve">Policy context of </w:t>
      </w:r>
      <w:proofErr w:type="spellStart"/>
      <w:r w:rsidRPr="00E52513">
        <w:rPr>
          <w:color w:val="F79646"/>
          <w:sz w:val="32"/>
        </w:rPr>
        <w:t>postvention</w:t>
      </w:r>
      <w:proofErr w:type="spellEnd"/>
      <w:r w:rsidRPr="00E52513">
        <w:rPr>
          <w:color w:val="F79646"/>
          <w:sz w:val="32"/>
        </w:rPr>
        <w:t xml:space="preserve"> programs</w:t>
      </w:r>
    </w:p>
    <w:p w14:paraId="4B33764D" w14:textId="5A9BB090" w:rsidR="00D1590C" w:rsidRPr="00E52513" w:rsidRDefault="00D1590C" w:rsidP="00E571B6">
      <w:pPr>
        <w:rPr>
          <w:rFonts w:eastAsiaTheme="minorHAnsi"/>
        </w:rPr>
      </w:pPr>
      <w:r w:rsidRPr="00E52513">
        <w:rPr>
          <w:rFonts w:eastAsiaTheme="minorHAnsi"/>
        </w:rPr>
        <w:t>Official calls to action to address suicide prevention in Aboriginal and Torres Strait Islander communities are present in a number of key national and state/territory reports, plans, policy and commissioning frameworks that have been published over the past decade or more.</w:t>
      </w:r>
    </w:p>
    <w:p w14:paraId="104E54EC" w14:textId="77777777" w:rsidR="00D1590C" w:rsidRPr="00E52513" w:rsidRDefault="00D1590C" w:rsidP="00E571B6">
      <w:pPr>
        <w:rPr>
          <w:rFonts w:eastAsiaTheme="minorHAnsi"/>
        </w:rPr>
      </w:pPr>
      <w:r w:rsidRPr="00E52513">
        <w:rPr>
          <w:rFonts w:eastAsiaTheme="minorHAnsi"/>
        </w:rPr>
        <w:lastRenderedPageBreak/>
        <w:t xml:space="preserve">However, there is currently no national key document or strategy about </w:t>
      </w:r>
      <w:proofErr w:type="spellStart"/>
      <w:r w:rsidRPr="00E52513">
        <w:rPr>
          <w:rFonts w:eastAsiaTheme="minorHAnsi"/>
        </w:rPr>
        <w:t>postvention</w:t>
      </w:r>
      <w:proofErr w:type="spellEnd"/>
      <w:r w:rsidRPr="00E52513">
        <w:rPr>
          <w:rFonts w:eastAsiaTheme="minorHAnsi"/>
        </w:rPr>
        <w:t xml:space="preserve"> among Aboriginal and Torres Strait Islander people or communities. There has been an increasing mention of </w:t>
      </w:r>
      <w:proofErr w:type="spellStart"/>
      <w:r w:rsidRPr="00E52513">
        <w:rPr>
          <w:rFonts w:eastAsiaTheme="minorHAnsi"/>
        </w:rPr>
        <w:t>postvention</w:t>
      </w:r>
      <w:proofErr w:type="spellEnd"/>
      <w:r w:rsidRPr="00E52513">
        <w:rPr>
          <w:rFonts w:eastAsiaTheme="minorHAnsi"/>
        </w:rPr>
        <w:t xml:space="preserve"> in most national and state strategies, plans and reports since the Inquiry into Suicide in Australia by the Senate Community Affairs References Committee’s </w:t>
      </w:r>
      <w:r w:rsidRPr="00E52513">
        <w:rPr>
          <w:rFonts w:eastAsiaTheme="minorHAnsi"/>
          <w:i/>
          <w:iCs/>
        </w:rPr>
        <w:t xml:space="preserve">The Hidden Toll: Suicide in Australia </w:t>
      </w:r>
      <w:r w:rsidRPr="00E52513">
        <w:rPr>
          <w:rFonts w:eastAsiaTheme="minorHAnsi"/>
        </w:rPr>
        <w:t>(2010), and some acknowledgement of the disproportionate impacts of suicides on Aboriginal and Torres Strait Islander communities.</w:t>
      </w:r>
    </w:p>
    <w:p w14:paraId="3649666E" w14:textId="42382AAF" w:rsidR="00456E3E" w:rsidRPr="00E52513" w:rsidRDefault="00D1590C" w:rsidP="00456E3E">
      <w:pPr>
        <w:spacing w:after="120"/>
        <w:rPr>
          <w:rFonts w:eastAsiaTheme="minorHAnsi"/>
        </w:rPr>
      </w:pPr>
      <w:r w:rsidRPr="00E52513">
        <w:rPr>
          <w:rFonts w:eastAsiaTheme="minorHAnsi"/>
        </w:rPr>
        <w:t xml:space="preserve">The </w:t>
      </w:r>
      <w:r w:rsidRPr="00E52513">
        <w:rPr>
          <w:rFonts w:eastAsiaTheme="minorHAnsi"/>
          <w:i/>
          <w:iCs/>
        </w:rPr>
        <w:t>National Aboriginal and Torres Strait Islander Health Plan</w:t>
      </w:r>
      <w:r w:rsidRPr="00E52513">
        <w:rPr>
          <w:rFonts w:eastAsiaTheme="minorHAnsi"/>
        </w:rPr>
        <w:t xml:space="preserve"> </w:t>
      </w:r>
      <w:r w:rsidRPr="00E52513">
        <w:rPr>
          <w:rFonts w:eastAsiaTheme="minorHAnsi"/>
          <w:i/>
          <w:iCs/>
        </w:rPr>
        <w:t>2013-2023</w:t>
      </w:r>
      <w:r w:rsidRPr="00E52513">
        <w:rPr>
          <w:rFonts w:ascii="Swis721 BT" w:eastAsiaTheme="minorHAnsi" w:hAnsi="Swis721 BT" w:cs="Swis721 BT"/>
          <w:color w:val="000000"/>
          <w:sz w:val="24"/>
          <w:szCs w:val="24"/>
        </w:rPr>
        <w:t xml:space="preserve"> </w:t>
      </w:r>
      <w:r w:rsidRPr="00E52513">
        <w:rPr>
          <w:rFonts w:eastAsiaTheme="minorHAnsi"/>
        </w:rPr>
        <w:t xml:space="preserve">(Commonwealth of Australia, 2013), its implementation plan (Department of Health, 2015) and the </w:t>
      </w:r>
      <w:r w:rsidRPr="00E52513">
        <w:rPr>
          <w:rFonts w:eastAsiaTheme="minorHAnsi"/>
          <w:i/>
          <w:iCs/>
        </w:rPr>
        <w:t>Closing the Gap Framework</w:t>
      </w:r>
      <w:r w:rsidRPr="00E52513">
        <w:rPr>
          <w:rFonts w:eastAsiaTheme="minorHAnsi"/>
        </w:rPr>
        <w:t xml:space="preserve"> (Department of Prime Minister and Cabinet, 2019) all have relevance to </w:t>
      </w:r>
      <w:proofErr w:type="spellStart"/>
      <w:r w:rsidRPr="00E52513">
        <w:rPr>
          <w:rFonts w:eastAsiaTheme="minorHAnsi"/>
        </w:rPr>
        <w:t>postvention</w:t>
      </w:r>
      <w:proofErr w:type="spellEnd"/>
      <w:r w:rsidRPr="00E52513">
        <w:rPr>
          <w:rFonts w:eastAsiaTheme="minorHAnsi"/>
        </w:rPr>
        <w:t>. They all incorporate commitment to reducing developmental and social risk factors for illness and disadvantage, as well as strengthening community capacity to create conditions in which health occurs.</w:t>
      </w:r>
    </w:p>
    <w:p w14:paraId="1343660E" w14:textId="77777777" w:rsidR="00D1590C" w:rsidRPr="00E52513" w:rsidRDefault="00D1590C" w:rsidP="00617586">
      <w:pPr>
        <w:spacing w:before="120" w:after="0"/>
        <w:rPr>
          <w:color w:val="F79646"/>
          <w:sz w:val="32"/>
        </w:rPr>
      </w:pPr>
      <w:r w:rsidRPr="00E52513">
        <w:rPr>
          <w:color w:val="F79646"/>
          <w:sz w:val="32"/>
        </w:rPr>
        <w:t xml:space="preserve">Other </w:t>
      </w:r>
      <w:proofErr w:type="spellStart"/>
      <w:r w:rsidRPr="00E52513">
        <w:rPr>
          <w:color w:val="F79646"/>
          <w:sz w:val="32"/>
        </w:rPr>
        <w:t>postvention</w:t>
      </w:r>
      <w:proofErr w:type="spellEnd"/>
      <w:r w:rsidRPr="00E52513">
        <w:rPr>
          <w:color w:val="F79646"/>
          <w:sz w:val="32"/>
        </w:rPr>
        <w:t xml:space="preserve"> initiatives</w:t>
      </w:r>
    </w:p>
    <w:p w14:paraId="1BAEE761" w14:textId="77777777" w:rsidR="00D1590C" w:rsidRPr="00E52513" w:rsidRDefault="00D1590C" w:rsidP="00D1590C">
      <w:r w:rsidRPr="00E52513">
        <w:t xml:space="preserve">There is increasing awareness and action in relation to suicide prevention broadly, yet that the </w:t>
      </w:r>
      <w:proofErr w:type="spellStart"/>
      <w:r w:rsidRPr="00E52513">
        <w:t>postvention</w:t>
      </w:r>
      <w:proofErr w:type="spellEnd"/>
      <w:r w:rsidRPr="00E52513">
        <w:t xml:space="preserve"> space is still in a development phase. A handful of other </w:t>
      </w:r>
      <w:proofErr w:type="spellStart"/>
      <w:r w:rsidRPr="00E52513">
        <w:t>postvention</w:t>
      </w:r>
      <w:proofErr w:type="spellEnd"/>
      <w:r w:rsidRPr="00E52513">
        <w:t xml:space="preserve"> actions have been initiated in Australia and, while not specific to Aboriginal and Torres Strait Islander people, they provide some indication of how </w:t>
      </w:r>
      <w:proofErr w:type="spellStart"/>
      <w:r w:rsidRPr="00E52513">
        <w:t>postvention</w:t>
      </w:r>
      <w:proofErr w:type="spellEnd"/>
      <w:r w:rsidRPr="00E52513">
        <w:t xml:space="preserve"> has been addressed:</w:t>
      </w:r>
    </w:p>
    <w:p w14:paraId="1FEF21DF" w14:textId="77777777" w:rsidR="00D1590C" w:rsidRPr="00E52513" w:rsidRDefault="00D1590C" w:rsidP="00BB0C58">
      <w:pPr>
        <w:pStyle w:val="ListParagraph"/>
        <w:numPr>
          <w:ilvl w:val="0"/>
          <w:numId w:val="24"/>
        </w:numPr>
        <w:spacing w:after="120"/>
      </w:pPr>
      <w:proofErr w:type="spellStart"/>
      <w:r w:rsidRPr="00E52513">
        <w:rPr>
          <w:b/>
        </w:rPr>
        <w:t>Postvention</w:t>
      </w:r>
      <w:proofErr w:type="spellEnd"/>
      <w:r w:rsidRPr="00E52513">
        <w:rPr>
          <w:b/>
        </w:rPr>
        <w:t xml:space="preserve"> Australia Guidelines - </w:t>
      </w:r>
      <w:r w:rsidRPr="00E52513">
        <w:t>developed in 2017 by the Australian Institute for Suicide Research and Prevention</w:t>
      </w:r>
    </w:p>
    <w:p w14:paraId="33F3333E" w14:textId="31DBA970" w:rsidR="00D1590C" w:rsidRPr="00E52513" w:rsidRDefault="00D1590C" w:rsidP="00BB0C58">
      <w:pPr>
        <w:pStyle w:val="ListParagraph"/>
        <w:numPr>
          <w:ilvl w:val="0"/>
          <w:numId w:val="24"/>
        </w:numPr>
        <w:spacing w:after="120"/>
      </w:pPr>
      <w:proofErr w:type="spellStart"/>
      <w:r w:rsidRPr="00E52513">
        <w:rPr>
          <w:b/>
        </w:rPr>
        <w:t>StandBy</w:t>
      </w:r>
      <w:proofErr w:type="spellEnd"/>
      <w:r w:rsidRPr="00E52513">
        <w:rPr>
          <w:b/>
        </w:rPr>
        <w:t xml:space="preserve"> – </w:t>
      </w:r>
      <w:r w:rsidR="007D395A" w:rsidRPr="00E52513">
        <w:t>a</w:t>
      </w:r>
      <w:r w:rsidRPr="00E52513">
        <w:t>n Australian Government</w:t>
      </w:r>
      <w:r w:rsidR="007D395A" w:rsidRPr="00E52513">
        <w:t>-funded</w:t>
      </w:r>
      <w:r w:rsidRPr="00E52513">
        <w:t xml:space="preserve"> initiative delivered by United Synergies that was established in 2002; provides support for individuals, families, friends, schools, workplaces and </w:t>
      </w:r>
      <w:r w:rsidRPr="00E52513">
        <w:rPr>
          <w:color w:val="211D1E"/>
        </w:rPr>
        <w:t>community</w:t>
      </w:r>
      <w:r w:rsidRPr="00E52513">
        <w:t xml:space="preserve"> groups</w:t>
      </w:r>
      <w:r w:rsidR="007D395A" w:rsidRPr="00E52513">
        <w:t>,</w:t>
      </w:r>
      <w:r w:rsidRPr="00E52513">
        <w:t xml:space="preserve"> with a follo</w:t>
      </w:r>
      <w:r w:rsidR="007D395A" w:rsidRPr="00E52513">
        <w:t xml:space="preserve">w-up timeframe of </w:t>
      </w:r>
      <w:r w:rsidR="00315C77" w:rsidRPr="00E52513">
        <w:t>one-year</w:t>
      </w:r>
      <w:r w:rsidR="007D395A" w:rsidRPr="00E52513">
        <w:t xml:space="preserve"> post-</w:t>
      </w:r>
      <w:r w:rsidRPr="00E52513">
        <w:t xml:space="preserve">suicide. </w:t>
      </w:r>
      <w:proofErr w:type="spellStart"/>
      <w:r w:rsidRPr="00E52513">
        <w:t>StandBy</w:t>
      </w:r>
      <w:proofErr w:type="spellEnd"/>
      <w:r w:rsidRPr="00E52513">
        <w:t xml:space="preserve"> has links for support around Australia</w:t>
      </w:r>
      <w:r w:rsidR="007D395A" w:rsidRPr="00E52513">
        <w:t>,</w:t>
      </w:r>
      <w:r w:rsidRPr="00E52513">
        <w:t xml:space="preserve"> including to the NICRS and 24/7 telephone numbers</w:t>
      </w:r>
    </w:p>
    <w:p w14:paraId="14019317" w14:textId="7BC1C58C" w:rsidR="00D1590C" w:rsidRPr="00E52513" w:rsidRDefault="00D1590C" w:rsidP="00BB0C58">
      <w:pPr>
        <w:pStyle w:val="ListParagraph"/>
        <w:numPr>
          <w:ilvl w:val="0"/>
          <w:numId w:val="24"/>
        </w:numPr>
        <w:spacing w:after="120"/>
      </w:pPr>
      <w:r w:rsidRPr="00E52513">
        <w:rPr>
          <w:b/>
        </w:rPr>
        <w:t>Living Beyond Suicide –</w:t>
      </w:r>
      <w:r w:rsidR="007D395A" w:rsidRPr="00E52513">
        <w:rPr>
          <w:b/>
        </w:rPr>
        <w:t xml:space="preserve"> </w:t>
      </w:r>
      <w:r w:rsidRPr="00E52513">
        <w:t>delivered by Anglicare S</w:t>
      </w:r>
      <w:r w:rsidR="00E03911" w:rsidRPr="00E52513">
        <w:t>A</w:t>
      </w:r>
      <w:r w:rsidR="007D395A" w:rsidRPr="00E52513">
        <w:t>,</w:t>
      </w:r>
      <w:r w:rsidRPr="00E52513">
        <w:t xml:space="preserve"> the program works with police and ambulance services attending each suicide, to connect with families of the deceased. Staff visit within hours and across days, providing</w:t>
      </w:r>
      <w:r w:rsidR="00ED7281" w:rsidRPr="00E52513">
        <w:t xml:space="preserve"> practical, needs-based support</w:t>
      </w:r>
    </w:p>
    <w:p w14:paraId="029F1A1E" w14:textId="7306E2C6" w:rsidR="002243EF" w:rsidRPr="00E52513" w:rsidRDefault="00D1590C" w:rsidP="00BB0C58">
      <w:pPr>
        <w:pStyle w:val="ListParagraph"/>
        <w:numPr>
          <w:ilvl w:val="0"/>
          <w:numId w:val="24"/>
        </w:numPr>
        <w:sectPr w:rsidR="002243EF" w:rsidRPr="00E52513" w:rsidSect="008040F0">
          <w:pgSz w:w="11906" w:h="16838"/>
          <w:pgMar w:top="1440" w:right="1080" w:bottom="1440" w:left="1080" w:header="709" w:footer="454" w:gutter="0"/>
          <w:cols w:space="708"/>
          <w:docGrid w:linePitch="360"/>
        </w:sectPr>
      </w:pPr>
      <w:r w:rsidRPr="00E52513">
        <w:rPr>
          <w:b/>
        </w:rPr>
        <w:t xml:space="preserve">Living is For Everyone (LIFE) Framework – </w:t>
      </w:r>
      <w:r w:rsidRPr="00E52513">
        <w:t xml:space="preserve">developed in 2007 by the Australian Department of Health, the framework was one of a series of suicide prevention initiatives beginning in the 1990s that provided national policy direction based on population health approaches, evidence-based materials for health planners, and practical resources for community members. </w:t>
      </w:r>
    </w:p>
    <w:p w14:paraId="534ECB40" w14:textId="368DD31C" w:rsidR="007A1771" w:rsidRDefault="00D007E0" w:rsidP="008D5B4D">
      <w:pPr>
        <w:pStyle w:val="Heading1"/>
        <w:numPr>
          <w:ilvl w:val="0"/>
          <w:numId w:val="0"/>
        </w:numPr>
      </w:pPr>
      <w:bookmarkStart w:id="125" w:name="_Toc54966664"/>
      <w:r w:rsidRPr="00E52513">
        <w:lastRenderedPageBreak/>
        <w:t xml:space="preserve">Appendix </w:t>
      </w:r>
      <w:r w:rsidR="008D5B4D" w:rsidRPr="00E52513">
        <w:t>2</w:t>
      </w:r>
      <w:r w:rsidRPr="00E52513">
        <w:t>: NICRS program logic</w:t>
      </w:r>
      <w:bookmarkEnd w:id="125"/>
    </w:p>
    <w:p w14:paraId="79E8B721" w14:textId="6FC664A5" w:rsidR="000257D4" w:rsidRPr="000257D4" w:rsidRDefault="000257D4" w:rsidP="000257D4">
      <w:r>
        <w:rPr>
          <w:noProof/>
          <w:lang w:eastAsia="en-AU"/>
        </w:rPr>
        <w:drawing>
          <wp:inline distT="0" distB="0" distL="0" distR="0" wp14:anchorId="2910114B" wp14:editId="360D1D75">
            <wp:extent cx="9651834" cy="4114800"/>
            <wp:effectExtent l="0" t="0" r="635" b="0"/>
            <wp:docPr id="24" name="Picture 24" descr="The program’s overarching social goal is that Aboriginal and Torres Strait Islander Communities have improved capacity to undertake health postvention. The three key program goals are: 1. Improved understanding of the needs of Aboriginal and Torres Strait Islander communities when responding to suicide and other traumatic events and issues that affect them, 2. Service and community systems have increased capacity to respond in culturally appropriate ways to support Aboriginal and Torres Strait Islander communities, and 3. A wider range of communities are implementing and receiving culturally appropriate, holistic, and locally tailored postvention support. &#10; &#10;These goals are collectively addressed via three streams of activity and outcomes focus: a) Systems Change – (foundation activity) identification of networks and structures that provide coordination of postvention and critical incident activities; (activity) participating in networks that can influence system service development; (immediate outcome) contributing to improved knowledge and understanding of the postvention needs of Aboriginal and Torres Strait Islander communities; and (intermediate outcome) services and systems becoming more responsive to the postvention needs of Aboriginal and Torres Strait Islander communities; b) Critical Incident Support to Families and Communities – (foundation activity) development of notification protocols so the NICRS reliably and consistently receive critical incident notifications; (activities) robust and triangulated assessment process, focus on meeting immediate material needs of family and community, and ongoing advocacy and support with services; (immediate outcomes) Aboriginal and Torres Strait Islander families receiving culturally appropriate response, local services being supported to provide response, and (intermediate outcomes) local services providing improved coordinated and culturally appropriate response, and services and community working more closely together on postvention support; c) Building Local Community Capacity to Respond to Critical Incidents – (foundation activities) selection of communities to participate based on known risk factors, and identification of Elders and community to be involved in design; (activities) development of shared understandings of culture, community and health and wellbeing, and NICRS and community working together to develop culturally appropriate postvention activities; (immediate outcomes) communities have a better understanding of the service system, and services have a better understanding of the cultural needs of communities; and (intermediate outcome) communities in project are implementing and receiving culturally appropriate, holistic and locally tailored postvention support." title="2017 NICRS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3E7E12-2485-4C53-8B5B-5C5757E7EA83" descr="cid:38F596D0-517C-4C2E-B397-24CDDD98E975@TL-WA850RE"/>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9665367" cy="4120569"/>
                    </a:xfrm>
                    <a:prstGeom prst="rect">
                      <a:avLst/>
                    </a:prstGeom>
                    <a:noFill/>
                    <a:ln>
                      <a:noFill/>
                    </a:ln>
                  </pic:spPr>
                </pic:pic>
              </a:graphicData>
            </a:graphic>
          </wp:inline>
        </w:drawing>
      </w:r>
    </w:p>
    <w:p w14:paraId="38264E2B" w14:textId="7D3D421F" w:rsidR="00D007E0" w:rsidRPr="00E52513" w:rsidRDefault="00D007E0" w:rsidP="008D5B4D">
      <w:pPr>
        <w:ind w:left="-567"/>
      </w:pPr>
    </w:p>
    <w:p w14:paraId="2DEEEBC7" w14:textId="77777777" w:rsidR="007A1771" w:rsidRPr="00E52513" w:rsidRDefault="007A1771" w:rsidP="008D5B4D"/>
    <w:p w14:paraId="41D8024A" w14:textId="77777777" w:rsidR="007A1771" w:rsidRPr="00E52513" w:rsidRDefault="007A1771" w:rsidP="008D5B4D">
      <w:pPr>
        <w:sectPr w:rsidR="007A1771" w:rsidRPr="00E52513" w:rsidSect="008D5B4D">
          <w:headerReference w:type="default" r:id="rId59"/>
          <w:footerReference w:type="default" r:id="rId60"/>
          <w:pgSz w:w="16838" w:h="11906" w:orient="landscape"/>
          <w:pgMar w:top="1440" w:right="1080" w:bottom="1440" w:left="1080" w:header="709" w:footer="454" w:gutter="0"/>
          <w:cols w:space="708"/>
          <w:docGrid w:linePitch="360"/>
        </w:sectPr>
      </w:pPr>
    </w:p>
    <w:p w14:paraId="778CB469" w14:textId="37895C86" w:rsidR="002F3929" w:rsidRPr="00E52513" w:rsidRDefault="002F3929" w:rsidP="002F3929">
      <w:pPr>
        <w:pStyle w:val="Heading1"/>
        <w:numPr>
          <w:ilvl w:val="0"/>
          <w:numId w:val="0"/>
        </w:numPr>
        <w:ind w:left="357"/>
      </w:pPr>
      <w:bookmarkStart w:id="126" w:name="_Toc54966665"/>
      <w:r w:rsidRPr="00E52513">
        <w:lastRenderedPageBreak/>
        <w:t xml:space="preserve">Appendix </w:t>
      </w:r>
      <w:r w:rsidR="008D5B4D" w:rsidRPr="00E52513">
        <w:t>3</w:t>
      </w:r>
      <w:r w:rsidRPr="00E52513">
        <w:t>: NICRS model of care</w:t>
      </w:r>
      <w:bookmarkEnd w:id="126"/>
    </w:p>
    <w:p w14:paraId="6BF21EFF" w14:textId="77777777" w:rsidR="002F3929" w:rsidRPr="00E52513" w:rsidRDefault="002F3929" w:rsidP="002F3929">
      <w:pPr>
        <w:spacing w:line="276" w:lineRule="auto"/>
      </w:pPr>
      <w:r w:rsidRPr="00E52513">
        <w:rPr>
          <w:noProof/>
          <w:lang w:eastAsia="en-AU"/>
        </w:rPr>
        <w:drawing>
          <wp:inline distT="0" distB="0" distL="0" distR="0" wp14:anchorId="23740B74" wp14:editId="0DC87E3A">
            <wp:extent cx="8665200" cy="4716000"/>
            <wp:effectExtent l="0" t="0" r="3175" b="8890"/>
            <wp:docPr id="44" name="Picture 44" descr="Model of care can be accessed at www.thirrili.com.au" title="Screenshot of NICRS model of car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65200" cy="4716000"/>
                    </a:xfrm>
                    <a:prstGeom prst="rect">
                      <a:avLst/>
                    </a:prstGeom>
                    <a:noFill/>
                  </pic:spPr>
                </pic:pic>
              </a:graphicData>
            </a:graphic>
          </wp:inline>
        </w:drawing>
      </w:r>
    </w:p>
    <w:p w14:paraId="774815AA" w14:textId="2ABFD042" w:rsidR="002F3929" w:rsidRPr="00C200C1" w:rsidRDefault="002F3929" w:rsidP="00C200C1">
      <w:pPr>
        <w:rPr>
          <w:i/>
          <w:iCs/>
          <w:sz w:val="20"/>
        </w:rPr>
        <w:sectPr w:rsidR="002F3929" w:rsidRPr="00C200C1" w:rsidSect="008C6286">
          <w:pgSz w:w="16838" w:h="11906" w:orient="landscape"/>
          <w:pgMar w:top="1440" w:right="1440" w:bottom="1440" w:left="1440" w:header="709" w:footer="454" w:gutter="0"/>
          <w:cols w:space="708"/>
          <w:docGrid w:linePitch="360"/>
        </w:sectPr>
      </w:pPr>
      <w:r w:rsidRPr="00E52513">
        <w:rPr>
          <w:i/>
          <w:iCs/>
          <w:sz w:val="20"/>
        </w:rPr>
        <w:t>So</w:t>
      </w:r>
      <w:r w:rsidR="00C200C1">
        <w:rPr>
          <w:i/>
          <w:iCs/>
          <w:sz w:val="20"/>
        </w:rPr>
        <w:t>urce: NICRS Model of Care, v1.0</w:t>
      </w:r>
    </w:p>
    <w:p w14:paraId="0D8EAF5F" w14:textId="2E5C0D7E" w:rsidR="00C72CD0" w:rsidRPr="00E52513" w:rsidRDefault="00C72CD0" w:rsidP="00C72CD0">
      <w:pPr>
        <w:pStyle w:val="Heading1"/>
        <w:numPr>
          <w:ilvl w:val="0"/>
          <w:numId w:val="0"/>
        </w:numPr>
        <w:spacing w:before="0"/>
        <w:ind w:left="432" w:hanging="432"/>
      </w:pPr>
      <w:bookmarkStart w:id="127" w:name="_Toc54966666"/>
      <w:r w:rsidRPr="00E52513">
        <w:lastRenderedPageBreak/>
        <w:t xml:space="preserve">Appendix </w:t>
      </w:r>
      <w:r w:rsidR="008D5B4D" w:rsidRPr="00E52513">
        <w:t>4</w:t>
      </w:r>
      <w:r w:rsidRPr="00E52513">
        <w:t xml:space="preserve">: </w:t>
      </w:r>
      <w:proofErr w:type="spellStart"/>
      <w:r w:rsidRPr="00E52513">
        <w:t>Thirrili</w:t>
      </w:r>
      <w:proofErr w:type="spellEnd"/>
      <w:r w:rsidRPr="00E52513">
        <w:t xml:space="preserve"> organisational policies</w:t>
      </w:r>
      <w:bookmarkEnd w:id="127"/>
    </w:p>
    <w:p w14:paraId="35EA8204" w14:textId="6A806335" w:rsidR="00C72CD0" w:rsidRPr="00E52513" w:rsidRDefault="00C72CD0" w:rsidP="00C72CD0">
      <w:r w:rsidRPr="00E52513">
        <w:t xml:space="preserve">This is the list of organisational policies provided to HCA as the guiding policies for </w:t>
      </w:r>
      <w:proofErr w:type="spellStart"/>
      <w:r w:rsidRPr="00E52513">
        <w:t>Thirrili</w:t>
      </w:r>
      <w:proofErr w:type="spellEnd"/>
      <w:r w:rsidRPr="00E52513">
        <w:t xml:space="preserve"> as at February 2020. The colour coding provides an indication of: a) </w:t>
      </w:r>
      <w:r w:rsidR="008040F0" w:rsidRPr="00E52513">
        <w:t xml:space="preserve">core foundational policies for </w:t>
      </w:r>
      <w:proofErr w:type="spellStart"/>
      <w:r w:rsidR="008040F0" w:rsidRPr="00E52513">
        <w:t>Thirrili</w:t>
      </w:r>
      <w:proofErr w:type="spellEnd"/>
      <w:r w:rsidR="008040F0" w:rsidRPr="00E52513">
        <w:t>, and</w:t>
      </w:r>
      <w:r w:rsidR="008759E9" w:rsidRPr="00E52513">
        <w:t>,</w:t>
      </w:r>
      <w:r w:rsidR="008040F0" w:rsidRPr="00E52513">
        <w:t xml:space="preserve"> b)</w:t>
      </w:r>
      <w:r w:rsidRPr="00E52513">
        <w:t xml:space="preserve"> </w:t>
      </w:r>
      <w:r w:rsidR="008040F0" w:rsidRPr="00E52513">
        <w:t xml:space="preserve">policies specific to the </w:t>
      </w:r>
      <w:r w:rsidR="006C150B" w:rsidRPr="00E52513">
        <w:t>NICRS</w:t>
      </w:r>
      <w:r w:rsidRPr="00E52513">
        <w:t>.</w:t>
      </w:r>
    </w:p>
    <w:tbl>
      <w:tblPr>
        <w:tblStyle w:val="MediumGrid3-Accent6"/>
        <w:tblW w:w="9464" w:type="dxa"/>
        <w:tblLook w:val="06A0" w:firstRow="1" w:lastRow="0" w:firstColumn="1" w:lastColumn="0" w:noHBand="1" w:noVBand="1"/>
        <w:tblCaption w:val="Table - list of policies developed by Thirrili"/>
        <w:tblDescription w:val="Policies are listed according to categories in the left hand column - categories are human resources, facilities and resources, compliance with legislation and regulations, safe systems of work, marketing, culturall effective practice, risk management, essential elements of a robust wellbeing governance framework, miscellaneous.  The right hand two columns indicate with a tick whether a policy is a core organisational policy or an NICRS-specific policy."/>
      </w:tblPr>
      <w:tblGrid>
        <w:gridCol w:w="1951"/>
        <w:gridCol w:w="5812"/>
        <w:gridCol w:w="695"/>
        <w:gridCol w:w="1006"/>
      </w:tblGrid>
      <w:tr w:rsidR="006C150B" w:rsidRPr="00E52513" w14:paraId="68E1F9BC" w14:textId="77777777" w:rsidTr="00841B5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51" w:type="dxa"/>
            <w:hideMark/>
          </w:tcPr>
          <w:p w14:paraId="008A9744" w14:textId="77777777" w:rsidR="00C72CD0" w:rsidRPr="00E52513" w:rsidRDefault="00C72CD0" w:rsidP="00AB51D7">
            <w:pPr>
              <w:rPr>
                <w:rFonts w:cs="Segoe UI"/>
                <w:lang w:eastAsia="en-AU"/>
              </w:rPr>
            </w:pPr>
            <w:r w:rsidRPr="00E52513">
              <w:rPr>
                <w:rFonts w:cs="Segoe UI"/>
                <w:lang w:eastAsia="en-AU"/>
              </w:rPr>
              <w:t>Policy type</w:t>
            </w:r>
          </w:p>
        </w:tc>
        <w:tc>
          <w:tcPr>
            <w:tcW w:w="5812" w:type="dxa"/>
            <w:hideMark/>
          </w:tcPr>
          <w:p w14:paraId="5FD9CDF0" w14:textId="5523294D" w:rsidR="00C72CD0" w:rsidRPr="00E52513" w:rsidRDefault="00C72CD0" w:rsidP="00AB51D7">
            <w:pPr>
              <w:cnfStyle w:val="100000000000" w:firstRow="1" w:lastRow="0" w:firstColumn="0" w:lastColumn="0" w:oddVBand="0" w:evenVBand="0" w:oddHBand="0" w:evenHBand="0" w:firstRowFirstColumn="0" w:firstRowLastColumn="0" w:lastRowFirstColumn="0" w:lastRowLastColumn="0"/>
              <w:rPr>
                <w:rFonts w:cs="Segoe UI"/>
                <w:lang w:eastAsia="en-AU"/>
              </w:rPr>
            </w:pPr>
            <w:r w:rsidRPr="00E52513">
              <w:rPr>
                <w:rFonts w:cs="Segoe UI"/>
                <w:lang w:eastAsia="en-AU"/>
              </w:rPr>
              <w:t xml:space="preserve">Policy </w:t>
            </w:r>
            <w:r w:rsidR="00ED7281" w:rsidRPr="00E52513">
              <w:rPr>
                <w:rFonts w:cs="Segoe UI"/>
                <w:lang w:eastAsia="en-AU"/>
              </w:rPr>
              <w:t>n</w:t>
            </w:r>
            <w:r w:rsidRPr="00E52513">
              <w:rPr>
                <w:rFonts w:cs="Segoe UI"/>
                <w:lang w:eastAsia="en-AU"/>
              </w:rPr>
              <w:t>ame</w:t>
            </w:r>
          </w:p>
        </w:tc>
        <w:tc>
          <w:tcPr>
            <w:tcW w:w="695" w:type="dxa"/>
          </w:tcPr>
          <w:p w14:paraId="05CA5F39" w14:textId="59831739" w:rsidR="00C72CD0" w:rsidRPr="00E52513" w:rsidRDefault="00C72CD0" w:rsidP="00AB51D7">
            <w:pPr>
              <w:jc w:val="center"/>
              <w:cnfStyle w:val="100000000000" w:firstRow="1" w:lastRow="0" w:firstColumn="0" w:lastColumn="0" w:oddVBand="0" w:evenVBand="0" w:oddHBand="0" w:evenHBand="0" w:firstRowFirstColumn="0" w:firstRowLastColumn="0" w:lastRowFirstColumn="0" w:lastRowLastColumn="0"/>
              <w:rPr>
                <w:rFonts w:cs="Segoe UI"/>
                <w:bCs w:val="0"/>
                <w:lang w:eastAsia="en-AU"/>
              </w:rPr>
            </w:pPr>
            <w:r w:rsidRPr="00E52513">
              <w:rPr>
                <w:rFonts w:cs="Segoe UI"/>
                <w:bCs w:val="0"/>
                <w:lang w:eastAsia="en-AU"/>
              </w:rPr>
              <w:t>Core</w:t>
            </w:r>
          </w:p>
        </w:tc>
        <w:tc>
          <w:tcPr>
            <w:tcW w:w="1006" w:type="dxa"/>
          </w:tcPr>
          <w:p w14:paraId="348293D5" w14:textId="6FF6BD23" w:rsidR="00C72CD0" w:rsidRPr="00E52513" w:rsidRDefault="00C72CD0" w:rsidP="00AB51D7">
            <w:pPr>
              <w:jc w:val="center"/>
              <w:cnfStyle w:val="100000000000" w:firstRow="1" w:lastRow="0" w:firstColumn="0" w:lastColumn="0" w:oddVBand="0" w:evenVBand="0" w:oddHBand="0" w:evenHBand="0" w:firstRowFirstColumn="0" w:firstRowLastColumn="0" w:lastRowFirstColumn="0" w:lastRowLastColumn="0"/>
              <w:rPr>
                <w:rFonts w:cs="Segoe UI"/>
                <w:bCs w:val="0"/>
                <w:lang w:eastAsia="en-AU"/>
              </w:rPr>
            </w:pPr>
            <w:r w:rsidRPr="00E52513">
              <w:rPr>
                <w:rFonts w:cs="Segoe UI"/>
                <w:bCs w:val="0"/>
                <w:lang w:eastAsia="en-AU"/>
              </w:rPr>
              <w:t>NICRS</w:t>
            </w:r>
          </w:p>
        </w:tc>
      </w:tr>
      <w:tr w:rsidR="006C150B" w:rsidRPr="00E52513" w14:paraId="4B9FEA37" w14:textId="106E240E" w:rsidTr="00673EB6">
        <w:trPr>
          <w:trHeight w:val="226"/>
        </w:trPr>
        <w:tc>
          <w:tcPr>
            <w:cnfStyle w:val="001000000000" w:firstRow="0" w:lastRow="0" w:firstColumn="1" w:lastColumn="0" w:oddVBand="0" w:evenVBand="0" w:oddHBand="0" w:evenHBand="0" w:firstRowFirstColumn="0" w:firstRowLastColumn="0" w:lastRowFirstColumn="0" w:lastRowLastColumn="0"/>
            <w:tcW w:w="1951" w:type="dxa"/>
            <w:hideMark/>
          </w:tcPr>
          <w:p w14:paraId="3F7225EB" w14:textId="77777777" w:rsidR="00C72CD0" w:rsidRPr="00E52513" w:rsidRDefault="00C72CD0" w:rsidP="00AB51D7">
            <w:pPr>
              <w:rPr>
                <w:rFonts w:cs="Segoe UI"/>
                <w:lang w:eastAsia="en-AU"/>
              </w:rPr>
            </w:pPr>
            <w:r w:rsidRPr="00E52513">
              <w:rPr>
                <w:rFonts w:cs="Segoe UI"/>
                <w:lang w:eastAsia="en-AU"/>
              </w:rPr>
              <w:t>Human resources</w:t>
            </w:r>
          </w:p>
        </w:tc>
        <w:tc>
          <w:tcPr>
            <w:tcW w:w="5812" w:type="dxa"/>
            <w:hideMark/>
          </w:tcPr>
          <w:p w14:paraId="19256BA9"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Supervision policy</w:t>
            </w:r>
          </w:p>
        </w:tc>
        <w:tc>
          <w:tcPr>
            <w:tcW w:w="695" w:type="dxa"/>
          </w:tcPr>
          <w:p w14:paraId="6F8268AC"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6C69E01C" w14:textId="4973426F"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65FA1CB7" w14:textId="34C786C3"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50E9262F" w14:textId="77777777" w:rsidR="00C72CD0" w:rsidRPr="00E52513" w:rsidRDefault="00C72CD0" w:rsidP="00AB51D7">
            <w:pPr>
              <w:rPr>
                <w:rFonts w:cs="Segoe UI"/>
                <w:lang w:eastAsia="en-AU"/>
              </w:rPr>
            </w:pPr>
          </w:p>
        </w:tc>
        <w:tc>
          <w:tcPr>
            <w:tcW w:w="5812" w:type="dxa"/>
          </w:tcPr>
          <w:p w14:paraId="1B6AA9A0"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Learning and development policy</w:t>
            </w:r>
          </w:p>
        </w:tc>
        <w:tc>
          <w:tcPr>
            <w:tcW w:w="695" w:type="dxa"/>
          </w:tcPr>
          <w:p w14:paraId="24B3145C"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6589B297" w14:textId="327A5F5C"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7CC433FA" w14:textId="6E953D32"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472C7E28" w14:textId="77777777" w:rsidR="00C72CD0" w:rsidRPr="00E52513" w:rsidRDefault="00C72CD0" w:rsidP="00AB51D7">
            <w:pPr>
              <w:rPr>
                <w:rFonts w:cs="Segoe UI"/>
                <w:lang w:eastAsia="en-AU"/>
              </w:rPr>
            </w:pPr>
          </w:p>
        </w:tc>
        <w:tc>
          <w:tcPr>
            <w:tcW w:w="5812" w:type="dxa"/>
          </w:tcPr>
          <w:p w14:paraId="10F0B108"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Management responsibilities policy</w:t>
            </w:r>
          </w:p>
        </w:tc>
        <w:tc>
          <w:tcPr>
            <w:tcW w:w="695" w:type="dxa"/>
          </w:tcPr>
          <w:p w14:paraId="589A1AED"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6E59880B" w14:textId="1BA9188D"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A4F4E24" w14:textId="7BC508F3" w:rsidTr="00673EB6">
        <w:trPr>
          <w:trHeight w:val="255"/>
        </w:trPr>
        <w:tc>
          <w:tcPr>
            <w:cnfStyle w:val="001000000000" w:firstRow="0" w:lastRow="0" w:firstColumn="1" w:lastColumn="0" w:oddVBand="0" w:evenVBand="0" w:oddHBand="0" w:evenHBand="0" w:firstRowFirstColumn="0" w:firstRowLastColumn="0" w:lastRowFirstColumn="0" w:lastRowLastColumn="0"/>
            <w:tcW w:w="1951" w:type="dxa"/>
          </w:tcPr>
          <w:p w14:paraId="0E0B073E" w14:textId="77777777" w:rsidR="006C150B" w:rsidRPr="00E52513" w:rsidRDefault="006C150B" w:rsidP="00AB51D7">
            <w:pPr>
              <w:rPr>
                <w:rFonts w:cs="Segoe UI"/>
                <w:lang w:eastAsia="en-AU"/>
              </w:rPr>
            </w:pPr>
          </w:p>
        </w:tc>
        <w:tc>
          <w:tcPr>
            <w:tcW w:w="5812" w:type="dxa"/>
          </w:tcPr>
          <w:p w14:paraId="58218DF1"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Equity and diversity policy</w:t>
            </w:r>
          </w:p>
        </w:tc>
        <w:tc>
          <w:tcPr>
            <w:tcW w:w="695" w:type="dxa"/>
          </w:tcPr>
          <w:p w14:paraId="68CED8AE" w14:textId="6234E1A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0F55554"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674BAE0D" w14:textId="6ED74583"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6F756AA8" w14:textId="77777777" w:rsidR="006C150B" w:rsidRPr="00E52513" w:rsidRDefault="006C150B" w:rsidP="00AB51D7">
            <w:pPr>
              <w:rPr>
                <w:rFonts w:cs="Segoe UI"/>
                <w:lang w:eastAsia="en-AU"/>
              </w:rPr>
            </w:pPr>
          </w:p>
        </w:tc>
        <w:tc>
          <w:tcPr>
            <w:tcW w:w="5812" w:type="dxa"/>
            <w:hideMark/>
          </w:tcPr>
          <w:p w14:paraId="068995FD"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Recruitment policy and procedure</w:t>
            </w:r>
          </w:p>
        </w:tc>
        <w:tc>
          <w:tcPr>
            <w:tcW w:w="695" w:type="dxa"/>
          </w:tcPr>
          <w:p w14:paraId="6BAD0270" w14:textId="21C1F7D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392B62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801FF55" w14:textId="3E634199"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D6109D4" w14:textId="77777777" w:rsidR="006C150B" w:rsidRPr="00E52513" w:rsidRDefault="006C150B" w:rsidP="00AB51D7">
            <w:pPr>
              <w:rPr>
                <w:rFonts w:cs="Segoe UI"/>
                <w:lang w:eastAsia="en-AU"/>
              </w:rPr>
            </w:pPr>
          </w:p>
        </w:tc>
        <w:tc>
          <w:tcPr>
            <w:tcW w:w="5812" w:type="dxa"/>
            <w:hideMark/>
          </w:tcPr>
          <w:p w14:paraId="6EC2F370"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Police check policy and procedure</w:t>
            </w:r>
          </w:p>
        </w:tc>
        <w:tc>
          <w:tcPr>
            <w:tcW w:w="695" w:type="dxa"/>
          </w:tcPr>
          <w:p w14:paraId="2212CCD2" w14:textId="294EF9E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00D86A58"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AAC6E3E" w14:textId="09746AB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FAD2C16" w14:textId="77777777" w:rsidR="006C150B" w:rsidRPr="00E52513" w:rsidRDefault="006C150B" w:rsidP="00AB51D7">
            <w:pPr>
              <w:rPr>
                <w:rFonts w:cs="Segoe UI"/>
                <w:lang w:eastAsia="en-AU"/>
              </w:rPr>
            </w:pPr>
          </w:p>
        </w:tc>
        <w:tc>
          <w:tcPr>
            <w:tcW w:w="5812" w:type="dxa"/>
            <w:hideMark/>
          </w:tcPr>
          <w:p w14:paraId="0180F10F"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Working with Children/Vulnerable People Check</w:t>
            </w:r>
          </w:p>
        </w:tc>
        <w:tc>
          <w:tcPr>
            <w:tcW w:w="695" w:type="dxa"/>
          </w:tcPr>
          <w:p w14:paraId="61AD7111" w14:textId="55D70A15"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22DCF09"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1331BF98" w14:textId="426C5D3B"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40E174A" w14:textId="77777777" w:rsidR="006C150B" w:rsidRPr="00E52513" w:rsidRDefault="006C150B" w:rsidP="00AB51D7">
            <w:pPr>
              <w:rPr>
                <w:rFonts w:cs="Segoe UI"/>
                <w:lang w:eastAsia="en-AU"/>
              </w:rPr>
            </w:pPr>
          </w:p>
        </w:tc>
        <w:tc>
          <w:tcPr>
            <w:tcW w:w="5812" w:type="dxa"/>
            <w:hideMark/>
          </w:tcPr>
          <w:p w14:paraId="3BA06439"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Leave Policy (including Cultural Leave)</w:t>
            </w:r>
          </w:p>
        </w:tc>
        <w:tc>
          <w:tcPr>
            <w:tcW w:w="695" w:type="dxa"/>
          </w:tcPr>
          <w:p w14:paraId="47DF758B" w14:textId="35AAB3AD"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2417135"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6FBCA978" w14:textId="33A0D0C0"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768FD85F" w14:textId="77777777" w:rsidR="00C72CD0" w:rsidRPr="00E52513" w:rsidRDefault="00C72CD0" w:rsidP="00AB51D7">
            <w:pPr>
              <w:rPr>
                <w:rFonts w:cs="Segoe UI"/>
                <w:lang w:eastAsia="en-AU"/>
              </w:rPr>
            </w:pPr>
          </w:p>
        </w:tc>
        <w:tc>
          <w:tcPr>
            <w:tcW w:w="5812" w:type="dxa"/>
            <w:hideMark/>
          </w:tcPr>
          <w:p w14:paraId="076CB086"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Professional development</w:t>
            </w:r>
          </w:p>
        </w:tc>
        <w:tc>
          <w:tcPr>
            <w:tcW w:w="695" w:type="dxa"/>
          </w:tcPr>
          <w:p w14:paraId="2A6AD77E"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3B752F11" w14:textId="52970F99"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746ACA4" w14:textId="199B666F"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33BE418D" w14:textId="77777777" w:rsidR="006C150B" w:rsidRPr="00E52513" w:rsidRDefault="006C150B" w:rsidP="00AB51D7">
            <w:pPr>
              <w:rPr>
                <w:rFonts w:cs="Segoe UI"/>
                <w:lang w:eastAsia="en-AU"/>
              </w:rPr>
            </w:pPr>
          </w:p>
        </w:tc>
        <w:tc>
          <w:tcPr>
            <w:tcW w:w="5812" w:type="dxa"/>
            <w:hideMark/>
          </w:tcPr>
          <w:p w14:paraId="24E599B6"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Probation policy</w:t>
            </w:r>
          </w:p>
        </w:tc>
        <w:tc>
          <w:tcPr>
            <w:tcW w:w="695" w:type="dxa"/>
          </w:tcPr>
          <w:p w14:paraId="3F482208" w14:textId="3D58474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9B58032"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BC665E1" w14:textId="4303F02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D59DB09" w14:textId="77777777" w:rsidR="006C150B" w:rsidRPr="00E52513" w:rsidRDefault="006C150B" w:rsidP="00AB51D7">
            <w:pPr>
              <w:rPr>
                <w:rFonts w:cs="Segoe UI"/>
                <w:lang w:eastAsia="en-AU"/>
              </w:rPr>
            </w:pPr>
          </w:p>
        </w:tc>
        <w:tc>
          <w:tcPr>
            <w:tcW w:w="5812" w:type="dxa"/>
            <w:hideMark/>
          </w:tcPr>
          <w:p w14:paraId="4B349860"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 xml:space="preserve">Disciplinary policy and procedure </w:t>
            </w:r>
          </w:p>
        </w:tc>
        <w:tc>
          <w:tcPr>
            <w:tcW w:w="695" w:type="dxa"/>
          </w:tcPr>
          <w:p w14:paraId="53A320BD" w14:textId="7EB3840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09200679"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60B7307" w14:textId="2CA4F353"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53F3BC2" w14:textId="77777777" w:rsidR="006C150B" w:rsidRPr="00E52513" w:rsidRDefault="006C150B" w:rsidP="00AB51D7">
            <w:pPr>
              <w:rPr>
                <w:rFonts w:cs="Segoe UI"/>
                <w:lang w:eastAsia="en-AU"/>
              </w:rPr>
            </w:pPr>
          </w:p>
        </w:tc>
        <w:tc>
          <w:tcPr>
            <w:tcW w:w="5812" w:type="dxa"/>
            <w:hideMark/>
          </w:tcPr>
          <w:p w14:paraId="25E46535"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Complaints and Grievance Policy</w:t>
            </w:r>
          </w:p>
        </w:tc>
        <w:tc>
          <w:tcPr>
            <w:tcW w:w="695" w:type="dxa"/>
          </w:tcPr>
          <w:p w14:paraId="118762B3" w14:textId="47DDB9F8"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F1786C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060F7F8A" w14:textId="549B4388"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048A60A" w14:textId="77777777" w:rsidR="00C72CD0" w:rsidRPr="00E52513" w:rsidRDefault="00C72CD0" w:rsidP="00AB51D7">
            <w:pPr>
              <w:rPr>
                <w:rFonts w:cs="Segoe UI"/>
                <w:lang w:eastAsia="en-AU"/>
              </w:rPr>
            </w:pPr>
          </w:p>
        </w:tc>
        <w:tc>
          <w:tcPr>
            <w:tcW w:w="5812" w:type="dxa"/>
            <w:hideMark/>
          </w:tcPr>
          <w:p w14:paraId="3E16A6F3"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 xml:space="preserve">Code of conduct - Staff </w:t>
            </w:r>
          </w:p>
        </w:tc>
        <w:tc>
          <w:tcPr>
            <w:tcW w:w="695" w:type="dxa"/>
          </w:tcPr>
          <w:p w14:paraId="2A05F20C"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637AA92C" w14:textId="460DF18E"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36ED3E6" w14:textId="73B8E4FB"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1B9C7AA5" w14:textId="77777777" w:rsidR="006C150B" w:rsidRPr="00E52513" w:rsidRDefault="006C150B" w:rsidP="00AB51D7">
            <w:pPr>
              <w:rPr>
                <w:rFonts w:cs="Segoe UI"/>
                <w:lang w:eastAsia="en-AU"/>
              </w:rPr>
            </w:pPr>
          </w:p>
        </w:tc>
        <w:tc>
          <w:tcPr>
            <w:tcW w:w="5812" w:type="dxa"/>
            <w:hideMark/>
          </w:tcPr>
          <w:p w14:paraId="5D19D78B"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Conflict of interest</w:t>
            </w:r>
          </w:p>
        </w:tc>
        <w:tc>
          <w:tcPr>
            <w:tcW w:w="695" w:type="dxa"/>
          </w:tcPr>
          <w:p w14:paraId="09C7C414" w14:textId="1B1C41F8"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173575E2"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F8C86DE" w14:textId="78F82CF3" w:rsidTr="00673EB6">
        <w:trPr>
          <w:trHeight w:val="345"/>
        </w:trPr>
        <w:tc>
          <w:tcPr>
            <w:cnfStyle w:val="001000000000" w:firstRow="0" w:lastRow="0" w:firstColumn="1" w:lastColumn="0" w:oddVBand="0" w:evenVBand="0" w:oddHBand="0" w:evenHBand="0" w:firstRowFirstColumn="0" w:firstRowLastColumn="0" w:lastRowFirstColumn="0" w:lastRowLastColumn="0"/>
            <w:tcW w:w="1951" w:type="dxa"/>
            <w:hideMark/>
          </w:tcPr>
          <w:p w14:paraId="0DC407AF" w14:textId="77777777" w:rsidR="006C150B" w:rsidRPr="00E52513" w:rsidRDefault="006C150B" w:rsidP="00AB51D7">
            <w:pPr>
              <w:rPr>
                <w:rFonts w:cs="Segoe UI"/>
                <w:lang w:eastAsia="en-AU"/>
              </w:rPr>
            </w:pPr>
          </w:p>
        </w:tc>
        <w:tc>
          <w:tcPr>
            <w:tcW w:w="5812" w:type="dxa"/>
            <w:hideMark/>
          </w:tcPr>
          <w:p w14:paraId="346771FB"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Professional Development and Performance Reviews Policy</w:t>
            </w:r>
          </w:p>
        </w:tc>
        <w:tc>
          <w:tcPr>
            <w:tcW w:w="695" w:type="dxa"/>
          </w:tcPr>
          <w:p w14:paraId="28B385C2" w14:textId="261B92E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63E15BE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156676C" w14:textId="57900097"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D1EE6F0" w14:textId="77777777" w:rsidR="006C150B" w:rsidRPr="00E52513" w:rsidRDefault="006C150B" w:rsidP="00AB51D7">
            <w:pPr>
              <w:rPr>
                <w:rFonts w:cs="Segoe UI"/>
                <w:lang w:eastAsia="en-AU"/>
              </w:rPr>
            </w:pPr>
          </w:p>
        </w:tc>
        <w:tc>
          <w:tcPr>
            <w:tcW w:w="5812" w:type="dxa"/>
            <w:hideMark/>
          </w:tcPr>
          <w:p w14:paraId="358E5B6E"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 xml:space="preserve">New Employee Induction </w:t>
            </w:r>
          </w:p>
        </w:tc>
        <w:tc>
          <w:tcPr>
            <w:tcW w:w="695" w:type="dxa"/>
          </w:tcPr>
          <w:p w14:paraId="6A9188D4" w14:textId="0AE03AA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A737FD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00352B3" w14:textId="4BFD2769"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ACA799E" w14:textId="77777777" w:rsidR="006C150B" w:rsidRPr="00E52513" w:rsidRDefault="006C150B" w:rsidP="00AB51D7">
            <w:pPr>
              <w:rPr>
                <w:rFonts w:cs="Segoe UI"/>
                <w:lang w:eastAsia="en-AU"/>
              </w:rPr>
            </w:pPr>
          </w:p>
        </w:tc>
        <w:tc>
          <w:tcPr>
            <w:tcW w:w="5812" w:type="dxa"/>
            <w:hideMark/>
          </w:tcPr>
          <w:p w14:paraId="24A88502"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Bullying and Harassment Policy</w:t>
            </w:r>
          </w:p>
        </w:tc>
        <w:tc>
          <w:tcPr>
            <w:tcW w:w="695" w:type="dxa"/>
          </w:tcPr>
          <w:p w14:paraId="34B5B55B" w14:textId="573801F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9DDD716"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D80B5AC" w14:textId="5E914F1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A8886FA" w14:textId="77777777" w:rsidR="006C150B" w:rsidRPr="00E52513" w:rsidRDefault="006C150B" w:rsidP="00AB51D7">
            <w:pPr>
              <w:rPr>
                <w:rFonts w:cs="Segoe UI"/>
                <w:lang w:eastAsia="en-AU"/>
              </w:rPr>
            </w:pPr>
          </w:p>
        </w:tc>
        <w:tc>
          <w:tcPr>
            <w:tcW w:w="5812" w:type="dxa"/>
            <w:hideMark/>
          </w:tcPr>
          <w:p w14:paraId="72AEF88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Family violence leave</w:t>
            </w:r>
          </w:p>
        </w:tc>
        <w:tc>
          <w:tcPr>
            <w:tcW w:w="695" w:type="dxa"/>
          </w:tcPr>
          <w:p w14:paraId="723863A0" w14:textId="1AB0825A"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0793247C"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0BC3396B" w14:textId="32EB4C57"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DC65989" w14:textId="77777777" w:rsidR="006C150B" w:rsidRPr="00E52513" w:rsidRDefault="006C150B" w:rsidP="00AB51D7">
            <w:pPr>
              <w:rPr>
                <w:rFonts w:cs="Segoe UI"/>
                <w:lang w:eastAsia="en-AU"/>
              </w:rPr>
            </w:pPr>
            <w:r w:rsidRPr="00E52513">
              <w:rPr>
                <w:rFonts w:cs="Segoe UI"/>
                <w:lang w:eastAsia="en-AU"/>
              </w:rPr>
              <w:t xml:space="preserve">Facilities and resources </w:t>
            </w:r>
          </w:p>
        </w:tc>
        <w:tc>
          <w:tcPr>
            <w:tcW w:w="5812" w:type="dxa"/>
            <w:hideMark/>
          </w:tcPr>
          <w:p w14:paraId="0D658C47"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Asset policy including assets register</w:t>
            </w:r>
          </w:p>
        </w:tc>
        <w:tc>
          <w:tcPr>
            <w:tcW w:w="695" w:type="dxa"/>
          </w:tcPr>
          <w:p w14:paraId="212373B6" w14:textId="008588D2"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07DC6E4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1D5BD494" w14:textId="2E7FC7B4"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B7E6522" w14:textId="77777777" w:rsidR="006C150B" w:rsidRPr="00E52513" w:rsidRDefault="006C150B" w:rsidP="00AB51D7">
            <w:pPr>
              <w:rPr>
                <w:rFonts w:cs="Segoe UI"/>
                <w:lang w:eastAsia="en-AU"/>
              </w:rPr>
            </w:pPr>
          </w:p>
        </w:tc>
        <w:tc>
          <w:tcPr>
            <w:tcW w:w="5812" w:type="dxa"/>
            <w:hideMark/>
          </w:tcPr>
          <w:p w14:paraId="1AFAAA16"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Environmental policy</w:t>
            </w:r>
          </w:p>
        </w:tc>
        <w:tc>
          <w:tcPr>
            <w:tcW w:w="695" w:type="dxa"/>
          </w:tcPr>
          <w:p w14:paraId="6A6E9E6F" w14:textId="1DDE96C4"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71D0E6B"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709A6A5" w14:textId="30BF0A65"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66F6E949" w14:textId="77777777" w:rsidR="006C150B" w:rsidRPr="00E52513" w:rsidRDefault="006C150B" w:rsidP="00AB51D7">
            <w:pPr>
              <w:rPr>
                <w:rFonts w:cs="Segoe UI"/>
                <w:lang w:eastAsia="en-AU"/>
              </w:rPr>
            </w:pPr>
          </w:p>
        </w:tc>
        <w:tc>
          <w:tcPr>
            <w:tcW w:w="5812" w:type="dxa"/>
            <w:hideMark/>
          </w:tcPr>
          <w:p w14:paraId="29608637"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Investment policy</w:t>
            </w:r>
          </w:p>
        </w:tc>
        <w:tc>
          <w:tcPr>
            <w:tcW w:w="695" w:type="dxa"/>
          </w:tcPr>
          <w:p w14:paraId="752F5A37" w14:textId="7F4A92B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2BFE9158"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3FDD45A" w14:textId="601AAFD6"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84B10C3" w14:textId="77777777" w:rsidR="006C150B" w:rsidRPr="00E52513" w:rsidRDefault="006C150B" w:rsidP="00AB51D7">
            <w:pPr>
              <w:rPr>
                <w:rFonts w:cs="Segoe UI"/>
                <w:lang w:eastAsia="en-AU"/>
              </w:rPr>
            </w:pPr>
          </w:p>
        </w:tc>
        <w:tc>
          <w:tcPr>
            <w:tcW w:w="5812" w:type="dxa"/>
            <w:hideMark/>
          </w:tcPr>
          <w:p w14:paraId="02CED63F"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Financial delegations</w:t>
            </w:r>
          </w:p>
        </w:tc>
        <w:tc>
          <w:tcPr>
            <w:tcW w:w="695" w:type="dxa"/>
          </w:tcPr>
          <w:p w14:paraId="376E0383" w14:textId="6AEADCE4"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AD8A0E5"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C5631CB" w14:textId="63A1709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BC853A5" w14:textId="77777777" w:rsidR="006C150B" w:rsidRPr="00E52513" w:rsidRDefault="006C150B" w:rsidP="00AB51D7">
            <w:pPr>
              <w:rPr>
                <w:rFonts w:cs="Segoe UI"/>
                <w:lang w:eastAsia="en-AU"/>
              </w:rPr>
            </w:pPr>
          </w:p>
        </w:tc>
        <w:tc>
          <w:tcPr>
            <w:tcW w:w="5812" w:type="dxa"/>
            <w:hideMark/>
          </w:tcPr>
          <w:p w14:paraId="5F3DAE57"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Financial controls policy</w:t>
            </w:r>
          </w:p>
        </w:tc>
        <w:tc>
          <w:tcPr>
            <w:tcW w:w="695" w:type="dxa"/>
          </w:tcPr>
          <w:p w14:paraId="3F849D02" w14:textId="4F2902A6"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36862C9"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68949CB9" w14:textId="16A2996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71C1320D" w14:textId="77777777" w:rsidR="006C150B" w:rsidRPr="00E52513" w:rsidRDefault="006C150B" w:rsidP="00AB51D7">
            <w:pPr>
              <w:rPr>
                <w:rFonts w:cs="Segoe UI"/>
                <w:lang w:eastAsia="en-AU"/>
              </w:rPr>
            </w:pPr>
          </w:p>
        </w:tc>
        <w:tc>
          <w:tcPr>
            <w:tcW w:w="5812" w:type="dxa"/>
            <w:hideMark/>
          </w:tcPr>
          <w:p w14:paraId="1BAA1FDA"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Business credit card policy</w:t>
            </w:r>
          </w:p>
        </w:tc>
        <w:tc>
          <w:tcPr>
            <w:tcW w:w="695" w:type="dxa"/>
          </w:tcPr>
          <w:p w14:paraId="4CC67D26" w14:textId="735782D4"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6E2E857"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67A1693" w14:textId="79F84418" w:rsidTr="00673EB6">
        <w:trPr>
          <w:trHeight w:val="315"/>
        </w:trPr>
        <w:tc>
          <w:tcPr>
            <w:cnfStyle w:val="001000000000" w:firstRow="0" w:lastRow="0" w:firstColumn="1" w:lastColumn="0" w:oddVBand="0" w:evenVBand="0" w:oddHBand="0" w:evenHBand="0" w:firstRowFirstColumn="0" w:firstRowLastColumn="0" w:lastRowFirstColumn="0" w:lastRowLastColumn="0"/>
            <w:tcW w:w="1951" w:type="dxa"/>
            <w:hideMark/>
          </w:tcPr>
          <w:p w14:paraId="284D5DB2" w14:textId="77777777" w:rsidR="006C150B" w:rsidRPr="00E52513" w:rsidRDefault="006C150B" w:rsidP="00AB51D7">
            <w:pPr>
              <w:rPr>
                <w:rFonts w:cs="Segoe UI"/>
                <w:lang w:eastAsia="en-AU"/>
              </w:rPr>
            </w:pPr>
          </w:p>
        </w:tc>
        <w:tc>
          <w:tcPr>
            <w:tcW w:w="5812" w:type="dxa"/>
            <w:hideMark/>
          </w:tcPr>
          <w:p w14:paraId="3B102C2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Purchasing and Expenses Policy (Reimbursement of expenses)</w:t>
            </w:r>
          </w:p>
        </w:tc>
        <w:tc>
          <w:tcPr>
            <w:tcW w:w="695" w:type="dxa"/>
          </w:tcPr>
          <w:p w14:paraId="4793C4E1" w14:textId="7F42E7C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4593B8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8B7E7B7" w14:textId="2E4DE97C"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4C0F9C4" w14:textId="77777777" w:rsidR="006C150B" w:rsidRPr="00E52513" w:rsidRDefault="006C150B" w:rsidP="00AB51D7">
            <w:pPr>
              <w:rPr>
                <w:rFonts w:cs="Segoe UI"/>
                <w:lang w:eastAsia="en-AU"/>
              </w:rPr>
            </w:pPr>
          </w:p>
        </w:tc>
        <w:tc>
          <w:tcPr>
            <w:tcW w:w="5812" w:type="dxa"/>
            <w:hideMark/>
          </w:tcPr>
          <w:p w14:paraId="3A3AB17D"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Bank Account Policy</w:t>
            </w:r>
          </w:p>
        </w:tc>
        <w:tc>
          <w:tcPr>
            <w:tcW w:w="695" w:type="dxa"/>
          </w:tcPr>
          <w:p w14:paraId="6BB9CB85" w14:textId="44C2217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E031767"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60C6586" w14:textId="57A5D70F" w:rsidTr="00673EB6">
        <w:trPr>
          <w:trHeight w:val="600"/>
        </w:trPr>
        <w:tc>
          <w:tcPr>
            <w:cnfStyle w:val="001000000000" w:firstRow="0" w:lastRow="0" w:firstColumn="1" w:lastColumn="0" w:oddVBand="0" w:evenVBand="0" w:oddHBand="0" w:evenHBand="0" w:firstRowFirstColumn="0" w:firstRowLastColumn="0" w:lastRowFirstColumn="0" w:lastRowLastColumn="0"/>
            <w:tcW w:w="1951" w:type="dxa"/>
            <w:hideMark/>
          </w:tcPr>
          <w:p w14:paraId="4241597B" w14:textId="77777777" w:rsidR="00C72CD0" w:rsidRPr="00E52513" w:rsidRDefault="00C72CD0" w:rsidP="00AB51D7">
            <w:pPr>
              <w:rPr>
                <w:rFonts w:cs="Segoe UI"/>
                <w:lang w:eastAsia="en-AU"/>
              </w:rPr>
            </w:pPr>
          </w:p>
        </w:tc>
        <w:tc>
          <w:tcPr>
            <w:tcW w:w="5812" w:type="dxa"/>
            <w:hideMark/>
          </w:tcPr>
          <w:p w14:paraId="6012A337"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Client management and data security to ensure confidentiality and privacy (third party data sharing)</w:t>
            </w:r>
          </w:p>
        </w:tc>
        <w:tc>
          <w:tcPr>
            <w:tcW w:w="695" w:type="dxa"/>
          </w:tcPr>
          <w:p w14:paraId="0DA09F46"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1038320B" w14:textId="0905AA86"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0867C325" w14:textId="56E4906F" w:rsidTr="005E6F5C">
        <w:trPr>
          <w:trHeight w:val="30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79646"/>
            </w:tcBorders>
            <w:hideMark/>
          </w:tcPr>
          <w:p w14:paraId="649F98C6" w14:textId="77777777" w:rsidR="006C150B" w:rsidRPr="00E52513" w:rsidRDefault="006C150B" w:rsidP="00AB51D7">
            <w:pPr>
              <w:rPr>
                <w:rFonts w:cs="Segoe UI"/>
                <w:lang w:eastAsia="en-AU"/>
              </w:rPr>
            </w:pPr>
            <w:r w:rsidRPr="00E52513">
              <w:rPr>
                <w:rFonts w:cs="Segoe UI"/>
                <w:lang w:eastAsia="en-AU"/>
              </w:rPr>
              <w:t>Compliance with legislation and regulations</w:t>
            </w:r>
          </w:p>
        </w:tc>
        <w:tc>
          <w:tcPr>
            <w:tcW w:w="5812" w:type="dxa"/>
            <w:hideMark/>
          </w:tcPr>
          <w:p w14:paraId="59B4CEA0"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Legislative and regulatory compliance policy</w:t>
            </w:r>
          </w:p>
        </w:tc>
        <w:tc>
          <w:tcPr>
            <w:tcW w:w="695" w:type="dxa"/>
          </w:tcPr>
          <w:p w14:paraId="4F1BE75B" w14:textId="048AAE6B"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1985D442"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BBAC98D" w14:textId="3E2CAAF7" w:rsidTr="005E6F5C">
        <w:trPr>
          <w:trHeight w:val="3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79646"/>
              <w:bottom w:val="single" w:sz="4" w:space="0" w:color="F79646"/>
            </w:tcBorders>
            <w:hideMark/>
          </w:tcPr>
          <w:p w14:paraId="0FB60EF4" w14:textId="77777777" w:rsidR="006C150B" w:rsidRPr="00E52513" w:rsidRDefault="006C150B" w:rsidP="00AB51D7">
            <w:pPr>
              <w:rPr>
                <w:rFonts w:cs="Segoe UI"/>
                <w:lang w:eastAsia="en-AU"/>
              </w:rPr>
            </w:pPr>
          </w:p>
        </w:tc>
        <w:tc>
          <w:tcPr>
            <w:tcW w:w="5812" w:type="dxa"/>
            <w:hideMark/>
          </w:tcPr>
          <w:p w14:paraId="56685612"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Privacy policy</w:t>
            </w:r>
          </w:p>
        </w:tc>
        <w:tc>
          <w:tcPr>
            <w:tcW w:w="695" w:type="dxa"/>
          </w:tcPr>
          <w:p w14:paraId="71F190FE" w14:textId="5751FB4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2A7880B"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649D6522" w14:textId="001ADE53" w:rsidTr="005E6F5C">
        <w:trPr>
          <w:trHeight w:val="3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79646"/>
            </w:tcBorders>
            <w:hideMark/>
          </w:tcPr>
          <w:p w14:paraId="47D31E55" w14:textId="77777777" w:rsidR="006C150B" w:rsidRPr="00E52513" w:rsidRDefault="006C150B" w:rsidP="00AB51D7">
            <w:pPr>
              <w:rPr>
                <w:rFonts w:cs="Segoe UI"/>
                <w:lang w:eastAsia="en-AU"/>
              </w:rPr>
            </w:pPr>
          </w:p>
        </w:tc>
        <w:tc>
          <w:tcPr>
            <w:tcW w:w="5812" w:type="dxa"/>
            <w:hideMark/>
          </w:tcPr>
          <w:p w14:paraId="093F8351"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Client and Board confidentiality</w:t>
            </w:r>
          </w:p>
        </w:tc>
        <w:tc>
          <w:tcPr>
            <w:tcW w:w="695" w:type="dxa"/>
          </w:tcPr>
          <w:p w14:paraId="4B06A81B" w14:textId="7F21229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21CFBED7"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2A13164" w14:textId="39D909C9"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53DB7BA" w14:textId="77777777" w:rsidR="006C150B" w:rsidRPr="00E52513" w:rsidRDefault="006C150B" w:rsidP="00AB51D7">
            <w:pPr>
              <w:rPr>
                <w:rFonts w:cs="Segoe UI"/>
                <w:lang w:eastAsia="en-AU"/>
              </w:rPr>
            </w:pPr>
          </w:p>
        </w:tc>
        <w:tc>
          <w:tcPr>
            <w:tcW w:w="5812" w:type="dxa"/>
            <w:hideMark/>
          </w:tcPr>
          <w:p w14:paraId="2BBDFD0A"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Reporting serious wrongdoings policy</w:t>
            </w:r>
          </w:p>
        </w:tc>
        <w:tc>
          <w:tcPr>
            <w:tcW w:w="695" w:type="dxa"/>
          </w:tcPr>
          <w:p w14:paraId="1EE74FB1" w14:textId="3539C2BE"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5659376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505A1CF" w14:textId="37AFBDB7" w:rsidTr="00673EB6">
        <w:trPr>
          <w:trHeight w:val="315"/>
        </w:trPr>
        <w:tc>
          <w:tcPr>
            <w:cnfStyle w:val="001000000000" w:firstRow="0" w:lastRow="0" w:firstColumn="1" w:lastColumn="0" w:oddVBand="0" w:evenVBand="0" w:oddHBand="0" w:evenHBand="0" w:firstRowFirstColumn="0" w:firstRowLastColumn="0" w:lastRowFirstColumn="0" w:lastRowLastColumn="0"/>
            <w:tcW w:w="1951" w:type="dxa"/>
            <w:hideMark/>
          </w:tcPr>
          <w:p w14:paraId="6CF08B1D" w14:textId="77777777" w:rsidR="006C150B" w:rsidRPr="00E52513" w:rsidRDefault="006C150B" w:rsidP="00AB51D7">
            <w:pPr>
              <w:rPr>
                <w:rFonts w:cs="Segoe UI"/>
                <w:lang w:eastAsia="en-AU"/>
              </w:rPr>
            </w:pPr>
          </w:p>
        </w:tc>
        <w:tc>
          <w:tcPr>
            <w:tcW w:w="5812" w:type="dxa"/>
            <w:hideMark/>
          </w:tcPr>
          <w:p w14:paraId="6315C3CE"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Schedule of Employment Related Compliance Requirements</w:t>
            </w:r>
          </w:p>
        </w:tc>
        <w:tc>
          <w:tcPr>
            <w:tcW w:w="695" w:type="dxa"/>
          </w:tcPr>
          <w:p w14:paraId="46AAAAA0" w14:textId="03F0C77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6C0DF802"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D43030C" w14:textId="6EF05F75" w:rsidTr="00673EB6">
        <w:trPr>
          <w:trHeight w:val="285"/>
        </w:trPr>
        <w:tc>
          <w:tcPr>
            <w:cnfStyle w:val="001000000000" w:firstRow="0" w:lastRow="0" w:firstColumn="1" w:lastColumn="0" w:oddVBand="0" w:evenVBand="0" w:oddHBand="0" w:evenHBand="0" w:firstRowFirstColumn="0" w:firstRowLastColumn="0" w:lastRowFirstColumn="0" w:lastRowLastColumn="0"/>
            <w:tcW w:w="1951" w:type="dxa"/>
            <w:hideMark/>
          </w:tcPr>
          <w:p w14:paraId="541D5239" w14:textId="77777777" w:rsidR="00C72CD0" w:rsidRPr="00E52513" w:rsidRDefault="00C72CD0" w:rsidP="00AB51D7">
            <w:pPr>
              <w:rPr>
                <w:rFonts w:cs="Segoe UI"/>
                <w:lang w:eastAsia="en-AU"/>
              </w:rPr>
            </w:pPr>
          </w:p>
        </w:tc>
        <w:tc>
          <w:tcPr>
            <w:tcW w:w="5812" w:type="dxa"/>
            <w:hideMark/>
          </w:tcPr>
          <w:p w14:paraId="03E82E40"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Child safety (includes Mandatory Reporting) - Child Protection</w:t>
            </w:r>
          </w:p>
        </w:tc>
        <w:tc>
          <w:tcPr>
            <w:tcW w:w="695" w:type="dxa"/>
          </w:tcPr>
          <w:p w14:paraId="41EA04F2"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168AF994" w14:textId="6F9E085A"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589C2563" w14:textId="6C954FCC"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ED8CD3D" w14:textId="77777777" w:rsidR="006C150B" w:rsidRPr="00E52513" w:rsidRDefault="006C150B" w:rsidP="00AB51D7">
            <w:pPr>
              <w:rPr>
                <w:rFonts w:cs="Segoe UI"/>
                <w:lang w:eastAsia="en-AU"/>
              </w:rPr>
            </w:pPr>
            <w:r w:rsidRPr="00E52513">
              <w:rPr>
                <w:rFonts w:cs="Segoe UI"/>
                <w:lang w:eastAsia="en-AU"/>
              </w:rPr>
              <w:t>Safe systems of work</w:t>
            </w:r>
          </w:p>
        </w:tc>
        <w:tc>
          <w:tcPr>
            <w:tcW w:w="5812" w:type="dxa"/>
            <w:hideMark/>
          </w:tcPr>
          <w:p w14:paraId="2E46439A"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 xml:space="preserve">Health safety and wellbeing policy </w:t>
            </w:r>
          </w:p>
        </w:tc>
        <w:tc>
          <w:tcPr>
            <w:tcW w:w="695" w:type="dxa"/>
          </w:tcPr>
          <w:p w14:paraId="450C6CCC" w14:textId="13DB4CBA"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37232551"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EBB5691" w14:textId="5A5B76F5"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79533AE0" w14:textId="77777777" w:rsidR="006C150B" w:rsidRPr="00E52513" w:rsidRDefault="006C150B" w:rsidP="00AB51D7">
            <w:pPr>
              <w:rPr>
                <w:rFonts w:cs="Segoe UI"/>
                <w:lang w:eastAsia="en-AU"/>
              </w:rPr>
            </w:pPr>
          </w:p>
        </w:tc>
        <w:tc>
          <w:tcPr>
            <w:tcW w:w="5812" w:type="dxa"/>
            <w:hideMark/>
          </w:tcPr>
          <w:p w14:paraId="0906A382"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Hazard identification and management policy</w:t>
            </w:r>
          </w:p>
        </w:tc>
        <w:tc>
          <w:tcPr>
            <w:tcW w:w="695" w:type="dxa"/>
          </w:tcPr>
          <w:p w14:paraId="63B7770A" w14:textId="5F1B36FD"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01EF6961"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06F8F28" w14:textId="58AA4F95"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3F4D62F" w14:textId="77777777" w:rsidR="006C150B" w:rsidRPr="00E52513" w:rsidRDefault="006C150B" w:rsidP="00AB51D7">
            <w:pPr>
              <w:rPr>
                <w:rFonts w:cs="Segoe UI"/>
                <w:lang w:eastAsia="en-AU"/>
              </w:rPr>
            </w:pPr>
          </w:p>
        </w:tc>
        <w:tc>
          <w:tcPr>
            <w:tcW w:w="5812" w:type="dxa"/>
            <w:hideMark/>
          </w:tcPr>
          <w:p w14:paraId="72C9BD49"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Manual handling policy</w:t>
            </w:r>
          </w:p>
        </w:tc>
        <w:tc>
          <w:tcPr>
            <w:tcW w:w="695" w:type="dxa"/>
          </w:tcPr>
          <w:p w14:paraId="1BE7E44A" w14:textId="3219635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18BBDA74"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6E6979F" w14:textId="79B85E04"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12D3D21E" w14:textId="77777777" w:rsidR="006C150B" w:rsidRPr="00E52513" w:rsidRDefault="006C150B" w:rsidP="00AB51D7">
            <w:pPr>
              <w:rPr>
                <w:rFonts w:cs="Segoe UI"/>
                <w:lang w:eastAsia="en-AU"/>
              </w:rPr>
            </w:pPr>
          </w:p>
        </w:tc>
        <w:tc>
          <w:tcPr>
            <w:tcW w:w="5812" w:type="dxa"/>
            <w:hideMark/>
          </w:tcPr>
          <w:p w14:paraId="6330818B"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Workplace inspections procedure</w:t>
            </w:r>
          </w:p>
        </w:tc>
        <w:tc>
          <w:tcPr>
            <w:tcW w:w="695" w:type="dxa"/>
          </w:tcPr>
          <w:p w14:paraId="35180A76" w14:textId="130431B6"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30FBC367"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224E8589" w14:textId="45841B50"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67539EB4" w14:textId="77777777" w:rsidR="00C72CD0" w:rsidRPr="00E52513" w:rsidRDefault="00C72CD0" w:rsidP="00AB51D7">
            <w:pPr>
              <w:rPr>
                <w:rFonts w:cs="Segoe UI"/>
                <w:lang w:eastAsia="en-AU"/>
              </w:rPr>
            </w:pPr>
          </w:p>
        </w:tc>
        <w:tc>
          <w:tcPr>
            <w:tcW w:w="5812" w:type="dxa"/>
            <w:hideMark/>
          </w:tcPr>
          <w:p w14:paraId="0DFC4778"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Managing threats, aggressive behaviour and violence</w:t>
            </w:r>
          </w:p>
        </w:tc>
        <w:tc>
          <w:tcPr>
            <w:tcW w:w="695" w:type="dxa"/>
          </w:tcPr>
          <w:p w14:paraId="63C806E1"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78189E2E" w14:textId="1990B433"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3E859CFA" w14:textId="63794DE9"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3965A26D" w14:textId="77777777" w:rsidR="00C72CD0" w:rsidRPr="00E52513" w:rsidRDefault="00C72CD0" w:rsidP="00AB51D7">
            <w:pPr>
              <w:rPr>
                <w:rFonts w:cs="Segoe UI"/>
                <w:lang w:eastAsia="en-AU"/>
              </w:rPr>
            </w:pPr>
          </w:p>
        </w:tc>
        <w:tc>
          <w:tcPr>
            <w:tcW w:w="5812" w:type="dxa"/>
            <w:hideMark/>
          </w:tcPr>
          <w:p w14:paraId="0B14F848"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Accident/ injury/ incident/ hazard investigation policy</w:t>
            </w:r>
          </w:p>
        </w:tc>
        <w:tc>
          <w:tcPr>
            <w:tcW w:w="695" w:type="dxa"/>
          </w:tcPr>
          <w:p w14:paraId="6655BCAC" w14:textId="5F41F59A"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3FAEBF95"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1B6C6BA3" w14:textId="2DF88C19"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26E3ECDA" w14:textId="77777777" w:rsidR="006C150B" w:rsidRPr="00E52513" w:rsidRDefault="006C150B" w:rsidP="00AB51D7">
            <w:pPr>
              <w:rPr>
                <w:rFonts w:cs="Segoe UI"/>
                <w:lang w:eastAsia="en-AU"/>
              </w:rPr>
            </w:pPr>
          </w:p>
        </w:tc>
        <w:tc>
          <w:tcPr>
            <w:tcW w:w="5812" w:type="dxa"/>
          </w:tcPr>
          <w:p w14:paraId="11022C5B"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Home visits policy</w:t>
            </w:r>
          </w:p>
        </w:tc>
        <w:tc>
          <w:tcPr>
            <w:tcW w:w="695" w:type="dxa"/>
          </w:tcPr>
          <w:p w14:paraId="209014B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3323742C" w14:textId="6D73DD2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38DD434" w14:textId="722C94B2"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296A181E" w14:textId="77777777" w:rsidR="006C150B" w:rsidRPr="00E52513" w:rsidRDefault="006C150B" w:rsidP="00AB51D7">
            <w:pPr>
              <w:rPr>
                <w:rFonts w:cs="Segoe UI"/>
                <w:lang w:eastAsia="en-AU"/>
              </w:rPr>
            </w:pPr>
          </w:p>
        </w:tc>
        <w:tc>
          <w:tcPr>
            <w:tcW w:w="5812" w:type="dxa"/>
          </w:tcPr>
          <w:p w14:paraId="662C10CF"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Safe driving policy</w:t>
            </w:r>
          </w:p>
        </w:tc>
        <w:tc>
          <w:tcPr>
            <w:tcW w:w="695" w:type="dxa"/>
          </w:tcPr>
          <w:p w14:paraId="370668B4"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33517344" w14:textId="10F9442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79CADB5D" w14:textId="56BFC24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3312A429" w14:textId="77777777" w:rsidR="006C150B" w:rsidRPr="00E52513" w:rsidRDefault="006C150B" w:rsidP="00AB51D7">
            <w:pPr>
              <w:rPr>
                <w:rFonts w:cs="Segoe UI"/>
                <w:lang w:eastAsia="en-AU"/>
              </w:rPr>
            </w:pPr>
          </w:p>
        </w:tc>
        <w:tc>
          <w:tcPr>
            <w:tcW w:w="5812" w:type="dxa"/>
          </w:tcPr>
          <w:p w14:paraId="6D30877E"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Office security policy</w:t>
            </w:r>
          </w:p>
        </w:tc>
        <w:tc>
          <w:tcPr>
            <w:tcW w:w="695" w:type="dxa"/>
          </w:tcPr>
          <w:p w14:paraId="69DCCA86" w14:textId="062970B0"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158C2D8E"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34A6CC7" w14:textId="3DBC505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764E82E1" w14:textId="77777777" w:rsidR="006C150B" w:rsidRPr="00E52513" w:rsidRDefault="006C150B" w:rsidP="00AB51D7">
            <w:pPr>
              <w:rPr>
                <w:rFonts w:cs="Segoe UI"/>
                <w:lang w:eastAsia="en-AU"/>
              </w:rPr>
            </w:pPr>
          </w:p>
        </w:tc>
        <w:tc>
          <w:tcPr>
            <w:tcW w:w="5812" w:type="dxa"/>
          </w:tcPr>
          <w:p w14:paraId="3CFFFAEF"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Emergency – high risk fire policy</w:t>
            </w:r>
          </w:p>
        </w:tc>
        <w:tc>
          <w:tcPr>
            <w:tcW w:w="695" w:type="dxa"/>
          </w:tcPr>
          <w:p w14:paraId="32FB410B" w14:textId="7ED4C36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C6201F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54F20FEF" w14:textId="56F1AEE7"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193BF2D9" w14:textId="77777777" w:rsidR="006C150B" w:rsidRPr="00E52513" w:rsidRDefault="006C150B" w:rsidP="00AB51D7">
            <w:pPr>
              <w:rPr>
                <w:rFonts w:cs="Segoe UI"/>
                <w:lang w:eastAsia="en-AU"/>
              </w:rPr>
            </w:pPr>
          </w:p>
        </w:tc>
        <w:tc>
          <w:tcPr>
            <w:tcW w:w="5812" w:type="dxa"/>
          </w:tcPr>
          <w:p w14:paraId="2BE03F88"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Emergency management policy and procedure</w:t>
            </w:r>
          </w:p>
        </w:tc>
        <w:tc>
          <w:tcPr>
            <w:tcW w:w="695" w:type="dxa"/>
          </w:tcPr>
          <w:p w14:paraId="1B856FCE" w14:textId="43598B2E"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10CFB5D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1286341B" w14:textId="0B802F2F"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655A2142" w14:textId="77777777" w:rsidR="006C150B" w:rsidRPr="00E52513" w:rsidRDefault="006C150B" w:rsidP="00AB51D7">
            <w:pPr>
              <w:rPr>
                <w:rFonts w:cs="Segoe UI"/>
                <w:lang w:eastAsia="en-AU"/>
              </w:rPr>
            </w:pPr>
            <w:r w:rsidRPr="00E52513">
              <w:rPr>
                <w:rFonts w:cs="Segoe UI"/>
                <w:lang w:eastAsia="en-AU"/>
              </w:rPr>
              <w:t>Marketing</w:t>
            </w:r>
          </w:p>
        </w:tc>
        <w:tc>
          <w:tcPr>
            <w:tcW w:w="5812" w:type="dxa"/>
            <w:hideMark/>
          </w:tcPr>
          <w:p w14:paraId="4DBACE39"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Media Policy</w:t>
            </w:r>
          </w:p>
        </w:tc>
        <w:tc>
          <w:tcPr>
            <w:tcW w:w="695" w:type="dxa"/>
          </w:tcPr>
          <w:p w14:paraId="631BEB0A" w14:textId="5D3D3D1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F9EE06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64ACEE6" w14:textId="1D13064A"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189A9A7" w14:textId="77777777" w:rsidR="006C150B" w:rsidRPr="00E52513" w:rsidRDefault="006C150B" w:rsidP="00AB51D7">
            <w:pPr>
              <w:rPr>
                <w:rFonts w:cs="Segoe UI"/>
                <w:lang w:eastAsia="en-AU"/>
              </w:rPr>
            </w:pPr>
          </w:p>
        </w:tc>
        <w:tc>
          <w:tcPr>
            <w:tcW w:w="5812" w:type="dxa"/>
            <w:hideMark/>
          </w:tcPr>
          <w:p w14:paraId="593E4E3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Social Media Policy</w:t>
            </w:r>
          </w:p>
        </w:tc>
        <w:tc>
          <w:tcPr>
            <w:tcW w:w="695" w:type="dxa"/>
          </w:tcPr>
          <w:p w14:paraId="5790569B" w14:textId="115DDCA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DE513EE"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2C43F2A3" w14:textId="583A8380"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3EF01543" w14:textId="77777777" w:rsidR="00C72CD0" w:rsidRPr="00E52513" w:rsidRDefault="00C72CD0" w:rsidP="00AB51D7">
            <w:pPr>
              <w:rPr>
                <w:rFonts w:cs="Segoe UI"/>
                <w:sz w:val="21"/>
                <w:szCs w:val="21"/>
                <w:lang w:eastAsia="en-AU"/>
              </w:rPr>
            </w:pPr>
            <w:r w:rsidRPr="00E52513">
              <w:rPr>
                <w:rFonts w:cs="Segoe UI"/>
                <w:sz w:val="21"/>
                <w:szCs w:val="21"/>
                <w:lang w:eastAsia="en-AU"/>
              </w:rPr>
              <w:t>Culturally effective practice</w:t>
            </w:r>
          </w:p>
        </w:tc>
        <w:tc>
          <w:tcPr>
            <w:tcW w:w="5812" w:type="dxa"/>
            <w:hideMark/>
          </w:tcPr>
          <w:p w14:paraId="1B6C7EAA"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Policies relating to use of interpreters</w:t>
            </w:r>
          </w:p>
        </w:tc>
        <w:tc>
          <w:tcPr>
            <w:tcW w:w="695" w:type="dxa"/>
          </w:tcPr>
          <w:p w14:paraId="4BA6D119"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57D3B0DF" w14:textId="306B8408"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79995A26" w14:textId="6F354003"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5C01781" w14:textId="77777777" w:rsidR="00C72CD0" w:rsidRPr="00E52513" w:rsidRDefault="00C72CD0" w:rsidP="00AB51D7">
            <w:pPr>
              <w:rPr>
                <w:rFonts w:cs="Segoe UI"/>
                <w:lang w:eastAsia="en-AU"/>
              </w:rPr>
            </w:pPr>
            <w:r w:rsidRPr="00E52513">
              <w:rPr>
                <w:rFonts w:cs="Segoe UI"/>
                <w:lang w:eastAsia="en-AU"/>
              </w:rPr>
              <w:t>Risk management</w:t>
            </w:r>
          </w:p>
        </w:tc>
        <w:tc>
          <w:tcPr>
            <w:tcW w:w="5812" w:type="dxa"/>
            <w:hideMark/>
          </w:tcPr>
          <w:p w14:paraId="755283DB"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Risk Management Policy</w:t>
            </w:r>
          </w:p>
        </w:tc>
        <w:tc>
          <w:tcPr>
            <w:tcW w:w="695" w:type="dxa"/>
          </w:tcPr>
          <w:p w14:paraId="6408C0AA" w14:textId="07A6D62F"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68E5AD98"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099F67BE" w14:textId="4E419FD2"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0B244BBC" w14:textId="77777777" w:rsidR="006C150B" w:rsidRPr="00E52513" w:rsidRDefault="006C150B" w:rsidP="00AB51D7">
            <w:pPr>
              <w:rPr>
                <w:rFonts w:cs="Segoe UI"/>
                <w:lang w:eastAsia="en-AU"/>
              </w:rPr>
            </w:pPr>
          </w:p>
        </w:tc>
        <w:tc>
          <w:tcPr>
            <w:tcW w:w="5812" w:type="dxa"/>
          </w:tcPr>
          <w:p w14:paraId="0A7A1C61"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Home visits policy</w:t>
            </w:r>
          </w:p>
        </w:tc>
        <w:tc>
          <w:tcPr>
            <w:tcW w:w="695" w:type="dxa"/>
          </w:tcPr>
          <w:p w14:paraId="6A2B98C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469D21F1" w14:textId="5DE3734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80E2C8A" w14:textId="152BEE8C"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435BA7D5" w14:textId="77777777" w:rsidR="006C150B" w:rsidRPr="00E52513" w:rsidRDefault="006C150B" w:rsidP="00AB51D7">
            <w:pPr>
              <w:rPr>
                <w:rFonts w:cs="Segoe UI"/>
                <w:lang w:eastAsia="en-AU"/>
              </w:rPr>
            </w:pPr>
          </w:p>
        </w:tc>
        <w:tc>
          <w:tcPr>
            <w:tcW w:w="5812" w:type="dxa"/>
          </w:tcPr>
          <w:p w14:paraId="2E427EFB"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Safe driving policy</w:t>
            </w:r>
          </w:p>
        </w:tc>
        <w:tc>
          <w:tcPr>
            <w:tcW w:w="695" w:type="dxa"/>
          </w:tcPr>
          <w:p w14:paraId="69BCBAA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516B3C16" w14:textId="79C9BF7B"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C7E301C" w14:textId="19ECFFEC"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62CF7D4D" w14:textId="77777777" w:rsidR="006C150B" w:rsidRPr="00E52513" w:rsidRDefault="006C150B" w:rsidP="00AB51D7">
            <w:pPr>
              <w:rPr>
                <w:rFonts w:cs="Segoe UI"/>
                <w:lang w:eastAsia="en-AU"/>
              </w:rPr>
            </w:pPr>
          </w:p>
        </w:tc>
        <w:tc>
          <w:tcPr>
            <w:tcW w:w="5812" w:type="dxa"/>
          </w:tcPr>
          <w:p w14:paraId="4D06E4A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Office security policy</w:t>
            </w:r>
          </w:p>
        </w:tc>
        <w:tc>
          <w:tcPr>
            <w:tcW w:w="695" w:type="dxa"/>
          </w:tcPr>
          <w:p w14:paraId="5A9FA3EB" w14:textId="6A20D648"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3422B1B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7D14BBD9" w14:textId="3209718F"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3008756B" w14:textId="77777777" w:rsidR="006C150B" w:rsidRPr="00E52513" w:rsidRDefault="006C150B" w:rsidP="00AB51D7">
            <w:pPr>
              <w:rPr>
                <w:rFonts w:cs="Segoe UI"/>
                <w:lang w:eastAsia="en-AU"/>
              </w:rPr>
            </w:pPr>
          </w:p>
        </w:tc>
        <w:tc>
          <w:tcPr>
            <w:tcW w:w="5812" w:type="dxa"/>
          </w:tcPr>
          <w:p w14:paraId="4F8D5C24"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Emergency – high risk fire policy</w:t>
            </w:r>
          </w:p>
        </w:tc>
        <w:tc>
          <w:tcPr>
            <w:tcW w:w="695" w:type="dxa"/>
          </w:tcPr>
          <w:p w14:paraId="3F403FF6" w14:textId="08C96A9E"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2F5642E2"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A2BF804" w14:textId="1B5099F7"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tcPr>
          <w:p w14:paraId="1F776DD1" w14:textId="77777777" w:rsidR="006C150B" w:rsidRPr="00E52513" w:rsidRDefault="006C150B" w:rsidP="00AB51D7">
            <w:pPr>
              <w:rPr>
                <w:rFonts w:cs="Segoe UI"/>
                <w:lang w:eastAsia="en-AU"/>
              </w:rPr>
            </w:pPr>
          </w:p>
        </w:tc>
        <w:tc>
          <w:tcPr>
            <w:tcW w:w="5812" w:type="dxa"/>
          </w:tcPr>
          <w:p w14:paraId="43BCB9AD"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Emergency management policy and procedure</w:t>
            </w:r>
          </w:p>
        </w:tc>
        <w:tc>
          <w:tcPr>
            <w:tcW w:w="695" w:type="dxa"/>
          </w:tcPr>
          <w:p w14:paraId="73ECCFD3" w14:textId="320BD670"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7E2F659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661F4C1A" w14:textId="7B59D315"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3D686F2" w14:textId="77777777" w:rsidR="006C150B" w:rsidRPr="00E52513" w:rsidRDefault="006C150B" w:rsidP="00AB51D7">
            <w:pPr>
              <w:rPr>
                <w:rFonts w:cs="Segoe UI"/>
                <w:highlight w:val="green"/>
                <w:lang w:eastAsia="en-AU"/>
              </w:rPr>
            </w:pPr>
            <w:r w:rsidRPr="00E52513">
              <w:rPr>
                <w:rFonts w:cs="Segoe UI"/>
                <w:lang w:eastAsia="en-AU"/>
              </w:rPr>
              <w:t>Essential elements of a robust wellbeing governance framework</w:t>
            </w:r>
          </w:p>
        </w:tc>
        <w:tc>
          <w:tcPr>
            <w:tcW w:w="5812" w:type="dxa"/>
            <w:hideMark/>
          </w:tcPr>
          <w:p w14:paraId="1803D56C"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Continuous Quality Improvement Policy</w:t>
            </w:r>
          </w:p>
        </w:tc>
        <w:tc>
          <w:tcPr>
            <w:tcW w:w="695" w:type="dxa"/>
          </w:tcPr>
          <w:p w14:paraId="60C17C88" w14:textId="0B2E5285"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003BC7F"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0A14D4DE" w14:textId="6A633551"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9B7604E" w14:textId="77777777" w:rsidR="006C150B" w:rsidRPr="00E52513" w:rsidRDefault="006C150B" w:rsidP="00AB51D7">
            <w:pPr>
              <w:rPr>
                <w:rFonts w:cs="Segoe UI"/>
                <w:lang w:eastAsia="en-AU"/>
              </w:rPr>
            </w:pPr>
          </w:p>
        </w:tc>
        <w:tc>
          <w:tcPr>
            <w:tcW w:w="5812" w:type="dxa"/>
            <w:hideMark/>
          </w:tcPr>
          <w:p w14:paraId="6AF66886"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Case conference policy</w:t>
            </w:r>
          </w:p>
        </w:tc>
        <w:tc>
          <w:tcPr>
            <w:tcW w:w="695" w:type="dxa"/>
          </w:tcPr>
          <w:p w14:paraId="3E99B16C"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7B0154D1" w14:textId="402C2A14"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A869652" w14:textId="7D1FC172"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C37099C" w14:textId="77777777" w:rsidR="006C150B" w:rsidRPr="00E52513" w:rsidRDefault="006C150B" w:rsidP="00AB51D7">
            <w:pPr>
              <w:rPr>
                <w:rFonts w:cs="Segoe UI"/>
                <w:lang w:eastAsia="en-AU"/>
              </w:rPr>
            </w:pPr>
          </w:p>
        </w:tc>
        <w:tc>
          <w:tcPr>
            <w:tcW w:w="5812" w:type="dxa"/>
            <w:hideMark/>
          </w:tcPr>
          <w:p w14:paraId="46789205"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Wellbeing Governance (Clinical Governance)</w:t>
            </w:r>
          </w:p>
        </w:tc>
        <w:tc>
          <w:tcPr>
            <w:tcW w:w="695" w:type="dxa"/>
          </w:tcPr>
          <w:p w14:paraId="718465FC"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464D256E" w14:textId="7957139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0311E9CB" w14:textId="18A1BFE9" w:rsidTr="00673EB6">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38418CB9" w14:textId="77777777" w:rsidR="006C150B" w:rsidRPr="00E52513" w:rsidRDefault="006C150B" w:rsidP="00AB51D7">
            <w:pPr>
              <w:rPr>
                <w:rFonts w:cs="Segoe UI"/>
                <w:lang w:eastAsia="en-AU"/>
              </w:rPr>
            </w:pPr>
          </w:p>
        </w:tc>
        <w:tc>
          <w:tcPr>
            <w:tcW w:w="5812" w:type="dxa"/>
            <w:hideMark/>
          </w:tcPr>
          <w:p w14:paraId="45C0733E"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Mentoring Policy (relating to cultural and wellbeing supervision)</w:t>
            </w:r>
          </w:p>
        </w:tc>
        <w:tc>
          <w:tcPr>
            <w:tcW w:w="695" w:type="dxa"/>
          </w:tcPr>
          <w:p w14:paraId="3F25061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104C040C" w14:textId="1C98396A"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79CBFF29" w14:textId="4F43EEE4" w:rsidTr="00673EB6">
        <w:trPr>
          <w:trHeight w:val="330"/>
        </w:trPr>
        <w:tc>
          <w:tcPr>
            <w:cnfStyle w:val="001000000000" w:firstRow="0" w:lastRow="0" w:firstColumn="1" w:lastColumn="0" w:oddVBand="0" w:evenVBand="0" w:oddHBand="0" w:evenHBand="0" w:firstRowFirstColumn="0" w:firstRowLastColumn="0" w:lastRowFirstColumn="0" w:lastRowLastColumn="0"/>
            <w:tcW w:w="1951" w:type="dxa"/>
          </w:tcPr>
          <w:p w14:paraId="6142C32C" w14:textId="77777777" w:rsidR="006C150B" w:rsidRPr="00E52513" w:rsidRDefault="006C150B" w:rsidP="00AB51D7">
            <w:pPr>
              <w:rPr>
                <w:rFonts w:cs="Segoe UI"/>
                <w:lang w:eastAsia="en-AU"/>
              </w:rPr>
            </w:pPr>
          </w:p>
        </w:tc>
        <w:tc>
          <w:tcPr>
            <w:tcW w:w="5812" w:type="dxa"/>
          </w:tcPr>
          <w:p w14:paraId="59465231"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Mentoring framework</w:t>
            </w:r>
          </w:p>
        </w:tc>
        <w:tc>
          <w:tcPr>
            <w:tcW w:w="695" w:type="dxa"/>
          </w:tcPr>
          <w:p w14:paraId="4FEA1C7C"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7C3072F2" w14:textId="16DF6702"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6F2DF34" w14:textId="69B6B11C" w:rsidTr="00673EB6">
        <w:trPr>
          <w:trHeight w:val="330"/>
        </w:trPr>
        <w:tc>
          <w:tcPr>
            <w:cnfStyle w:val="001000000000" w:firstRow="0" w:lastRow="0" w:firstColumn="1" w:lastColumn="0" w:oddVBand="0" w:evenVBand="0" w:oddHBand="0" w:evenHBand="0" w:firstRowFirstColumn="0" w:firstRowLastColumn="0" w:lastRowFirstColumn="0" w:lastRowLastColumn="0"/>
            <w:tcW w:w="1951" w:type="dxa"/>
            <w:hideMark/>
          </w:tcPr>
          <w:p w14:paraId="2208AE2C" w14:textId="77777777" w:rsidR="006C150B" w:rsidRPr="00E52513" w:rsidRDefault="006C150B" w:rsidP="00AB51D7">
            <w:pPr>
              <w:rPr>
                <w:rFonts w:cs="Segoe UI"/>
                <w:lang w:eastAsia="en-AU"/>
              </w:rPr>
            </w:pPr>
          </w:p>
        </w:tc>
        <w:tc>
          <w:tcPr>
            <w:tcW w:w="5812" w:type="dxa"/>
            <w:hideMark/>
          </w:tcPr>
          <w:p w14:paraId="420EA59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Response Assessment Policy (criteria for prioritisation)</w:t>
            </w:r>
          </w:p>
        </w:tc>
        <w:tc>
          <w:tcPr>
            <w:tcW w:w="695" w:type="dxa"/>
          </w:tcPr>
          <w:p w14:paraId="19C5C400"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20B58179" w14:textId="137F86DB"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58D7F9E3" w14:textId="6E34D3EC" w:rsidTr="00673EB6">
        <w:trPr>
          <w:trHeight w:val="345"/>
        </w:trPr>
        <w:tc>
          <w:tcPr>
            <w:cnfStyle w:val="001000000000" w:firstRow="0" w:lastRow="0" w:firstColumn="1" w:lastColumn="0" w:oddVBand="0" w:evenVBand="0" w:oddHBand="0" w:evenHBand="0" w:firstRowFirstColumn="0" w:firstRowLastColumn="0" w:lastRowFirstColumn="0" w:lastRowLastColumn="0"/>
            <w:tcW w:w="1951" w:type="dxa"/>
            <w:hideMark/>
          </w:tcPr>
          <w:p w14:paraId="6E69AFD2" w14:textId="77777777" w:rsidR="006C150B" w:rsidRPr="00E52513" w:rsidRDefault="006C150B" w:rsidP="00AB51D7">
            <w:pPr>
              <w:rPr>
                <w:rFonts w:cs="Segoe UI"/>
                <w:lang w:eastAsia="en-AU"/>
              </w:rPr>
            </w:pPr>
          </w:p>
        </w:tc>
        <w:tc>
          <w:tcPr>
            <w:tcW w:w="5812" w:type="dxa"/>
            <w:hideMark/>
          </w:tcPr>
          <w:p w14:paraId="678AF4A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Employee Wellbeing (Employee Assistance Program and External Supervision)</w:t>
            </w:r>
          </w:p>
        </w:tc>
        <w:tc>
          <w:tcPr>
            <w:tcW w:w="695" w:type="dxa"/>
          </w:tcPr>
          <w:p w14:paraId="4E73A086"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7BB3042F" w14:textId="1E652BD8"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3397CB19" w14:textId="1DB47E3B" w:rsidTr="00673EB6">
        <w:trPr>
          <w:trHeight w:val="345"/>
        </w:trPr>
        <w:tc>
          <w:tcPr>
            <w:cnfStyle w:val="001000000000" w:firstRow="0" w:lastRow="0" w:firstColumn="1" w:lastColumn="0" w:oddVBand="0" w:evenVBand="0" w:oddHBand="0" w:evenHBand="0" w:firstRowFirstColumn="0" w:firstRowLastColumn="0" w:lastRowFirstColumn="0" w:lastRowLastColumn="0"/>
            <w:tcW w:w="1951" w:type="dxa"/>
          </w:tcPr>
          <w:p w14:paraId="709A7026" w14:textId="77777777" w:rsidR="006C150B" w:rsidRPr="00E52513" w:rsidRDefault="006C150B" w:rsidP="00AB51D7">
            <w:pPr>
              <w:rPr>
                <w:rFonts w:cs="Segoe UI"/>
                <w:lang w:eastAsia="en-AU"/>
              </w:rPr>
            </w:pPr>
          </w:p>
        </w:tc>
        <w:tc>
          <w:tcPr>
            <w:tcW w:w="5812" w:type="dxa"/>
          </w:tcPr>
          <w:p w14:paraId="6FCD5737"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Supervision policy</w:t>
            </w:r>
          </w:p>
        </w:tc>
        <w:tc>
          <w:tcPr>
            <w:tcW w:w="695" w:type="dxa"/>
          </w:tcPr>
          <w:p w14:paraId="2D936A2A"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305B5A5A" w14:textId="2A4FBE5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31C9B54A" w14:textId="3BA5FC06" w:rsidTr="00673EB6">
        <w:trPr>
          <w:trHeight w:val="345"/>
        </w:trPr>
        <w:tc>
          <w:tcPr>
            <w:cnfStyle w:val="001000000000" w:firstRow="0" w:lastRow="0" w:firstColumn="1" w:lastColumn="0" w:oddVBand="0" w:evenVBand="0" w:oddHBand="0" w:evenHBand="0" w:firstRowFirstColumn="0" w:firstRowLastColumn="0" w:lastRowFirstColumn="0" w:lastRowLastColumn="0"/>
            <w:tcW w:w="1951" w:type="dxa"/>
          </w:tcPr>
          <w:p w14:paraId="61574A22" w14:textId="77777777" w:rsidR="006C150B" w:rsidRPr="00E52513" w:rsidRDefault="006C150B" w:rsidP="00AB51D7">
            <w:pPr>
              <w:rPr>
                <w:rFonts w:cs="Segoe UI"/>
                <w:lang w:eastAsia="en-AU"/>
              </w:rPr>
            </w:pPr>
          </w:p>
        </w:tc>
        <w:tc>
          <w:tcPr>
            <w:tcW w:w="5812" w:type="dxa"/>
          </w:tcPr>
          <w:p w14:paraId="6CC3E233"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Learning and development policy</w:t>
            </w:r>
          </w:p>
        </w:tc>
        <w:tc>
          <w:tcPr>
            <w:tcW w:w="695" w:type="dxa"/>
          </w:tcPr>
          <w:p w14:paraId="7B0D8C90"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69C23709" w14:textId="50468E70"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32F7FD98" w14:textId="5AC651B3" w:rsidTr="00673EB6">
        <w:trPr>
          <w:trHeight w:val="345"/>
        </w:trPr>
        <w:tc>
          <w:tcPr>
            <w:cnfStyle w:val="001000000000" w:firstRow="0" w:lastRow="0" w:firstColumn="1" w:lastColumn="0" w:oddVBand="0" w:evenVBand="0" w:oddHBand="0" w:evenHBand="0" w:firstRowFirstColumn="0" w:firstRowLastColumn="0" w:lastRowFirstColumn="0" w:lastRowLastColumn="0"/>
            <w:tcW w:w="1951" w:type="dxa"/>
          </w:tcPr>
          <w:p w14:paraId="223CADFA" w14:textId="77777777" w:rsidR="006C150B" w:rsidRPr="00E52513" w:rsidRDefault="006C150B" w:rsidP="00AB51D7">
            <w:pPr>
              <w:rPr>
                <w:rFonts w:cs="Segoe UI"/>
                <w:lang w:eastAsia="en-AU"/>
              </w:rPr>
            </w:pPr>
          </w:p>
        </w:tc>
        <w:tc>
          <w:tcPr>
            <w:tcW w:w="5812" w:type="dxa"/>
          </w:tcPr>
          <w:p w14:paraId="0CEB1E59"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Management responsibilities policy</w:t>
            </w:r>
          </w:p>
        </w:tc>
        <w:tc>
          <w:tcPr>
            <w:tcW w:w="695" w:type="dxa"/>
          </w:tcPr>
          <w:p w14:paraId="2A624CCE"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05391C6B" w14:textId="3DD32F50"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2D54807" w14:textId="7B03E6EB" w:rsidTr="00673EB6">
        <w:trPr>
          <w:trHeight w:val="327"/>
        </w:trPr>
        <w:tc>
          <w:tcPr>
            <w:cnfStyle w:val="001000000000" w:firstRow="0" w:lastRow="0" w:firstColumn="1" w:lastColumn="0" w:oddVBand="0" w:evenVBand="0" w:oddHBand="0" w:evenHBand="0" w:firstRowFirstColumn="0" w:firstRowLastColumn="0" w:lastRowFirstColumn="0" w:lastRowLastColumn="0"/>
            <w:tcW w:w="1951" w:type="dxa"/>
            <w:hideMark/>
          </w:tcPr>
          <w:p w14:paraId="6EC89213" w14:textId="77777777" w:rsidR="006C150B" w:rsidRPr="00E52513" w:rsidRDefault="006C150B" w:rsidP="00AB51D7">
            <w:pPr>
              <w:rPr>
                <w:rFonts w:cs="Segoe UI"/>
                <w:lang w:eastAsia="en-AU"/>
              </w:rPr>
            </w:pPr>
          </w:p>
        </w:tc>
        <w:tc>
          <w:tcPr>
            <w:tcW w:w="5812" w:type="dxa"/>
            <w:hideMark/>
          </w:tcPr>
          <w:p w14:paraId="1F98C549" w14:textId="4723B2F9"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 xml:space="preserve">Client File Documentation including Audits (Case Records Policy and Audit) </w:t>
            </w:r>
          </w:p>
        </w:tc>
        <w:tc>
          <w:tcPr>
            <w:tcW w:w="695" w:type="dxa"/>
          </w:tcPr>
          <w:p w14:paraId="032F7335"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5FBED276" w14:textId="69CAD49F"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DA31016" w14:textId="369CD3E8"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0B390B77" w14:textId="77777777" w:rsidR="006C150B" w:rsidRPr="00E52513" w:rsidRDefault="006C150B" w:rsidP="00AB51D7">
            <w:pPr>
              <w:rPr>
                <w:rFonts w:cs="Segoe UI"/>
                <w:lang w:eastAsia="en-AU"/>
              </w:rPr>
            </w:pPr>
          </w:p>
        </w:tc>
        <w:tc>
          <w:tcPr>
            <w:tcW w:w="5812" w:type="dxa"/>
            <w:hideMark/>
          </w:tcPr>
          <w:p w14:paraId="26797C52"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Client Consent to share Information (and forms)</w:t>
            </w:r>
          </w:p>
        </w:tc>
        <w:tc>
          <w:tcPr>
            <w:tcW w:w="695" w:type="dxa"/>
          </w:tcPr>
          <w:p w14:paraId="5645A0D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397A395B" w14:textId="254BB952"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48C60C61" w14:textId="20F73C3D"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13ACDB9C" w14:textId="77777777" w:rsidR="006C150B" w:rsidRPr="00E52513" w:rsidRDefault="006C150B" w:rsidP="00AB51D7">
            <w:pPr>
              <w:rPr>
                <w:rFonts w:cs="Segoe UI"/>
                <w:lang w:eastAsia="en-AU"/>
              </w:rPr>
            </w:pPr>
          </w:p>
        </w:tc>
        <w:tc>
          <w:tcPr>
            <w:tcW w:w="5812" w:type="dxa"/>
            <w:hideMark/>
          </w:tcPr>
          <w:p w14:paraId="6971AB50"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Complaints policy / Complaints resolution policy</w:t>
            </w:r>
          </w:p>
        </w:tc>
        <w:tc>
          <w:tcPr>
            <w:tcW w:w="695" w:type="dxa"/>
          </w:tcPr>
          <w:p w14:paraId="184F2689" w14:textId="159FBCA8"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7CEC461"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48FA7E04" w14:textId="62509D5F"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70D5C9CA" w14:textId="77777777" w:rsidR="006C150B" w:rsidRPr="00E52513" w:rsidRDefault="006C150B" w:rsidP="00AB51D7">
            <w:pPr>
              <w:rPr>
                <w:rFonts w:cs="Segoe UI"/>
                <w:lang w:eastAsia="en-AU"/>
              </w:rPr>
            </w:pPr>
          </w:p>
        </w:tc>
        <w:tc>
          <w:tcPr>
            <w:tcW w:w="5812" w:type="dxa"/>
            <w:hideMark/>
          </w:tcPr>
          <w:p w14:paraId="54AB4171"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Quality and Safety Incident Investigation Policy</w:t>
            </w:r>
          </w:p>
        </w:tc>
        <w:tc>
          <w:tcPr>
            <w:tcW w:w="695" w:type="dxa"/>
          </w:tcPr>
          <w:p w14:paraId="43938DC4" w14:textId="2C15326E"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49B2211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r w:rsidR="006C150B" w:rsidRPr="00E52513" w14:paraId="33943A58" w14:textId="51ABAE64"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CC143DB" w14:textId="77777777" w:rsidR="006C150B" w:rsidRPr="00E52513" w:rsidRDefault="006C150B" w:rsidP="00AB51D7">
            <w:pPr>
              <w:rPr>
                <w:rFonts w:cs="Segoe UI"/>
                <w:lang w:eastAsia="en-AU"/>
              </w:rPr>
            </w:pPr>
          </w:p>
        </w:tc>
        <w:tc>
          <w:tcPr>
            <w:tcW w:w="5812" w:type="dxa"/>
            <w:hideMark/>
          </w:tcPr>
          <w:p w14:paraId="2D5511AF"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Access to Client Files Policy</w:t>
            </w:r>
          </w:p>
        </w:tc>
        <w:tc>
          <w:tcPr>
            <w:tcW w:w="695" w:type="dxa"/>
          </w:tcPr>
          <w:p w14:paraId="6FA29818"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424E2006" w14:textId="77DF0B99"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2E9DED3F" w14:textId="4A2F5D05"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588F1EA7" w14:textId="77777777" w:rsidR="006C150B" w:rsidRPr="00E52513" w:rsidRDefault="006C150B" w:rsidP="00AB51D7">
            <w:pPr>
              <w:rPr>
                <w:rFonts w:cs="Segoe UI"/>
                <w:lang w:eastAsia="en-AU"/>
              </w:rPr>
            </w:pPr>
          </w:p>
        </w:tc>
        <w:tc>
          <w:tcPr>
            <w:tcW w:w="5812" w:type="dxa"/>
            <w:hideMark/>
          </w:tcPr>
          <w:p w14:paraId="0597E0F6"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Client rights</w:t>
            </w:r>
          </w:p>
        </w:tc>
        <w:tc>
          <w:tcPr>
            <w:tcW w:w="695" w:type="dxa"/>
          </w:tcPr>
          <w:p w14:paraId="7FE23CE4"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161076AA" w14:textId="42CCDF1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2724A62A" w14:textId="10A5162D"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7BA36658" w14:textId="77777777" w:rsidR="006C150B" w:rsidRPr="00E52513" w:rsidRDefault="006C150B" w:rsidP="00AB51D7">
            <w:pPr>
              <w:rPr>
                <w:rFonts w:cs="Segoe UI"/>
                <w:lang w:eastAsia="en-AU"/>
              </w:rPr>
            </w:pPr>
          </w:p>
        </w:tc>
        <w:tc>
          <w:tcPr>
            <w:tcW w:w="5812" w:type="dxa"/>
            <w:hideMark/>
          </w:tcPr>
          <w:p w14:paraId="469A43B7"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Access and Eligibility Policy</w:t>
            </w:r>
          </w:p>
        </w:tc>
        <w:tc>
          <w:tcPr>
            <w:tcW w:w="695" w:type="dxa"/>
          </w:tcPr>
          <w:p w14:paraId="2E9F5E28"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28507B97" w14:textId="4896A45C"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3C8F5621" w14:textId="32A20F05" w:rsidTr="00673EB6">
        <w:trPr>
          <w:trHeight w:val="267"/>
        </w:trPr>
        <w:tc>
          <w:tcPr>
            <w:cnfStyle w:val="001000000000" w:firstRow="0" w:lastRow="0" w:firstColumn="1" w:lastColumn="0" w:oddVBand="0" w:evenVBand="0" w:oddHBand="0" w:evenHBand="0" w:firstRowFirstColumn="0" w:firstRowLastColumn="0" w:lastRowFirstColumn="0" w:lastRowLastColumn="0"/>
            <w:tcW w:w="1951" w:type="dxa"/>
            <w:hideMark/>
          </w:tcPr>
          <w:p w14:paraId="44075533" w14:textId="77777777" w:rsidR="006C150B" w:rsidRPr="00E52513" w:rsidRDefault="006C150B" w:rsidP="00AB51D7">
            <w:pPr>
              <w:rPr>
                <w:rFonts w:cs="Segoe UI"/>
                <w:lang w:eastAsia="en-AU"/>
              </w:rPr>
            </w:pPr>
          </w:p>
        </w:tc>
        <w:tc>
          <w:tcPr>
            <w:tcW w:w="5812" w:type="dxa"/>
            <w:hideMark/>
          </w:tcPr>
          <w:p w14:paraId="685C6B5A"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sz w:val="20"/>
                <w:lang w:eastAsia="en-AU"/>
              </w:rPr>
            </w:pPr>
            <w:r w:rsidRPr="00E52513">
              <w:rPr>
                <w:rFonts w:cs="Segoe UI"/>
                <w:sz w:val="20"/>
                <w:lang w:eastAsia="en-AU"/>
              </w:rPr>
              <w:t>Emergency Relief Policy</w:t>
            </w:r>
          </w:p>
        </w:tc>
        <w:tc>
          <w:tcPr>
            <w:tcW w:w="695" w:type="dxa"/>
          </w:tcPr>
          <w:p w14:paraId="216DC0FD"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sz w:val="20"/>
                <w:lang w:eastAsia="en-AU"/>
              </w:rPr>
            </w:pPr>
          </w:p>
        </w:tc>
        <w:tc>
          <w:tcPr>
            <w:tcW w:w="1006" w:type="dxa"/>
          </w:tcPr>
          <w:p w14:paraId="0E271161" w14:textId="562C29B3"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sz w:val="20"/>
                <w:lang w:eastAsia="en-AU"/>
              </w:rPr>
            </w:pPr>
            <w:r w:rsidRPr="00E52513">
              <w:rPr>
                <w:rFonts w:cs="Segoe UI"/>
                <w:color w:val="000000"/>
                <w:sz w:val="20"/>
                <w:lang w:eastAsia="en-AU"/>
              </w:rPr>
              <w:sym w:font="Wingdings" w:char="F0FC"/>
            </w:r>
          </w:p>
        </w:tc>
      </w:tr>
      <w:tr w:rsidR="006C150B" w:rsidRPr="00E52513" w14:paraId="0D63977C" w14:textId="0BD2728F"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61E8022F" w14:textId="77777777" w:rsidR="006C150B" w:rsidRPr="00E52513" w:rsidRDefault="006C150B" w:rsidP="00AB51D7">
            <w:pPr>
              <w:rPr>
                <w:rFonts w:cs="Segoe UI"/>
                <w:lang w:eastAsia="en-AU"/>
              </w:rPr>
            </w:pPr>
          </w:p>
        </w:tc>
        <w:tc>
          <w:tcPr>
            <w:tcW w:w="5812" w:type="dxa"/>
            <w:hideMark/>
          </w:tcPr>
          <w:p w14:paraId="1CA8A8E2" w14:textId="77777777" w:rsidR="006C150B" w:rsidRPr="00E52513" w:rsidRDefault="006C150B"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Rostering Policy</w:t>
            </w:r>
          </w:p>
        </w:tc>
        <w:tc>
          <w:tcPr>
            <w:tcW w:w="695" w:type="dxa"/>
          </w:tcPr>
          <w:p w14:paraId="094D6763" w14:textId="77777777"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c>
          <w:tcPr>
            <w:tcW w:w="1006" w:type="dxa"/>
          </w:tcPr>
          <w:p w14:paraId="238193E5" w14:textId="77488E6B" w:rsidR="006C150B"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r>
      <w:tr w:rsidR="006C150B" w:rsidRPr="00E52513" w14:paraId="11BE15D1" w14:textId="3D1377A8" w:rsidTr="00673EB6">
        <w:trPr>
          <w:trHeight w:val="300"/>
        </w:trPr>
        <w:tc>
          <w:tcPr>
            <w:cnfStyle w:val="001000000000" w:firstRow="0" w:lastRow="0" w:firstColumn="1" w:lastColumn="0" w:oddVBand="0" w:evenVBand="0" w:oddHBand="0" w:evenHBand="0" w:firstRowFirstColumn="0" w:firstRowLastColumn="0" w:lastRowFirstColumn="0" w:lastRowLastColumn="0"/>
            <w:tcW w:w="1951" w:type="dxa"/>
            <w:hideMark/>
          </w:tcPr>
          <w:p w14:paraId="40B7180F" w14:textId="77777777" w:rsidR="00C72CD0" w:rsidRPr="00E52513" w:rsidRDefault="00C72CD0" w:rsidP="00AB51D7">
            <w:pPr>
              <w:rPr>
                <w:rFonts w:cs="Segoe UI"/>
                <w:lang w:eastAsia="en-AU"/>
              </w:rPr>
            </w:pPr>
            <w:r w:rsidRPr="00E52513">
              <w:rPr>
                <w:rFonts w:cs="Segoe UI"/>
                <w:lang w:eastAsia="en-AU"/>
              </w:rPr>
              <w:t> Miscellaneous</w:t>
            </w:r>
          </w:p>
        </w:tc>
        <w:tc>
          <w:tcPr>
            <w:tcW w:w="5812" w:type="dxa"/>
            <w:hideMark/>
          </w:tcPr>
          <w:p w14:paraId="4B22D123" w14:textId="77777777" w:rsidR="00C72CD0" w:rsidRPr="00E52513" w:rsidRDefault="00C72CD0" w:rsidP="00AB51D7">
            <w:pP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t>Development of Policies Policy</w:t>
            </w:r>
          </w:p>
        </w:tc>
        <w:tc>
          <w:tcPr>
            <w:tcW w:w="695" w:type="dxa"/>
          </w:tcPr>
          <w:p w14:paraId="54AA5737" w14:textId="20605AFA" w:rsidR="00C72CD0" w:rsidRPr="00E52513" w:rsidRDefault="006C150B"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r w:rsidRPr="00E52513">
              <w:rPr>
                <w:rFonts w:cs="Segoe UI"/>
                <w:color w:val="000000"/>
                <w:sz w:val="20"/>
                <w:lang w:eastAsia="en-AU"/>
              </w:rPr>
              <w:sym w:font="Wingdings" w:char="F0FC"/>
            </w:r>
          </w:p>
        </w:tc>
        <w:tc>
          <w:tcPr>
            <w:tcW w:w="1006" w:type="dxa"/>
          </w:tcPr>
          <w:p w14:paraId="2EE23C1A" w14:textId="77777777" w:rsidR="00C72CD0" w:rsidRPr="00E52513" w:rsidRDefault="00C72CD0" w:rsidP="00AB51D7">
            <w:pPr>
              <w:jc w:val="center"/>
              <w:cnfStyle w:val="000000000000" w:firstRow="0" w:lastRow="0" w:firstColumn="0" w:lastColumn="0" w:oddVBand="0" w:evenVBand="0" w:oddHBand="0" w:evenHBand="0" w:firstRowFirstColumn="0" w:firstRowLastColumn="0" w:lastRowFirstColumn="0" w:lastRowLastColumn="0"/>
              <w:rPr>
                <w:rFonts w:cs="Segoe UI"/>
                <w:color w:val="000000"/>
                <w:sz w:val="20"/>
                <w:lang w:eastAsia="en-AU"/>
              </w:rPr>
            </w:pPr>
          </w:p>
        </w:tc>
      </w:tr>
    </w:tbl>
    <w:p w14:paraId="4457AE32" w14:textId="77777777" w:rsidR="00C72CD0" w:rsidRPr="00E52513" w:rsidRDefault="00C72CD0" w:rsidP="00C72CD0">
      <w:pPr>
        <w:sectPr w:rsidR="00C72CD0" w:rsidRPr="00E52513" w:rsidSect="008040F0">
          <w:headerReference w:type="default" r:id="rId62"/>
          <w:footerReference w:type="default" r:id="rId63"/>
          <w:pgSz w:w="11906" w:h="16838"/>
          <w:pgMar w:top="1440" w:right="1080" w:bottom="1440" w:left="1080" w:header="709" w:footer="454" w:gutter="0"/>
          <w:cols w:space="708"/>
          <w:docGrid w:linePitch="360"/>
        </w:sectPr>
      </w:pPr>
    </w:p>
    <w:p w14:paraId="72C281A3" w14:textId="4D855BCA" w:rsidR="00C72CD0" w:rsidRPr="00E52513" w:rsidRDefault="00C72CD0" w:rsidP="008D5B4D">
      <w:pPr>
        <w:pStyle w:val="Heading1"/>
        <w:numPr>
          <w:ilvl w:val="0"/>
          <w:numId w:val="0"/>
        </w:numPr>
        <w:ind w:left="432"/>
      </w:pPr>
      <w:bookmarkStart w:id="128" w:name="_Toc54966667"/>
      <w:r w:rsidRPr="00E52513">
        <w:lastRenderedPageBreak/>
        <w:t xml:space="preserve">Appendix </w:t>
      </w:r>
      <w:r w:rsidR="007D12CA" w:rsidRPr="00E52513">
        <w:t>5</w:t>
      </w:r>
      <w:r w:rsidRPr="00E52513">
        <w:t>: NICRS position descriptions</w:t>
      </w:r>
      <w:bookmarkEnd w:id="128"/>
    </w:p>
    <w:tbl>
      <w:tblPr>
        <w:tblStyle w:val="MediumGrid2-Accent6"/>
        <w:tblW w:w="9889" w:type="dxa"/>
        <w:tblLayout w:type="fixed"/>
        <w:tblLook w:val="06A0" w:firstRow="1" w:lastRow="0" w:firstColumn="1" w:lastColumn="0" w:noHBand="1" w:noVBand="1"/>
        <w:tblCaption w:val="Table of NICRS position descriptions"/>
        <w:tblDescription w:val="Position titles are in the left hand column - Chief Executive/Project Director, Senior Cultural Advisor, Project Manager, Senior Research and Policy Officer, Community Capacity Building Coordinator, Contract psychologist Finance Officer, Administrative Officer/ Data Officer (WA), Communication and Engagement Officer, Administration Officer (Central Office, Melbourne), National Coordinator, CRSA Levels 4-6, Standby Coordinator, Kimberley CRSA.  Position descriptions are in the right hand column."/>
      </w:tblPr>
      <w:tblGrid>
        <w:gridCol w:w="1809"/>
        <w:gridCol w:w="8080"/>
      </w:tblGrid>
      <w:tr w:rsidR="00C72CD0" w:rsidRPr="00E52513" w14:paraId="0990F80A" w14:textId="77777777" w:rsidTr="0074377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9" w:type="dxa"/>
            <w:shd w:val="clear" w:color="auto" w:fill="E46C0A"/>
          </w:tcPr>
          <w:p w14:paraId="2AF44360" w14:textId="77777777" w:rsidR="00C72CD0" w:rsidRPr="00E52513" w:rsidRDefault="00C72CD0" w:rsidP="00C72CD0">
            <w:pPr>
              <w:rPr>
                <w:sz w:val="20"/>
              </w:rPr>
            </w:pPr>
            <w:r w:rsidRPr="00E52513">
              <w:rPr>
                <w:sz w:val="20"/>
              </w:rPr>
              <w:t>Position</w:t>
            </w:r>
          </w:p>
        </w:tc>
        <w:tc>
          <w:tcPr>
            <w:tcW w:w="8080" w:type="dxa"/>
          </w:tcPr>
          <w:p w14:paraId="77C988C5" w14:textId="77777777" w:rsidR="00C72CD0" w:rsidRPr="00E52513" w:rsidRDefault="00C72CD0" w:rsidP="00C72CD0">
            <w:pPr>
              <w:cnfStyle w:val="100000000000" w:firstRow="1" w:lastRow="0" w:firstColumn="0" w:lastColumn="0" w:oddVBand="0" w:evenVBand="0" w:oddHBand="0" w:evenHBand="0" w:firstRowFirstColumn="0" w:firstRowLastColumn="0" w:lastRowFirstColumn="0" w:lastRowLastColumn="0"/>
              <w:rPr>
                <w:sz w:val="20"/>
              </w:rPr>
            </w:pPr>
            <w:r w:rsidRPr="00E52513">
              <w:rPr>
                <w:sz w:val="20"/>
              </w:rPr>
              <w:t>Role description</w:t>
            </w:r>
          </w:p>
        </w:tc>
      </w:tr>
      <w:tr w:rsidR="00C72CD0" w:rsidRPr="00E52513" w14:paraId="36B08895"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19883E86" w14:textId="77777777" w:rsidR="00C72CD0" w:rsidRPr="00E52513" w:rsidRDefault="00C72CD0" w:rsidP="00C72CD0">
            <w:pPr>
              <w:rPr>
                <w:sz w:val="20"/>
              </w:rPr>
            </w:pPr>
            <w:r w:rsidRPr="00E52513">
              <w:rPr>
                <w:sz w:val="20"/>
              </w:rPr>
              <w:t>Chief Executive/ Project Director</w:t>
            </w:r>
          </w:p>
        </w:tc>
        <w:tc>
          <w:tcPr>
            <w:tcW w:w="8080" w:type="dxa"/>
          </w:tcPr>
          <w:p w14:paraId="1AD35893" w14:textId="77777777" w:rsidR="00C72CD0" w:rsidRPr="00E52513" w:rsidRDefault="00C72CD0" w:rsidP="004A0A9F">
            <w:pPr>
              <w:tabs>
                <w:tab w:val="left" w:pos="153"/>
                <w:tab w:val="left" w:pos="517"/>
              </w:tabs>
              <w:spacing w:before="0"/>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Role Description from Project Manager, March 2020</w:t>
            </w:r>
          </w:p>
          <w:p w14:paraId="38F9B43A" w14:textId="77777777" w:rsidR="00C72CD0" w:rsidRPr="00E52513" w:rsidRDefault="00C72CD0" w:rsidP="00C72CD0">
            <w:pPr>
              <w:tabs>
                <w:tab w:val="left" w:pos="153"/>
                <w:tab w:val="left" w:pos="517"/>
              </w:tabs>
              <w:cnfStyle w:val="000000000000" w:firstRow="0" w:lastRow="0" w:firstColumn="0" w:lastColumn="0" w:oddVBand="0" w:evenVBand="0" w:oddHBand="0" w:evenHBand="0" w:firstRowFirstColumn="0" w:firstRowLastColumn="0" w:lastRowFirstColumn="0" w:lastRowLastColumn="0"/>
              <w:rPr>
                <w:sz w:val="20"/>
              </w:rPr>
            </w:pPr>
            <w:r w:rsidRPr="00E52513">
              <w:rPr>
                <w:sz w:val="20"/>
              </w:rPr>
              <w:t>Key responsibilities of the role include:</w:t>
            </w:r>
          </w:p>
          <w:p w14:paraId="5E83F115" w14:textId="53C486BE"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Leading the project team to achieve the strategic objectives of the project.</w:t>
            </w:r>
          </w:p>
          <w:p w14:paraId="06C48E92" w14:textId="3571FCAB"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Day to day management of all project staff.</w:t>
            </w:r>
          </w:p>
          <w:p w14:paraId="3D9E25A5"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Leading development of a culturally responsive model which promotes better service system coordination and promotes community capacity and resilience for Aboriginal and Torres Strait Islander communities affected by suicide related incidents and / or other highly traumatic critical incidents.</w:t>
            </w:r>
          </w:p>
          <w:p w14:paraId="77170407"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Liaising with key stakeholders in Aboriginal communities and service providers involved in providing critical responses.</w:t>
            </w:r>
          </w:p>
          <w:p w14:paraId="49027F9F"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Providing support as required in enhancing critical responses to Aboriginal and Torres Strait Islander suicide events or circumstances that could trigger suicide</w:t>
            </w:r>
          </w:p>
          <w:p w14:paraId="7FE6D2FF"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Fostering an action learning culture that supports the development of an evidence base on effective interventions to reduce Aboriginal and Torres Strait Islander suicide rates.</w:t>
            </w:r>
          </w:p>
          <w:p w14:paraId="5539717A"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Assuming responsibility to ensure systems and processes are in place to ensure a healthy organisational culture.</w:t>
            </w:r>
          </w:p>
          <w:p w14:paraId="17C3444B"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Ensuring appropriate risk management policies and processes in place.</w:t>
            </w:r>
          </w:p>
          <w:p w14:paraId="391FA519" w14:textId="77777777" w:rsidR="00C72CD0" w:rsidRPr="00E52513" w:rsidRDefault="00C72CD0" w:rsidP="00BB0C58">
            <w:pPr>
              <w:pStyle w:val="ListParagraph"/>
              <w:numPr>
                <w:ilvl w:val="0"/>
                <w:numId w:val="23"/>
              </w:numPr>
              <w:tabs>
                <w:tab w:val="clear" w:pos="284"/>
              </w:tabs>
              <w:spacing w:before="0" w:after="16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Liaising with and reporting to the NIAA.</w:t>
            </w:r>
          </w:p>
          <w:p w14:paraId="0E0D7E3C" w14:textId="77777777" w:rsidR="00C72CD0" w:rsidRPr="00E52513" w:rsidRDefault="00C72CD0" w:rsidP="00BB0C58">
            <w:pPr>
              <w:pStyle w:val="ListParagraph"/>
              <w:numPr>
                <w:ilvl w:val="0"/>
                <w:numId w:val="23"/>
              </w:numPr>
              <w:tabs>
                <w:tab w:val="clear" w:pos="284"/>
              </w:tabs>
              <w:spacing w:before="0" w:line="259" w:lineRule="auto"/>
              <w:ind w:left="317" w:hanging="307"/>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 xml:space="preserve">To continually develop their own and their team members’ skills and knowledge to assist the project achieve its mission. </w:t>
            </w:r>
          </w:p>
        </w:tc>
      </w:tr>
      <w:tr w:rsidR="00C72CD0" w:rsidRPr="00E52513" w14:paraId="2B730A1E"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2D748C3B" w14:textId="70F6F732" w:rsidR="00C72CD0" w:rsidRPr="00E52513" w:rsidRDefault="00C72CD0" w:rsidP="00C72CD0">
            <w:pPr>
              <w:rPr>
                <w:sz w:val="20"/>
              </w:rPr>
            </w:pPr>
            <w:r w:rsidRPr="00E52513">
              <w:rPr>
                <w:sz w:val="20"/>
              </w:rPr>
              <w:t>Senior Cultural Advisor</w:t>
            </w:r>
          </w:p>
          <w:p w14:paraId="6B346D93" w14:textId="77777777" w:rsidR="00C72CD0" w:rsidRPr="00E52513" w:rsidRDefault="00C72CD0" w:rsidP="00C72CD0">
            <w:pPr>
              <w:rPr>
                <w:sz w:val="20"/>
              </w:rPr>
            </w:pPr>
          </w:p>
          <w:p w14:paraId="555C9ECE" w14:textId="77777777" w:rsidR="00C72CD0" w:rsidRPr="00E52513" w:rsidRDefault="00C72CD0" w:rsidP="00C72CD0">
            <w:pPr>
              <w:rPr>
                <w:sz w:val="20"/>
              </w:rPr>
            </w:pPr>
          </w:p>
        </w:tc>
        <w:tc>
          <w:tcPr>
            <w:tcW w:w="8080" w:type="dxa"/>
          </w:tcPr>
          <w:p w14:paraId="5D452F28" w14:textId="77777777" w:rsidR="00C72CD0" w:rsidRPr="00E52513" w:rsidRDefault="00C72CD0" w:rsidP="00C72CD0">
            <w:pPr>
              <w:tabs>
                <w:tab w:val="left" w:pos="153"/>
                <w:tab w:val="left" w:pos="517"/>
              </w:tabs>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Wording from Position Description</w:t>
            </w:r>
          </w:p>
          <w:p w14:paraId="422F0811" w14:textId="3F790265"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E52513">
              <w:rPr>
                <w:rFonts w:cs="Arial"/>
                <w:color w:val="000000"/>
                <w:sz w:val="20"/>
              </w:rPr>
              <w:t xml:space="preserve">The Senior Cultural Advisor and Mentor will be responsible for the provision and delivery of high levels of culturally sensitive and culturally </w:t>
            </w:r>
            <w:r w:rsidR="00315C77" w:rsidRPr="00E52513">
              <w:rPr>
                <w:rFonts w:cs="Arial"/>
                <w:color w:val="000000"/>
                <w:sz w:val="20"/>
              </w:rPr>
              <w:t>strengths-based</w:t>
            </w:r>
            <w:r w:rsidRPr="00E52513">
              <w:rPr>
                <w:rFonts w:cs="Arial"/>
                <w:color w:val="000000"/>
                <w:sz w:val="20"/>
              </w:rPr>
              <w:t xml:space="preserve"> advice and support to </w:t>
            </w:r>
            <w:proofErr w:type="spellStart"/>
            <w:r w:rsidRPr="00E52513">
              <w:rPr>
                <w:rFonts w:cs="Arial"/>
                <w:color w:val="000000"/>
                <w:sz w:val="20"/>
              </w:rPr>
              <w:t>Thirrili</w:t>
            </w:r>
            <w:proofErr w:type="spellEnd"/>
            <w:r w:rsidRPr="00E52513">
              <w:rPr>
                <w:rFonts w:cs="Arial"/>
                <w:color w:val="000000"/>
                <w:sz w:val="20"/>
              </w:rPr>
              <w:t xml:space="preserve"> projects and personnel.</w:t>
            </w:r>
          </w:p>
          <w:p w14:paraId="21555BA7"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E52513">
              <w:rPr>
                <w:rFonts w:cs="Arial"/>
                <w:color w:val="000000"/>
                <w:sz w:val="20"/>
              </w:rPr>
              <w:t xml:space="preserve">Where assigned, to act as both a cultural mentor and peer support to </w:t>
            </w:r>
            <w:proofErr w:type="spellStart"/>
            <w:r w:rsidRPr="00E52513">
              <w:rPr>
                <w:rFonts w:cs="Arial"/>
                <w:color w:val="000000"/>
                <w:sz w:val="20"/>
              </w:rPr>
              <w:t>Thirrili</w:t>
            </w:r>
            <w:proofErr w:type="spellEnd"/>
            <w:r w:rsidRPr="00E52513">
              <w:rPr>
                <w:rFonts w:cs="Arial"/>
                <w:color w:val="000000"/>
                <w:sz w:val="20"/>
              </w:rPr>
              <w:t xml:space="preserve"> project workers and in particular to the Critical Response Support Advocates of the National Indigenous Critical Response Support Service.</w:t>
            </w:r>
          </w:p>
          <w:p w14:paraId="62A9E996"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E52513">
              <w:rPr>
                <w:rFonts w:cs="Arial"/>
                <w:color w:val="000000"/>
                <w:sz w:val="20"/>
              </w:rPr>
              <w:t>To assist in the cultural learnings and professional cultural development of the NICRS’ Critical Response Support Advocates based in (State/Territory).</w:t>
            </w:r>
          </w:p>
        </w:tc>
      </w:tr>
      <w:tr w:rsidR="00C72CD0" w:rsidRPr="00E52513" w14:paraId="098F0848"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7757E694" w14:textId="77777777" w:rsidR="00C72CD0" w:rsidRPr="00E52513" w:rsidRDefault="00C72CD0" w:rsidP="00C72CD0">
            <w:pPr>
              <w:rPr>
                <w:sz w:val="20"/>
              </w:rPr>
            </w:pPr>
            <w:r w:rsidRPr="00E52513">
              <w:rPr>
                <w:sz w:val="20"/>
              </w:rPr>
              <w:t>Project Manager</w:t>
            </w:r>
          </w:p>
          <w:p w14:paraId="0235B920" w14:textId="77777777" w:rsidR="00C72CD0" w:rsidRPr="00E52513" w:rsidRDefault="00C72CD0" w:rsidP="00C72CD0">
            <w:pPr>
              <w:rPr>
                <w:sz w:val="20"/>
              </w:rPr>
            </w:pPr>
          </w:p>
        </w:tc>
        <w:tc>
          <w:tcPr>
            <w:tcW w:w="8080" w:type="dxa"/>
          </w:tcPr>
          <w:p w14:paraId="620BAFC1" w14:textId="77777777" w:rsidR="00C72CD0" w:rsidRPr="00E52513" w:rsidRDefault="00C72CD0" w:rsidP="004A0A9F">
            <w:pPr>
              <w:spacing w:before="0"/>
              <w:cnfStyle w:val="000000000000" w:firstRow="0" w:lastRow="0" w:firstColumn="0" w:lastColumn="0" w:oddVBand="0" w:evenVBand="0" w:oddHBand="0" w:evenHBand="0" w:firstRowFirstColumn="0" w:firstRowLastColumn="0" w:lastRowFirstColumn="0" w:lastRowLastColumn="0"/>
              <w:rPr>
                <w:b/>
                <w:color w:val="000000"/>
                <w:sz w:val="20"/>
              </w:rPr>
            </w:pPr>
            <w:r w:rsidRPr="00E52513">
              <w:rPr>
                <w:b/>
                <w:color w:val="000000"/>
                <w:sz w:val="20"/>
              </w:rPr>
              <w:t>No formal Position Description available</w:t>
            </w:r>
          </w:p>
          <w:p w14:paraId="7562629E" w14:textId="77777777" w:rsidR="00C72CD0" w:rsidRPr="00E52513" w:rsidRDefault="00C72CD0" w:rsidP="004A0A9F">
            <w:pPr>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The Project Manager has supported the Project Director through:</w:t>
            </w:r>
          </w:p>
          <w:p w14:paraId="5A6E40A2" w14:textId="77777777" w:rsidR="00C72CD0" w:rsidRPr="00E52513" w:rsidRDefault="00C72CD0" w:rsidP="00BB0C58">
            <w:pPr>
              <w:pStyle w:val="ListParagraph"/>
              <w:numPr>
                <w:ilvl w:val="0"/>
                <w:numId w:val="22"/>
              </w:numPr>
              <w:spacing w:before="0" w:after="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documentation of the service model, service delivery policies and organisational policies to support the delivery of responsive services</w:t>
            </w:r>
          </w:p>
          <w:p w14:paraId="52B25CA5" w14:textId="77777777" w:rsidR="00C72CD0" w:rsidRPr="00E52513" w:rsidRDefault="00C72CD0" w:rsidP="00BB0C58">
            <w:pPr>
              <w:pStyle w:val="ListParagraph"/>
              <w:numPr>
                <w:ilvl w:val="0"/>
                <w:numId w:val="22"/>
              </w:numPr>
              <w:spacing w:before="0" w:after="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supporting development &amp; training around use of the Online Records System</w:t>
            </w:r>
          </w:p>
          <w:p w14:paraId="1F98FEF5" w14:textId="77777777" w:rsidR="00C72CD0" w:rsidRPr="00E52513" w:rsidRDefault="00C72CD0" w:rsidP="00BB0C58">
            <w:pPr>
              <w:pStyle w:val="ListParagraph"/>
              <w:numPr>
                <w:ilvl w:val="0"/>
                <w:numId w:val="22"/>
              </w:numPr>
              <w:spacing w:before="0" w:after="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preparing papers for the Board and subcommittee meetings, and</w:t>
            </w:r>
          </w:p>
          <w:p w14:paraId="4B79CEC0" w14:textId="77777777" w:rsidR="00C72CD0" w:rsidRPr="00E52513" w:rsidRDefault="00C72CD0" w:rsidP="00BB0C58">
            <w:pPr>
              <w:pStyle w:val="ListParagraph"/>
              <w:numPr>
                <w:ilvl w:val="0"/>
                <w:numId w:val="22"/>
              </w:numPr>
              <w:spacing w:before="0" w:after="0"/>
              <w:ind w:left="258" w:hanging="258"/>
              <w:cnfStyle w:val="000000000000" w:firstRow="0" w:lastRow="0" w:firstColumn="0" w:lastColumn="0" w:oddVBand="0" w:evenVBand="0" w:oddHBand="0" w:evenHBand="0" w:firstRowFirstColumn="0" w:firstRowLastColumn="0" w:lastRowFirstColumn="0" w:lastRowLastColumn="0"/>
              <w:rPr>
                <w:color w:val="000000"/>
                <w:sz w:val="20"/>
              </w:rPr>
            </w:pPr>
            <w:proofErr w:type="gramStart"/>
            <w:r w:rsidRPr="00E52513">
              <w:rPr>
                <w:color w:val="000000"/>
                <w:sz w:val="20"/>
              </w:rPr>
              <w:t>human</w:t>
            </w:r>
            <w:proofErr w:type="gramEnd"/>
            <w:r w:rsidRPr="00E52513">
              <w:rPr>
                <w:color w:val="000000"/>
                <w:sz w:val="20"/>
              </w:rPr>
              <w:t xml:space="preserve"> resources management, and complaints and grievance officer.</w:t>
            </w:r>
          </w:p>
          <w:p w14:paraId="1AFD7C1C"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sz w:val="20"/>
              </w:rPr>
            </w:pPr>
            <w:r w:rsidRPr="00E52513">
              <w:rPr>
                <w:color w:val="000000"/>
                <w:sz w:val="20"/>
              </w:rPr>
              <w:t xml:space="preserve">The Project Manager currently manages the Communications and Engagement Officer, the Data Officer and the Administration Officer. </w:t>
            </w:r>
          </w:p>
        </w:tc>
      </w:tr>
      <w:tr w:rsidR="00C72CD0" w:rsidRPr="00E52513" w14:paraId="26E40040"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4F3D57EB" w14:textId="77777777" w:rsidR="00C72CD0" w:rsidRPr="00E52513" w:rsidRDefault="00C72CD0" w:rsidP="00C72CD0">
            <w:pPr>
              <w:rPr>
                <w:sz w:val="20"/>
              </w:rPr>
            </w:pPr>
            <w:r w:rsidRPr="00E52513">
              <w:rPr>
                <w:sz w:val="20"/>
              </w:rPr>
              <w:lastRenderedPageBreak/>
              <w:t xml:space="preserve">Senior Research and Policy Officer </w:t>
            </w:r>
          </w:p>
        </w:tc>
        <w:tc>
          <w:tcPr>
            <w:tcW w:w="8080" w:type="dxa"/>
          </w:tcPr>
          <w:p w14:paraId="7F62C130" w14:textId="77777777" w:rsidR="00C72CD0" w:rsidRPr="00E52513" w:rsidRDefault="00C72CD0" w:rsidP="004A0A9F">
            <w:pPr>
              <w:tabs>
                <w:tab w:val="left" w:pos="153"/>
                <w:tab w:val="left" w:pos="517"/>
              </w:tabs>
              <w:spacing w:before="0"/>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Wording from Position Description</w:t>
            </w:r>
          </w:p>
          <w:p w14:paraId="0A9A4115"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The role of the Senior Research and Policy Officer will involve:</w:t>
            </w:r>
          </w:p>
          <w:p w14:paraId="5ABF72A8" w14:textId="3D142B1B" w:rsidR="00C72CD0" w:rsidRPr="00E52513" w:rsidRDefault="0004737F"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preparing policy papers and discussion papers for the endorsement of </w:t>
            </w:r>
            <w:proofErr w:type="spellStart"/>
            <w:r w:rsidRPr="00E52513">
              <w:rPr>
                <w:color w:val="000000"/>
                <w:sz w:val="20"/>
              </w:rPr>
              <w:t>Thirrili</w:t>
            </w:r>
            <w:proofErr w:type="spellEnd"/>
            <w:r w:rsidRPr="00E52513">
              <w:rPr>
                <w:color w:val="000000"/>
                <w:sz w:val="20"/>
              </w:rPr>
              <w:t xml:space="preserve"> Board to guide directions in the development of the NICRS, in particular, service delivery directions, and advocacy for systemic change to address the contributing factors associated with the high rates of suicide amongst Aboriginal and Torres Strait Islander communities</w:t>
            </w:r>
          </w:p>
          <w:p w14:paraId="7D9E816D"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working closely with the Chief Executive Officer to advocate for:</w:t>
            </w:r>
          </w:p>
          <w:p w14:paraId="44D8301A" w14:textId="77777777"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systemic change in the area of child protection</w:t>
            </w:r>
          </w:p>
          <w:p w14:paraId="34BA38E0" w14:textId="4B895CA3"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greater focus in suicide prevention responses for young women,</w:t>
            </w:r>
          </w:p>
          <w:p w14:paraId="6724C4A3" w14:textId="6FB3B154"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greater focus on addressing the social determinants of health contributing to suicide and</w:t>
            </w:r>
          </w:p>
          <w:p w14:paraId="08988433" w14:textId="77777777"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color w:val="000000"/>
                <w:sz w:val="20"/>
              </w:rPr>
            </w:pPr>
            <w:proofErr w:type="gramStart"/>
            <w:r w:rsidRPr="00E52513">
              <w:rPr>
                <w:color w:val="000000"/>
                <w:sz w:val="20"/>
              </w:rPr>
              <w:t>strengthening</w:t>
            </w:r>
            <w:proofErr w:type="gramEnd"/>
            <w:r w:rsidRPr="00E52513">
              <w:rPr>
                <w:color w:val="000000"/>
                <w:sz w:val="20"/>
              </w:rPr>
              <w:t xml:space="preserve"> the social and emotional wellbeing of communities affected by high rates of suicide.</w:t>
            </w:r>
          </w:p>
          <w:p w14:paraId="5E1449FA"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build strong partnerships with other research institutions such as </w:t>
            </w:r>
            <w:proofErr w:type="spellStart"/>
            <w:r w:rsidRPr="00E52513">
              <w:rPr>
                <w:color w:val="000000"/>
                <w:sz w:val="20"/>
              </w:rPr>
              <w:t>Lowitja</w:t>
            </w:r>
            <w:proofErr w:type="spellEnd"/>
            <w:r w:rsidRPr="00E52513">
              <w:rPr>
                <w:color w:val="000000"/>
                <w:sz w:val="20"/>
              </w:rPr>
              <w:t xml:space="preserve"> Institute, Healing Foundation and Centre of Best Practice in Aboriginal and Torres Strait Islander Suicide Prevention</w:t>
            </w:r>
          </w:p>
          <w:p w14:paraId="4B66F787"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preparing presentations for the Chief Executive as well as making presentations at National and State /Territory Conferences to inform service providers about the work of the NICRS in providing </w:t>
            </w:r>
            <w:proofErr w:type="spellStart"/>
            <w:r w:rsidRPr="00E52513">
              <w:rPr>
                <w:color w:val="000000"/>
                <w:sz w:val="20"/>
              </w:rPr>
              <w:t>postvention</w:t>
            </w:r>
            <w:proofErr w:type="spellEnd"/>
            <w:r w:rsidRPr="00E52513">
              <w:rPr>
                <w:color w:val="000000"/>
                <w:sz w:val="20"/>
              </w:rPr>
              <w:t xml:space="preserve"> support, and building </w:t>
            </w:r>
            <w:proofErr w:type="spellStart"/>
            <w:r w:rsidRPr="00E52513">
              <w:rPr>
                <w:color w:val="000000"/>
                <w:sz w:val="20"/>
              </w:rPr>
              <w:t>postvention</w:t>
            </w:r>
            <w:proofErr w:type="spellEnd"/>
            <w:r w:rsidRPr="00E52513">
              <w:rPr>
                <w:color w:val="000000"/>
                <w:sz w:val="20"/>
              </w:rPr>
              <w:t xml:space="preserve"> capacity in communities</w:t>
            </w:r>
          </w:p>
          <w:p w14:paraId="4832CB9C"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reviewing policy directions and the literature and providing advice to the National Coordinator, Critical Response Service, and the Community Capacity Building Project Officer to inform the development of our services</w:t>
            </w:r>
          </w:p>
          <w:p w14:paraId="5FBA0A25"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support quality improvement initiatives and program evaluation activities of the NICRS through:</w:t>
            </w:r>
          </w:p>
          <w:p w14:paraId="7F240B8C" w14:textId="5BA6D4BB"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analysis of program data to identify client needs and report on program achievements, and</w:t>
            </w:r>
          </w:p>
          <w:p w14:paraId="24DBFF75" w14:textId="77777777" w:rsidR="00C72CD0" w:rsidRPr="00E52513" w:rsidRDefault="00C72CD0" w:rsidP="00BB0C58">
            <w:pPr>
              <w:pStyle w:val="ListParagraph"/>
              <w:numPr>
                <w:ilvl w:val="1"/>
                <w:numId w:val="22"/>
              </w:numPr>
              <w:spacing w:before="0"/>
              <w:ind w:left="542" w:hanging="284"/>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52513">
              <w:rPr>
                <w:color w:val="000000"/>
                <w:sz w:val="20"/>
              </w:rPr>
              <w:t>analysis</w:t>
            </w:r>
            <w:proofErr w:type="gramEnd"/>
            <w:r w:rsidRPr="00E52513">
              <w:rPr>
                <w:color w:val="000000"/>
                <w:sz w:val="20"/>
              </w:rPr>
              <w:t xml:space="preserve"> of client feedback with the view to strengthening service delivery.</w:t>
            </w:r>
          </w:p>
        </w:tc>
      </w:tr>
      <w:tr w:rsidR="00C72CD0" w:rsidRPr="00E52513" w14:paraId="6410C887"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13EA5B70" w14:textId="69FA00FE" w:rsidR="00C72CD0" w:rsidRPr="00E52513" w:rsidRDefault="00C72CD0" w:rsidP="00C72CD0">
            <w:pPr>
              <w:rPr>
                <w:sz w:val="20"/>
              </w:rPr>
            </w:pPr>
            <w:r w:rsidRPr="00E52513">
              <w:rPr>
                <w:sz w:val="20"/>
              </w:rPr>
              <w:t>Community Capacity</w:t>
            </w:r>
            <w:r w:rsidR="00D73661" w:rsidRPr="00E52513">
              <w:rPr>
                <w:sz w:val="20"/>
              </w:rPr>
              <w:t xml:space="preserve"> </w:t>
            </w:r>
            <w:r w:rsidRPr="00E52513">
              <w:rPr>
                <w:sz w:val="20"/>
              </w:rPr>
              <w:t>Building Coordinator</w:t>
            </w:r>
          </w:p>
        </w:tc>
        <w:tc>
          <w:tcPr>
            <w:tcW w:w="8080" w:type="dxa"/>
          </w:tcPr>
          <w:p w14:paraId="20C29668"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No specific role description provided beyond the CRSA role description.</w:t>
            </w:r>
          </w:p>
        </w:tc>
      </w:tr>
      <w:tr w:rsidR="00C72CD0" w:rsidRPr="00E52513" w14:paraId="5D06E051"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72E9DE72" w14:textId="77777777" w:rsidR="00C72CD0" w:rsidRPr="00E52513" w:rsidRDefault="00C72CD0" w:rsidP="00C72CD0">
            <w:pPr>
              <w:rPr>
                <w:sz w:val="20"/>
              </w:rPr>
            </w:pPr>
            <w:r w:rsidRPr="00E52513">
              <w:rPr>
                <w:sz w:val="20"/>
              </w:rPr>
              <w:t>Contract psychologist</w:t>
            </w:r>
          </w:p>
        </w:tc>
        <w:tc>
          <w:tcPr>
            <w:tcW w:w="8080" w:type="dxa"/>
          </w:tcPr>
          <w:p w14:paraId="1107C1D7" w14:textId="12E49053"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b/>
                <w:color w:val="000000"/>
                <w:sz w:val="20"/>
              </w:rPr>
            </w:pPr>
            <w:r w:rsidRPr="00E52513">
              <w:rPr>
                <w:b/>
                <w:color w:val="000000"/>
                <w:sz w:val="20"/>
              </w:rPr>
              <w:t xml:space="preserve">No Position Description available. </w:t>
            </w:r>
            <w:r w:rsidR="004A0A9F" w:rsidRPr="00E52513">
              <w:rPr>
                <w:b/>
                <w:color w:val="000000"/>
                <w:sz w:val="20"/>
              </w:rPr>
              <w:t xml:space="preserve">Wording provided by </w:t>
            </w:r>
            <w:r w:rsidRPr="00E52513">
              <w:rPr>
                <w:b/>
                <w:color w:val="000000"/>
                <w:sz w:val="20"/>
              </w:rPr>
              <w:t>Project Manager, March 2020.</w:t>
            </w:r>
          </w:p>
          <w:p w14:paraId="71A40355" w14:textId="2A3BF575"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sz w:val="20"/>
              </w:rPr>
            </w:pPr>
            <w:r w:rsidRPr="00E52513">
              <w:rPr>
                <w:sz w:val="20"/>
              </w:rPr>
              <w:t xml:space="preserve">This role is an important role in supporting good wellbeing governance across the organisation (often known as clinical governance). Currently the </w:t>
            </w:r>
            <w:r w:rsidR="00ED7281" w:rsidRPr="00E52513">
              <w:rPr>
                <w:sz w:val="20"/>
              </w:rPr>
              <w:t>psychologist</w:t>
            </w:r>
            <w:r w:rsidRPr="00E52513">
              <w:rPr>
                <w:sz w:val="20"/>
              </w:rPr>
              <w:t xml:space="preserve"> leads monthly case conferences which all CRSAs are expected to attend. She has also recently commenced providing clinical supervision to the CRSAs and </w:t>
            </w:r>
            <w:proofErr w:type="spellStart"/>
            <w:r w:rsidRPr="00E52513">
              <w:rPr>
                <w:sz w:val="20"/>
              </w:rPr>
              <w:t>StandBy</w:t>
            </w:r>
            <w:proofErr w:type="spellEnd"/>
            <w:r w:rsidRPr="00E52513">
              <w:rPr>
                <w:sz w:val="20"/>
              </w:rPr>
              <w:t xml:space="preserve"> Coordinator in the NT, and provides individual support as required to team members. We are currently reviewing the needs for clinical supervision across the organisation.</w:t>
            </w:r>
          </w:p>
          <w:p w14:paraId="3C20D6DB" w14:textId="59445614"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sz w:val="20"/>
              </w:rPr>
            </w:pPr>
            <w:r w:rsidRPr="00E52513">
              <w:rPr>
                <w:sz w:val="20"/>
              </w:rPr>
              <w:lastRenderedPageBreak/>
              <w:t>The psychologist has provided support on an as needs basis in relation to the development of service delivery policies and informed the development of the information gathering tools which supports workers identification of client need, case management plan tool, and case note form. At the annual 2019 staff retreat, she provided significant professional development for CRSAs in the role of supporting clients which included issues around: Good clinical governance and case management; self-care; and mandatory reporting.</w:t>
            </w:r>
          </w:p>
          <w:p w14:paraId="52DF5684"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sz w:val="20"/>
              </w:rPr>
            </w:pPr>
            <w:r w:rsidRPr="00E52513">
              <w:rPr>
                <w:sz w:val="20"/>
              </w:rPr>
              <w:t xml:space="preserve">In the last month, she has reviewed all our service delivery policies, which are in the process of being approved by the Chief Executive or the Board, as appropriate, and we have engaged her to develop a number of other policies that we have identified as needed. </w:t>
            </w:r>
          </w:p>
        </w:tc>
      </w:tr>
      <w:tr w:rsidR="00C72CD0" w:rsidRPr="00E52513" w14:paraId="56A20A54"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6BD85F83" w14:textId="77777777" w:rsidR="00C72CD0" w:rsidRPr="00E52513" w:rsidRDefault="00C72CD0" w:rsidP="00C72CD0">
            <w:pPr>
              <w:rPr>
                <w:sz w:val="20"/>
              </w:rPr>
            </w:pPr>
            <w:r w:rsidRPr="00E52513">
              <w:rPr>
                <w:sz w:val="20"/>
              </w:rPr>
              <w:lastRenderedPageBreak/>
              <w:t>Finance Officer</w:t>
            </w:r>
          </w:p>
        </w:tc>
        <w:tc>
          <w:tcPr>
            <w:tcW w:w="8080" w:type="dxa"/>
          </w:tcPr>
          <w:p w14:paraId="66D5077E" w14:textId="77777777" w:rsidR="00C72CD0" w:rsidRPr="00E52513" w:rsidRDefault="00C72CD0" w:rsidP="00C72CD0">
            <w:pPr>
              <w:tabs>
                <w:tab w:val="left" w:pos="153"/>
                <w:tab w:val="left" w:pos="517"/>
              </w:tabs>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Wording from Position Description</w:t>
            </w:r>
          </w:p>
          <w:p w14:paraId="158D63FD" w14:textId="2DA72F88" w:rsidR="00C72CD0" w:rsidRPr="00E52513" w:rsidRDefault="00C72CD0" w:rsidP="00C72CD0">
            <w:pPr>
              <w:pStyle w:val="BodyCopy"/>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color w:val="auto"/>
                <w:spacing w:val="0"/>
                <w:sz w:val="20"/>
              </w:rPr>
            </w:pPr>
            <w:r w:rsidRPr="00E52513">
              <w:rPr>
                <w:rFonts w:ascii="Segoe UI" w:eastAsia="Times New Roman" w:hAnsi="Segoe UI" w:cstheme="minorBidi"/>
                <w:color w:val="auto"/>
                <w:spacing w:val="0"/>
                <w:sz w:val="20"/>
              </w:rPr>
              <w:t>The role of the Finance Officer is to provide high</w:t>
            </w:r>
            <w:r w:rsidR="00D73661" w:rsidRPr="00E52513">
              <w:rPr>
                <w:rFonts w:ascii="Segoe UI" w:eastAsia="Times New Roman" w:hAnsi="Segoe UI" w:cstheme="minorBidi"/>
                <w:color w:val="auto"/>
                <w:spacing w:val="0"/>
                <w:sz w:val="20"/>
              </w:rPr>
              <w:t xml:space="preserve"> </w:t>
            </w:r>
            <w:r w:rsidRPr="00E52513">
              <w:rPr>
                <w:rFonts w:ascii="Segoe UI" w:eastAsia="Times New Roman" w:hAnsi="Segoe UI" w:cstheme="minorBidi"/>
                <w:color w:val="auto"/>
                <w:spacing w:val="0"/>
                <w:sz w:val="20"/>
              </w:rPr>
              <w:t xml:space="preserve">level financial and associated administrative support to </w:t>
            </w:r>
            <w:proofErr w:type="spellStart"/>
            <w:r w:rsidRPr="00E52513">
              <w:rPr>
                <w:rFonts w:ascii="Segoe UI" w:eastAsia="Times New Roman" w:hAnsi="Segoe UI" w:cstheme="minorBidi"/>
                <w:color w:val="auto"/>
                <w:spacing w:val="0"/>
                <w:sz w:val="20"/>
              </w:rPr>
              <w:t>Thirrili</w:t>
            </w:r>
            <w:proofErr w:type="spellEnd"/>
            <w:r w:rsidRPr="00E52513">
              <w:rPr>
                <w:rFonts w:ascii="Segoe UI" w:eastAsia="Times New Roman" w:hAnsi="Segoe UI" w:cstheme="minorBidi"/>
                <w:color w:val="auto"/>
                <w:spacing w:val="0"/>
                <w:sz w:val="20"/>
              </w:rPr>
              <w:t xml:space="preserve"> Ltd, and encompasses undertaking tasks and activities related to:</w:t>
            </w:r>
          </w:p>
          <w:p w14:paraId="6C419402" w14:textId="01D74E53"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Accounts – invoicing, purchasing, payment processing, reconciliations including bank reconciliations, and monitoring and reporting on expenditure.</w:t>
            </w:r>
          </w:p>
          <w:p w14:paraId="2AD80C49" w14:textId="42F47653"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Payroll – records and </w:t>
            </w:r>
            <w:r w:rsidR="00315C77" w:rsidRPr="00E52513">
              <w:rPr>
                <w:color w:val="000000"/>
                <w:sz w:val="20"/>
              </w:rPr>
              <w:t>processing.</w:t>
            </w:r>
          </w:p>
          <w:p w14:paraId="3D5C143A" w14:textId="4AD9D1DC"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Emergency Relief Fund – processing of monies, liaison with general stores to purchase goods, maintaining records and </w:t>
            </w:r>
            <w:r w:rsidR="00315C77" w:rsidRPr="00E52513">
              <w:rPr>
                <w:color w:val="000000"/>
                <w:sz w:val="20"/>
              </w:rPr>
              <w:t>reporting.</w:t>
            </w:r>
          </w:p>
          <w:p w14:paraId="1080C865"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Policy and Procedures – assistance with the development, review and implementation of best practice policies and procedures related to financial management; and</w:t>
            </w:r>
          </w:p>
          <w:p w14:paraId="37947D92"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E52513">
              <w:rPr>
                <w:color w:val="000000"/>
                <w:sz w:val="20"/>
              </w:rPr>
              <w:t>Reporting – provision of monthly financial reports for managers, quarterly reports for Board Finance and Audit Committee, monitoring of accounts, and recommendations to strengthen organisational efficiency and financial systems.</w:t>
            </w:r>
            <w:r w:rsidRPr="00E52513">
              <w:rPr>
                <w:sz w:val="20"/>
                <w:szCs w:val="20"/>
              </w:rPr>
              <w:t xml:space="preserve"> </w:t>
            </w:r>
          </w:p>
        </w:tc>
      </w:tr>
      <w:tr w:rsidR="00C72CD0" w:rsidRPr="00E52513" w14:paraId="565DAEA5"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21730C83" w14:textId="3BE4786E" w:rsidR="00C72CD0" w:rsidRPr="00E52513" w:rsidRDefault="00C72CD0" w:rsidP="00C72CD0">
            <w:pPr>
              <w:rPr>
                <w:sz w:val="20"/>
              </w:rPr>
            </w:pPr>
            <w:r w:rsidRPr="00E52513">
              <w:rPr>
                <w:sz w:val="20"/>
              </w:rPr>
              <w:t>Administration Officer / Data Officer</w:t>
            </w:r>
          </w:p>
          <w:p w14:paraId="55B3C8D1" w14:textId="77777777" w:rsidR="00C72CD0" w:rsidRPr="00E52513" w:rsidRDefault="00C72CD0" w:rsidP="00C72CD0">
            <w:pPr>
              <w:rPr>
                <w:sz w:val="20"/>
              </w:rPr>
            </w:pPr>
            <w:r w:rsidRPr="00E52513">
              <w:rPr>
                <w:sz w:val="20"/>
              </w:rPr>
              <w:t>(WA)</w:t>
            </w:r>
          </w:p>
          <w:p w14:paraId="6D2BE1D9" w14:textId="77777777" w:rsidR="00C72CD0" w:rsidRPr="00E52513" w:rsidRDefault="00C72CD0" w:rsidP="00C72CD0">
            <w:pPr>
              <w:rPr>
                <w:sz w:val="20"/>
              </w:rPr>
            </w:pPr>
          </w:p>
          <w:p w14:paraId="47843F90" w14:textId="77777777" w:rsidR="00C72CD0" w:rsidRPr="00E52513" w:rsidRDefault="00C72CD0" w:rsidP="00C72CD0">
            <w:pPr>
              <w:rPr>
                <w:sz w:val="20"/>
              </w:rPr>
            </w:pPr>
          </w:p>
        </w:tc>
        <w:tc>
          <w:tcPr>
            <w:tcW w:w="8080" w:type="dxa"/>
          </w:tcPr>
          <w:p w14:paraId="37874936"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color w:val="000000"/>
                <w:sz w:val="20"/>
              </w:rPr>
            </w:pPr>
            <w:r w:rsidRPr="00E52513">
              <w:rPr>
                <w:b/>
                <w:color w:val="000000"/>
                <w:sz w:val="20"/>
              </w:rPr>
              <w:t>Wording provided by the Project Manager, March 2020.</w:t>
            </w:r>
          </w:p>
          <w:p w14:paraId="5C10648C" w14:textId="77777777" w:rsidR="00C72CD0" w:rsidRPr="00E52513" w:rsidRDefault="00C72CD0" w:rsidP="00C72CD0">
            <w:pPr>
              <w:spacing w:after="80"/>
              <w:cnfStyle w:val="000000000000" w:firstRow="0" w:lastRow="0" w:firstColumn="0" w:lastColumn="0" w:oddVBand="0" w:evenVBand="0" w:oddHBand="0" w:evenHBand="0" w:firstRowFirstColumn="0" w:firstRowLastColumn="0" w:lastRowFirstColumn="0" w:lastRowLastColumn="0"/>
              <w:rPr>
                <w:sz w:val="20"/>
              </w:rPr>
            </w:pPr>
            <w:r w:rsidRPr="00E52513">
              <w:rPr>
                <w:color w:val="000000"/>
                <w:sz w:val="20"/>
              </w:rPr>
              <w:t>The Data Officer prepares the monthly reports for National Indigenous Australians Agency (NIAA). </w:t>
            </w:r>
            <w:r w:rsidRPr="00E52513">
              <w:rPr>
                <w:sz w:val="20"/>
              </w:rPr>
              <w:t>These monthly reports are provided to the Chief Executive to review and finalise before submitting to NIAA.</w:t>
            </w:r>
          </w:p>
          <w:p w14:paraId="7BEE3715" w14:textId="77777777" w:rsidR="00C72CD0" w:rsidRPr="00E52513" w:rsidRDefault="00C72CD0" w:rsidP="00C72CD0">
            <w:pPr>
              <w:tabs>
                <w:tab w:val="left" w:pos="153"/>
                <w:tab w:val="left" w:pos="517"/>
              </w:tabs>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Wording from Position Description</w:t>
            </w:r>
          </w:p>
          <w:p w14:paraId="7CC413DD"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This administrative role involves:</w:t>
            </w:r>
          </w:p>
          <w:p w14:paraId="093B136E" w14:textId="1EE8D7D1"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provision of high</w:t>
            </w:r>
            <w:r w:rsidR="00D73661" w:rsidRPr="00E52513">
              <w:rPr>
                <w:color w:val="000000"/>
                <w:sz w:val="20"/>
              </w:rPr>
              <w:t>-</w:t>
            </w:r>
            <w:r w:rsidRPr="00E52513">
              <w:rPr>
                <w:color w:val="000000"/>
                <w:sz w:val="20"/>
              </w:rPr>
              <w:t>level administrative and secretarial support to the organisation and its programs</w:t>
            </w:r>
          </w:p>
          <w:p w14:paraId="3A65061A"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provide direct support of the Chief Executive in her role as Project Director of the NICRS, in regard to auditing client data &amp; preparing reports for the Chief Executive</w:t>
            </w:r>
          </w:p>
          <w:p w14:paraId="50A7F48D"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52513">
              <w:rPr>
                <w:color w:val="000000"/>
                <w:sz w:val="20"/>
              </w:rPr>
              <w:t>take</w:t>
            </w:r>
            <w:proofErr w:type="gramEnd"/>
            <w:r w:rsidRPr="00E52513">
              <w:rPr>
                <w:color w:val="000000"/>
                <w:sz w:val="20"/>
              </w:rPr>
              <w:t xml:space="preserve"> responsibility and be accountable for their work, including timeliness, responsive and quality support to the executive team.</w:t>
            </w:r>
          </w:p>
        </w:tc>
      </w:tr>
      <w:tr w:rsidR="00C72CD0" w:rsidRPr="00E52513" w14:paraId="1A719784"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6301DF95" w14:textId="77777777" w:rsidR="00C72CD0" w:rsidRPr="00E52513" w:rsidRDefault="00C72CD0" w:rsidP="004A0A9F">
            <w:pPr>
              <w:rPr>
                <w:sz w:val="20"/>
              </w:rPr>
            </w:pPr>
            <w:r w:rsidRPr="00E52513">
              <w:rPr>
                <w:sz w:val="20"/>
              </w:rPr>
              <w:t>Communication and Engagement Officer</w:t>
            </w:r>
          </w:p>
        </w:tc>
        <w:tc>
          <w:tcPr>
            <w:tcW w:w="8080" w:type="dxa"/>
          </w:tcPr>
          <w:p w14:paraId="59EB49B1"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t>No formal Position Description available. Wording provided by the Project Manager, March 2020.</w:t>
            </w:r>
          </w:p>
          <w:p w14:paraId="32770117"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 xml:space="preserve">The Communications and Engagement Officer played key roles in developing the organisations, website, circulating information about the service to stakeholders, </w:t>
            </w:r>
            <w:r w:rsidRPr="00E52513">
              <w:rPr>
                <w:color w:val="000000"/>
                <w:sz w:val="20"/>
              </w:rPr>
              <w:lastRenderedPageBreak/>
              <w:t xml:space="preserve">preparing submissions for the Chief Executive to key government reviews, which supported our advocacy and systems change work. </w:t>
            </w:r>
          </w:p>
        </w:tc>
      </w:tr>
      <w:tr w:rsidR="00C72CD0" w:rsidRPr="00E52513" w14:paraId="1D1DB2EB"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12CE535C" w14:textId="46ECE93B" w:rsidR="00C72CD0" w:rsidRPr="00E52513" w:rsidRDefault="00C72CD0" w:rsidP="00C72CD0">
            <w:pPr>
              <w:rPr>
                <w:sz w:val="20"/>
              </w:rPr>
            </w:pPr>
            <w:r w:rsidRPr="00E52513">
              <w:rPr>
                <w:sz w:val="20"/>
              </w:rPr>
              <w:lastRenderedPageBreak/>
              <w:t>Administration Officer</w:t>
            </w:r>
          </w:p>
          <w:p w14:paraId="1060B0F0" w14:textId="77777777" w:rsidR="00C72CD0" w:rsidRPr="00E52513" w:rsidRDefault="00C72CD0" w:rsidP="00C72CD0">
            <w:pPr>
              <w:rPr>
                <w:sz w:val="20"/>
              </w:rPr>
            </w:pPr>
            <w:r w:rsidRPr="00E52513">
              <w:rPr>
                <w:sz w:val="20"/>
              </w:rPr>
              <w:t>(Central Office, Melbourne)</w:t>
            </w:r>
          </w:p>
        </w:tc>
        <w:tc>
          <w:tcPr>
            <w:tcW w:w="8080" w:type="dxa"/>
          </w:tcPr>
          <w:p w14:paraId="6870A9B9" w14:textId="77777777" w:rsidR="00C72CD0" w:rsidRPr="00E52513" w:rsidRDefault="00C72CD0" w:rsidP="001D3238">
            <w:pPr>
              <w:tabs>
                <w:tab w:val="left" w:pos="153"/>
                <w:tab w:val="left" w:pos="517"/>
              </w:tabs>
              <w:spacing w:before="0"/>
              <w:cnfStyle w:val="000000000000" w:firstRow="0" w:lastRow="0" w:firstColumn="0" w:lastColumn="0" w:oddVBand="0" w:evenVBand="0" w:oddHBand="0" w:evenHBand="0" w:firstRowFirstColumn="0" w:firstRowLastColumn="0" w:lastRowFirstColumn="0" w:lastRowLastColumn="0"/>
              <w:rPr>
                <w:b/>
                <w:sz w:val="20"/>
              </w:rPr>
            </w:pPr>
            <w:r w:rsidRPr="00E52513">
              <w:rPr>
                <w:b/>
                <w:sz w:val="20"/>
              </w:rPr>
              <w:t>Wording from Position Description</w:t>
            </w:r>
          </w:p>
          <w:p w14:paraId="452C036F" w14:textId="77777777" w:rsidR="00C72CD0" w:rsidRPr="00E52513" w:rsidRDefault="00C72CD0" w:rsidP="00C72CD0">
            <w:pPr>
              <w:pStyle w:val="BodyCopy"/>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This administrative role involves:</w:t>
            </w:r>
          </w:p>
          <w:p w14:paraId="448CA260"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bookmarkStart w:id="129" w:name="_Hlk528061690"/>
            <w:r w:rsidRPr="00E52513">
              <w:rPr>
                <w:color w:val="000000"/>
                <w:sz w:val="20"/>
              </w:rPr>
              <w:t>provision of high level administrative and secretarial support to the organisation and its programs, including assistance to the executive team</w:t>
            </w:r>
          </w:p>
          <w:p w14:paraId="623E09AD"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direct support, assistance and management of the Chief Executive’s diary and scheduling</w:t>
            </w:r>
          </w:p>
          <w:p w14:paraId="010612A9"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providing secretarial support to organisational committees</w:t>
            </w:r>
          </w:p>
          <w:p w14:paraId="61068495"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establishing, implementing and coordinating organisational and office management systems to ensure the smooth and effective business operations</w:t>
            </w:r>
          </w:p>
          <w:p w14:paraId="521921E5"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managing all staff travel, and</w:t>
            </w:r>
          </w:p>
          <w:p w14:paraId="2936245C" w14:textId="77777777" w:rsidR="00C72CD0" w:rsidRPr="00E52513" w:rsidRDefault="00C72CD0" w:rsidP="00BB0C58">
            <w:pPr>
              <w:pStyle w:val="ListParagraph"/>
              <w:numPr>
                <w:ilvl w:val="0"/>
                <w:numId w:val="22"/>
              </w:numPr>
              <w:spacing w:before="0"/>
              <w:ind w:left="258" w:hanging="258"/>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52513">
              <w:rPr>
                <w:color w:val="000000"/>
                <w:sz w:val="20"/>
              </w:rPr>
              <w:t>take</w:t>
            </w:r>
            <w:proofErr w:type="gramEnd"/>
            <w:r w:rsidRPr="00E52513">
              <w:rPr>
                <w:color w:val="000000"/>
                <w:sz w:val="20"/>
              </w:rPr>
              <w:t xml:space="preserve"> responsibility and be accountable for their work, including timeliness, responsive and quality support to the executive team.</w:t>
            </w:r>
            <w:bookmarkEnd w:id="129"/>
          </w:p>
        </w:tc>
      </w:tr>
      <w:tr w:rsidR="00C72CD0" w:rsidRPr="00E52513" w14:paraId="333B2B09"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17659E84" w14:textId="77777777" w:rsidR="00C72CD0" w:rsidRPr="00E52513" w:rsidRDefault="00C72CD0" w:rsidP="00C72CD0">
            <w:pPr>
              <w:rPr>
                <w:sz w:val="20"/>
              </w:rPr>
            </w:pPr>
            <w:r w:rsidRPr="00E52513">
              <w:rPr>
                <w:sz w:val="20"/>
              </w:rPr>
              <w:t>National Coordinator</w:t>
            </w:r>
          </w:p>
          <w:p w14:paraId="307EE9D2" w14:textId="77777777" w:rsidR="00C72CD0" w:rsidRPr="00E52513" w:rsidRDefault="00C72CD0" w:rsidP="00C72CD0">
            <w:pPr>
              <w:rPr>
                <w:sz w:val="20"/>
              </w:rPr>
            </w:pPr>
          </w:p>
          <w:p w14:paraId="0FDCFC27" w14:textId="77777777" w:rsidR="00C72CD0" w:rsidRPr="00E52513" w:rsidRDefault="00C72CD0" w:rsidP="00C72CD0">
            <w:pPr>
              <w:rPr>
                <w:color w:val="000000"/>
                <w:sz w:val="20"/>
              </w:rPr>
            </w:pPr>
          </w:p>
        </w:tc>
        <w:tc>
          <w:tcPr>
            <w:tcW w:w="8080" w:type="dxa"/>
          </w:tcPr>
          <w:p w14:paraId="2BC215FF"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t>Wording from the Project Director, March 2020</w:t>
            </w:r>
          </w:p>
          <w:p w14:paraId="4FD2A975" w14:textId="09BC620A" w:rsidR="00C72CD0" w:rsidRPr="00E52513" w:rsidRDefault="00C72CD0" w:rsidP="00C72CD0">
            <w:pPr>
              <w:pStyle w:val="BodyCopy"/>
              <w:spacing w:before="0" w:after="12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The two Acting Coordinators of the NICRS provide leadership to the C</w:t>
            </w:r>
            <w:r w:rsidR="008759E9" w:rsidRPr="00E52513">
              <w:rPr>
                <w:rFonts w:ascii="Segoe UI" w:eastAsia="Times New Roman" w:hAnsi="Segoe UI" w:cstheme="minorBidi"/>
                <w:spacing w:val="0"/>
                <w:sz w:val="20"/>
              </w:rPr>
              <w:t>RSAs</w:t>
            </w:r>
            <w:r w:rsidRPr="00E52513">
              <w:rPr>
                <w:rFonts w:ascii="Segoe UI" w:eastAsia="Times New Roman" w:hAnsi="Segoe UI" w:cstheme="minorBidi"/>
                <w:spacing w:val="0"/>
                <w:sz w:val="20"/>
              </w:rPr>
              <w:t xml:space="preserve"> across the jurisdictions. The Acting Southern Coordinator supports CRSAs in the West and South of Australia (Western Australia, South Australia and Victoria), whil</w:t>
            </w:r>
            <w:r w:rsidR="00E179F6" w:rsidRPr="00E52513">
              <w:rPr>
                <w:rFonts w:ascii="Segoe UI" w:eastAsia="Times New Roman" w:hAnsi="Segoe UI" w:cstheme="minorBidi"/>
                <w:spacing w:val="0"/>
                <w:sz w:val="20"/>
              </w:rPr>
              <w:t>e</w:t>
            </w:r>
            <w:r w:rsidRPr="00E52513">
              <w:rPr>
                <w:rFonts w:ascii="Segoe UI" w:eastAsia="Times New Roman" w:hAnsi="Segoe UI" w:cstheme="minorBidi"/>
                <w:spacing w:val="0"/>
                <w:sz w:val="20"/>
              </w:rPr>
              <w:t xml:space="preserve"> the Acting Northern Coordinator supports CRSAs in Queensland and Northern Territory, as well as the NT </w:t>
            </w:r>
            <w:proofErr w:type="spellStart"/>
            <w:r w:rsidRPr="00E52513">
              <w:rPr>
                <w:rFonts w:ascii="Segoe UI" w:eastAsia="Times New Roman" w:hAnsi="Segoe UI" w:cstheme="minorBidi"/>
                <w:spacing w:val="0"/>
                <w:sz w:val="20"/>
              </w:rPr>
              <w:t>StandBy</w:t>
            </w:r>
            <w:proofErr w:type="spellEnd"/>
            <w:r w:rsidRPr="00E52513">
              <w:rPr>
                <w:rFonts w:ascii="Segoe UI" w:eastAsia="Times New Roman" w:hAnsi="Segoe UI" w:cstheme="minorBidi"/>
                <w:spacing w:val="0"/>
                <w:sz w:val="20"/>
              </w:rPr>
              <w:t xml:space="preserve"> Coordinator.</w:t>
            </w:r>
          </w:p>
          <w:p w14:paraId="5FBBD4D4"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t>Wording from the National Coordinator Position Description</w:t>
            </w:r>
          </w:p>
          <w:p w14:paraId="43E0B55D" w14:textId="77777777" w:rsidR="00C72CD0" w:rsidRPr="00E52513" w:rsidRDefault="00C72CD0" w:rsidP="00C72CD0">
            <w:pPr>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Key responsibilities of the Acting Coordinators include:</w:t>
            </w:r>
          </w:p>
          <w:p w14:paraId="1E9A7D4A" w14:textId="77777777" w:rsidR="00C72CD0" w:rsidRPr="00E52513" w:rsidRDefault="00C72CD0" w:rsidP="00BB0C58">
            <w:pPr>
              <w:numPr>
                <w:ilvl w:val="0"/>
                <w:numId w:val="21"/>
              </w:numPr>
              <w:ind w:left="176" w:hanging="176"/>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Lead and support the delivery of culturally sensitive and timely critical response to people bereaved by suicide or experiencing a similarly traumatic event in and</w:t>
            </w:r>
          </w:p>
          <w:p w14:paraId="27C544D2" w14:textId="77777777" w:rsidR="00C72CD0" w:rsidRPr="00E52513" w:rsidRDefault="00C72CD0" w:rsidP="00BB0C58">
            <w:pPr>
              <w:numPr>
                <w:ilvl w:val="0"/>
                <w:numId w:val="21"/>
              </w:numPr>
              <w:ind w:left="176" w:hanging="176"/>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Coordinate and support Critical Response Support Advocates (CRSA’S) through:</w:t>
            </w:r>
          </w:p>
          <w:p w14:paraId="55EDE3F6" w14:textId="5E7CE3F7" w:rsidR="00C72CD0" w:rsidRPr="00E52513" w:rsidRDefault="00C72CD0" w:rsidP="00BB0C58">
            <w:pPr>
              <w:numPr>
                <w:ilvl w:val="1"/>
                <w:numId w:val="21"/>
              </w:numPr>
              <w:ind w:left="459" w:hanging="283"/>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Assessment of existing and new incidents whether they are ‘in</w:t>
            </w:r>
            <w:r w:rsidR="001D3238" w:rsidRPr="00E52513">
              <w:rPr>
                <w:color w:val="000000"/>
                <w:sz w:val="20"/>
              </w:rPr>
              <w:t>’ or ‘out of scope’ &amp; if the NIC</w:t>
            </w:r>
            <w:r w:rsidRPr="00E52513">
              <w:rPr>
                <w:color w:val="000000"/>
                <w:sz w:val="20"/>
              </w:rPr>
              <w:t>RS should respond &amp; allocate cases to the appropriate CRSA</w:t>
            </w:r>
          </w:p>
          <w:p w14:paraId="224F2CA3" w14:textId="77777777" w:rsidR="00C72CD0" w:rsidRPr="00E52513" w:rsidRDefault="00C72CD0" w:rsidP="00BB0C58">
            <w:pPr>
              <w:numPr>
                <w:ilvl w:val="1"/>
                <w:numId w:val="21"/>
              </w:numPr>
              <w:ind w:left="459" w:hanging="283"/>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Monitor &amp; coordinate casework load for each CRSA</w:t>
            </w:r>
          </w:p>
          <w:p w14:paraId="52701BA4" w14:textId="77777777" w:rsidR="00C72CD0" w:rsidRPr="00E52513" w:rsidRDefault="00C72CD0" w:rsidP="00BB0C58">
            <w:pPr>
              <w:numPr>
                <w:ilvl w:val="1"/>
                <w:numId w:val="21"/>
              </w:numPr>
              <w:ind w:left="459" w:hanging="283"/>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Provide initial support and agreement of Emergency Relief requests from CRSAs for consideration and approval by the Chief Executive</w:t>
            </w:r>
          </w:p>
          <w:p w14:paraId="31E145C9" w14:textId="7C2D77B7" w:rsidR="00C72CD0" w:rsidRPr="00E52513" w:rsidRDefault="00C72CD0" w:rsidP="00BB0C58">
            <w:pPr>
              <w:numPr>
                <w:ilvl w:val="1"/>
                <w:numId w:val="21"/>
              </w:numPr>
              <w:ind w:left="459" w:hanging="283"/>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Provide mentoring, and support to CRSAs in the delivery of critical response by having reg</w:t>
            </w:r>
            <w:r w:rsidR="008759E9" w:rsidRPr="00E52513">
              <w:rPr>
                <w:color w:val="000000"/>
                <w:sz w:val="20"/>
              </w:rPr>
              <w:t>ular catch up sessions with CRSA</w:t>
            </w:r>
            <w:r w:rsidRPr="00E52513">
              <w:rPr>
                <w:color w:val="000000"/>
                <w:sz w:val="20"/>
              </w:rPr>
              <w:t>s to review their cases, and discuss matters where they need advice and support</w:t>
            </w:r>
          </w:p>
          <w:p w14:paraId="2A3EF661" w14:textId="77777777" w:rsidR="00C72CD0" w:rsidRPr="00E52513" w:rsidRDefault="00C72CD0" w:rsidP="00BB0C58">
            <w:pPr>
              <w:numPr>
                <w:ilvl w:val="1"/>
                <w:numId w:val="21"/>
              </w:numPr>
              <w:spacing w:after="80"/>
              <w:ind w:left="459" w:hanging="283"/>
              <w:cnfStyle w:val="000000000000" w:firstRow="0" w:lastRow="0" w:firstColumn="0" w:lastColumn="0" w:oddVBand="0" w:evenVBand="0" w:oddHBand="0" w:evenHBand="0" w:firstRowFirstColumn="0" w:firstRowLastColumn="0" w:lastRowFirstColumn="0" w:lastRowLastColumn="0"/>
              <w:rPr>
                <w:color w:val="000000"/>
                <w:sz w:val="20"/>
              </w:rPr>
            </w:pPr>
            <w:r w:rsidRPr="00E52513">
              <w:rPr>
                <w:color w:val="000000"/>
                <w:sz w:val="20"/>
              </w:rPr>
              <w:t>Provide debriefing support following a critical incident response as required and support CRSAs access psychological and cultural mentoring to promote self-care as required and where appropriate.</w:t>
            </w:r>
          </w:p>
          <w:p w14:paraId="4C7EB038" w14:textId="3180D5BD" w:rsidR="00C72CD0" w:rsidRPr="00E52513" w:rsidRDefault="00C72CD0" w:rsidP="00C72CD0">
            <w:pPr>
              <w:pStyle w:val="BodyCopy"/>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52513">
              <w:rPr>
                <w:rFonts w:ascii="Segoe UI" w:eastAsia="Times New Roman" w:hAnsi="Segoe UI" w:cstheme="minorBidi"/>
                <w:spacing w:val="0"/>
                <w:sz w:val="20"/>
              </w:rPr>
              <w:t>The National Coordinator Critical Response Support Advocate will be the line manager of the Critical Response Support Advocates.</w:t>
            </w:r>
            <w:r w:rsidRPr="00E52513">
              <w:rPr>
                <w:sz w:val="20"/>
              </w:rPr>
              <w:t xml:space="preserve"> </w:t>
            </w:r>
          </w:p>
        </w:tc>
      </w:tr>
      <w:tr w:rsidR="00C72CD0" w:rsidRPr="00E52513" w14:paraId="6EB0F51C"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58481AD7" w14:textId="1B09D8CD" w:rsidR="00E6633A" w:rsidRPr="00E52513" w:rsidRDefault="00C72CD0" w:rsidP="00E6633A">
            <w:pPr>
              <w:spacing w:after="0"/>
              <w:rPr>
                <w:sz w:val="20"/>
              </w:rPr>
            </w:pPr>
            <w:r w:rsidRPr="00E52513">
              <w:rPr>
                <w:sz w:val="20"/>
              </w:rPr>
              <w:t>CRSA</w:t>
            </w:r>
          </w:p>
          <w:p w14:paraId="7FEED82D" w14:textId="63CEE8AB" w:rsidR="00C72CD0" w:rsidRPr="00E52513" w:rsidRDefault="00C72CD0" w:rsidP="00E6633A">
            <w:pPr>
              <w:spacing w:before="0"/>
              <w:rPr>
                <w:sz w:val="20"/>
              </w:rPr>
            </w:pPr>
            <w:r w:rsidRPr="00E52513">
              <w:rPr>
                <w:sz w:val="20"/>
              </w:rPr>
              <w:t>(Levels 4-6)</w:t>
            </w:r>
          </w:p>
          <w:p w14:paraId="4CA1B214" w14:textId="7992955D" w:rsidR="00C72CD0" w:rsidRPr="00E52513" w:rsidRDefault="00C72CD0" w:rsidP="00E6633A">
            <w:pPr>
              <w:rPr>
                <w:b w:val="0"/>
                <w:sz w:val="20"/>
              </w:rPr>
            </w:pPr>
            <w:r w:rsidRPr="00E52513">
              <w:rPr>
                <w:b w:val="0"/>
                <w:sz w:val="20"/>
              </w:rPr>
              <w:lastRenderedPageBreak/>
              <w:t xml:space="preserve">(Level 4 position description provided as </w:t>
            </w:r>
            <w:r w:rsidR="00E6633A" w:rsidRPr="00E52513">
              <w:rPr>
                <w:b w:val="0"/>
                <w:sz w:val="20"/>
              </w:rPr>
              <w:t xml:space="preserve">an </w:t>
            </w:r>
            <w:r w:rsidRPr="00E52513">
              <w:rPr>
                <w:b w:val="0"/>
                <w:sz w:val="20"/>
              </w:rPr>
              <w:t xml:space="preserve">example – minor distinctions </w:t>
            </w:r>
            <w:r w:rsidR="00E6633A" w:rsidRPr="00E52513">
              <w:rPr>
                <w:b w:val="0"/>
                <w:sz w:val="20"/>
              </w:rPr>
              <w:t xml:space="preserve">have been </w:t>
            </w:r>
            <w:r w:rsidRPr="00E52513">
              <w:rPr>
                <w:b w:val="0"/>
                <w:sz w:val="20"/>
              </w:rPr>
              <w:t>created between this one &amp; Levels 5 &amp; 6 PDs for advancement purposes)</w:t>
            </w:r>
          </w:p>
        </w:tc>
        <w:tc>
          <w:tcPr>
            <w:tcW w:w="8080" w:type="dxa"/>
          </w:tcPr>
          <w:p w14:paraId="72397670"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lastRenderedPageBreak/>
              <w:t>Wording from the Position Description (Level 4, i.e. entry level)</w:t>
            </w:r>
          </w:p>
          <w:p w14:paraId="2181AA57" w14:textId="77777777" w:rsidR="00C72CD0" w:rsidRPr="00E52513" w:rsidRDefault="00C72CD0" w:rsidP="00C72CD0">
            <w:pPr>
              <w:pStyle w:val="BodyCopy"/>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lastRenderedPageBreak/>
              <w:t>To act as a local response contact point for critical incident needs and support achievement of the service’s mission by working with local communities and service providers to:</w:t>
            </w:r>
          </w:p>
          <w:p w14:paraId="067084A1" w14:textId="13C0CACE"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r w:rsidRPr="00E52513">
              <w:rPr>
                <w:rFonts w:eastAsiaTheme="minorEastAsia" w:cs="Microsoft Sans Serif"/>
                <w:sz w:val="20"/>
              </w:rPr>
              <w:t>enhance critical responses to suicide events, trauma or circumstances that could trigger suicide or other traumatic events by the provision of practical support to individuals, families and communities,</w:t>
            </w:r>
          </w:p>
          <w:p w14:paraId="259CD0BC" w14:textId="7777777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r w:rsidRPr="00E52513">
              <w:rPr>
                <w:rFonts w:eastAsiaTheme="minorEastAsia" w:cs="Microsoft Sans Serif"/>
                <w:sz w:val="20"/>
              </w:rPr>
              <w:t>strengthen local service system coordination and promote community capacity and resilience, and</w:t>
            </w:r>
          </w:p>
          <w:p w14:paraId="0C007146" w14:textId="7777777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proofErr w:type="gramStart"/>
            <w:r w:rsidRPr="00E52513">
              <w:rPr>
                <w:rFonts w:eastAsiaTheme="minorEastAsia" w:cs="Microsoft Sans Serif"/>
                <w:sz w:val="20"/>
              </w:rPr>
              <w:t>contribute</w:t>
            </w:r>
            <w:proofErr w:type="gramEnd"/>
            <w:r w:rsidRPr="00E52513">
              <w:rPr>
                <w:rFonts w:eastAsiaTheme="minorEastAsia" w:cs="Microsoft Sans Serif"/>
                <w:sz w:val="20"/>
              </w:rPr>
              <w:t xml:space="preserve"> to strengthening the knowledge base of effective approaches in supporting families and communities impacted by suicide or other trauma-related events.</w:t>
            </w:r>
          </w:p>
          <w:p w14:paraId="08064E05" w14:textId="77777777" w:rsidR="00C72CD0" w:rsidRPr="00E52513" w:rsidRDefault="00C72CD0" w:rsidP="00C72CD0">
            <w:pPr>
              <w:pStyle w:val="BodyCopy"/>
              <w:spacing w:before="0" w:after="8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To be responsible for delivery and implementation of tasks and activities under Stream 1 and Stream 2 related to the jurisdiction in which they are based.</w:t>
            </w:r>
          </w:p>
          <w:p w14:paraId="74EBC325" w14:textId="77777777" w:rsidR="00C72CD0" w:rsidRPr="00E52513" w:rsidRDefault="00C72CD0" w:rsidP="00C72CD0">
            <w:pPr>
              <w:pStyle w:val="BodyCopy"/>
              <w:spacing w:before="0" w:after="8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To act as a local response contact point for critical incident needs, and as required, provide practical support to individuals, families and communities.</w:t>
            </w:r>
          </w:p>
          <w:p w14:paraId="13AA5E87" w14:textId="77777777" w:rsidR="00C72CD0" w:rsidRPr="00E52513" w:rsidRDefault="00C72CD0" w:rsidP="00C72CD0">
            <w:pPr>
              <w:pStyle w:val="BodyCopy"/>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spacing w:val="0"/>
                <w:sz w:val="20"/>
              </w:rPr>
            </w:pPr>
            <w:r w:rsidRPr="00E52513">
              <w:rPr>
                <w:rFonts w:ascii="Segoe UI" w:eastAsia="Times New Roman" w:hAnsi="Segoe UI" w:cstheme="minorBidi"/>
                <w:spacing w:val="0"/>
                <w:sz w:val="20"/>
              </w:rPr>
              <w:t>Support achievement of Stream 2 objectives by working with local communities and service providers to:</w:t>
            </w:r>
          </w:p>
          <w:p w14:paraId="09F90CBB" w14:textId="7777777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r w:rsidRPr="00E52513">
              <w:rPr>
                <w:rFonts w:eastAsiaTheme="minorEastAsia" w:cs="Microsoft Sans Serif"/>
                <w:sz w:val="20"/>
              </w:rPr>
              <w:t>enhance their delivery of local critical responses to suicide events, trauma or circumstances to provide practical support to individuals, families and communities</w:t>
            </w:r>
          </w:p>
          <w:p w14:paraId="326A1170" w14:textId="7777777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r w:rsidRPr="00E52513">
              <w:rPr>
                <w:rFonts w:eastAsiaTheme="minorEastAsia" w:cs="Microsoft Sans Serif"/>
                <w:sz w:val="20"/>
              </w:rPr>
              <w:t>strengthen local service system coordination and promote local community capacity and resilience, and</w:t>
            </w:r>
          </w:p>
          <w:p w14:paraId="2A2BD5AC" w14:textId="7777777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sz w:val="20"/>
              </w:rPr>
            </w:pPr>
            <w:proofErr w:type="gramStart"/>
            <w:r w:rsidRPr="00E52513">
              <w:rPr>
                <w:rFonts w:eastAsiaTheme="minorEastAsia" w:cs="Microsoft Sans Serif"/>
                <w:sz w:val="20"/>
              </w:rPr>
              <w:t>contribute</w:t>
            </w:r>
            <w:proofErr w:type="gramEnd"/>
            <w:r w:rsidRPr="00E52513">
              <w:rPr>
                <w:rFonts w:eastAsiaTheme="minorEastAsia" w:cs="Microsoft Sans Serif"/>
                <w:sz w:val="20"/>
              </w:rPr>
              <w:t xml:space="preserve"> to strengthening the knowledge base of effective approaches in supporting families and communities impacted by suicide or other trauma-related events.</w:t>
            </w:r>
          </w:p>
        </w:tc>
      </w:tr>
      <w:tr w:rsidR="00C72CD0" w:rsidRPr="00E52513" w14:paraId="5A42D499"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15B813E8" w14:textId="77777777" w:rsidR="00C72CD0" w:rsidRPr="00E52513" w:rsidRDefault="00C72CD0" w:rsidP="00C72CD0">
            <w:pPr>
              <w:rPr>
                <w:sz w:val="20"/>
              </w:rPr>
            </w:pPr>
            <w:r w:rsidRPr="00E52513">
              <w:rPr>
                <w:sz w:val="20"/>
              </w:rPr>
              <w:lastRenderedPageBreak/>
              <w:t>Standby Coordinator</w:t>
            </w:r>
          </w:p>
        </w:tc>
        <w:tc>
          <w:tcPr>
            <w:tcW w:w="8080" w:type="dxa"/>
          </w:tcPr>
          <w:p w14:paraId="51E071F0"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t>Wording from the NT Standby Coordinator Position Description</w:t>
            </w:r>
          </w:p>
          <w:p w14:paraId="2A7FE90B" w14:textId="77777777" w:rsidR="00C72CD0" w:rsidRPr="00E52513" w:rsidRDefault="00C72CD0" w:rsidP="00C72CD0">
            <w:pPr>
              <w:shd w:val="clear" w:color="auto" w:fill="FFFFFF" w:themeFill="background1"/>
              <w:tabs>
                <w:tab w:val="left" w:pos="0"/>
              </w:tabs>
              <w:contextualSpacing/>
              <w:cnfStyle w:val="000000000000" w:firstRow="0" w:lastRow="0" w:firstColumn="0" w:lastColumn="0" w:oddVBand="0" w:evenVBand="0" w:oddHBand="0" w:evenHBand="0" w:firstRowFirstColumn="0" w:firstRowLastColumn="0" w:lastRowFirstColumn="0" w:lastRowLastColumn="0"/>
              <w:rPr>
                <w:sz w:val="20"/>
              </w:rPr>
            </w:pPr>
            <w:r w:rsidRPr="00E52513">
              <w:rPr>
                <w:sz w:val="20"/>
              </w:rPr>
              <w:t xml:space="preserve">The </w:t>
            </w:r>
            <w:proofErr w:type="spellStart"/>
            <w:r w:rsidRPr="00E52513">
              <w:rPr>
                <w:sz w:val="20"/>
              </w:rPr>
              <w:t>StandBy</w:t>
            </w:r>
            <w:proofErr w:type="spellEnd"/>
            <w:r w:rsidRPr="00E52513">
              <w:rPr>
                <w:sz w:val="20"/>
              </w:rPr>
              <w:t xml:space="preserve"> Coordinator is responsible for:</w:t>
            </w:r>
          </w:p>
          <w:p w14:paraId="081C1135" w14:textId="6630FCC7" w:rsidR="00C72CD0" w:rsidRPr="00E52513" w:rsidRDefault="00C72CD0" w:rsidP="00BB0C58">
            <w:pPr>
              <w:pStyle w:val="Header"/>
              <w:numPr>
                <w:ilvl w:val="0"/>
                <w:numId w:val="20"/>
              </w:numPr>
              <w:tabs>
                <w:tab w:val="clear" w:pos="4513"/>
                <w:tab w:val="clear" w:pos="9026"/>
                <w:tab w:val="left" w:pos="0"/>
              </w:tabs>
              <w:ind w:left="175" w:hanging="175"/>
              <w:cnfStyle w:val="000000000000" w:firstRow="0" w:lastRow="0" w:firstColumn="0" w:lastColumn="0" w:oddVBand="0" w:evenVBand="0" w:oddHBand="0" w:evenHBand="0" w:firstRowFirstColumn="0" w:firstRowLastColumn="0" w:lastRowFirstColumn="0" w:lastRowLastColumn="0"/>
              <w:rPr>
                <w:rFonts w:eastAsiaTheme="minorEastAsia" w:cs="Microsoft Sans Serif"/>
                <w:sz w:val="20"/>
              </w:rPr>
            </w:pPr>
            <w:r w:rsidRPr="00E52513">
              <w:rPr>
                <w:rFonts w:eastAsiaTheme="minorEastAsia" w:cs="Microsoft Sans Serif"/>
                <w:sz w:val="20"/>
              </w:rPr>
              <w:t xml:space="preserve">ensuring that </w:t>
            </w:r>
            <w:proofErr w:type="spellStart"/>
            <w:r w:rsidRPr="00E52513">
              <w:rPr>
                <w:rFonts w:eastAsiaTheme="minorEastAsia" w:cs="Microsoft Sans Serif"/>
                <w:sz w:val="20"/>
              </w:rPr>
              <w:t>StandBy</w:t>
            </w:r>
            <w:proofErr w:type="spellEnd"/>
            <w:r w:rsidRPr="00E52513">
              <w:rPr>
                <w:rFonts w:eastAsiaTheme="minorEastAsia" w:cs="Microsoft Sans Serif"/>
                <w:sz w:val="20"/>
              </w:rPr>
              <w:t xml:space="preserve"> is implemented in line with the </w:t>
            </w:r>
            <w:proofErr w:type="spellStart"/>
            <w:r w:rsidRPr="00E52513">
              <w:rPr>
                <w:rFonts w:eastAsiaTheme="minorEastAsia" w:cs="Microsoft Sans Serif"/>
                <w:sz w:val="20"/>
              </w:rPr>
              <w:t>StandBy</w:t>
            </w:r>
            <w:proofErr w:type="spellEnd"/>
            <w:r w:rsidRPr="00E52513">
              <w:rPr>
                <w:rFonts w:eastAsiaTheme="minorEastAsia" w:cs="Microsoft Sans Serif"/>
                <w:sz w:val="20"/>
              </w:rPr>
              <w:t xml:space="preserve"> Model</w:t>
            </w:r>
          </w:p>
          <w:p w14:paraId="37CCD94C"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supporting people, families and groups in crisis and/or affected by traumatic events using psychological first aid or crisis intervention approaches</w:t>
            </w:r>
          </w:p>
          <w:p w14:paraId="48B9178B"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effectively promoting the benefits of a service to engage stakeholders and increase uptake by community members</w:t>
            </w:r>
          </w:p>
          <w:p w14:paraId="7FC90EA7"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presenting community education workshops and speaking at public events and network meetings</w:t>
            </w:r>
          </w:p>
          <w:p w14:paraId="5F4410BB"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52513">
              <w:rPr>
                <w:sz w:val="20"/>
                <w:szCs w:val="20"/>
              </w:rPr>
              <w:t>maintaining</w:t>
            </w:r>
            <w:proofErr w:type="gramEnd"/>
            <w:r w:rsidRPr="00E52513">
              <w:rPr>
                <w:sz w:val="20"/>
                <w:szCs w:val="20"/>
              </w:rPr>
              <w:t xml:space="preserve"> a high level of understanding of current trends which impact and relate to the </w:t>
            </w:r>
            <w:proofErr w:type="spellStart"/>
            <w:r w:rsidRPr="00E52513">
              <w:rPr>
                <w:sz w:val="20"/>
                <w:szCs w:val="20"/>
              </w:rPr>
              <w:t>StandBy</w:t>
            </w:r>
            <w:proofErr w:type="spellEnd"/>
            <w:r w:rsidRPr="00E52513">
              <w:rPr>
                <w:sz w:val="20"/>
                <w:szCs w:val="20"/>
              </w:rPr>
              <w:t xml:space="preserve"> program and general areas of suicide, loss, bereavement &amp; trauma.</w:t>
            </w:r>
          </w:p>
          <w:p w14:paraId="5142BDB5" w14:textId="005E4420"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initiating, planning and implementing annual activities or short</w:t>
            </w:r>
            <w:r w:rsidR="00D73661" w:rsidRPr="00E52513">
              <w:rPr>
                <w:sz w:val="20"/>
                <w:szCs w:val="20"/>
              </w:rPr>
              <w:t>-</w:t>
            </w:r>
            <w:r w:rsidRPr="00E52513">
              <w:rPr>
                <w:sz w:val="20"/>
                <w:szCs w:val="20"/>
              </w:rPr>
              <w:t>term projects</w:t>
            </w:r>
          </w:p>
          <w:p w14:paraId="0874B88D"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E52513">
              <w:rPr>
                <w:sz w:val="20"/>
                <w:szCs w:val="20"/>
              </w:rPr>
              <w:t>engaging</w:t>
            </w:r>
            <w:proofErr w:type="gramEnd"/>
            <w:r w:rsidRPr="00E52513">
              <w:rPr>
                <w:sz w:val="20"/>
                <w:szCs w:val="20"/>
              </w:rPr>
              <w:t xml:space="preserve"> and working collaboratively with relevant individuals, stakeholders and groups of diverse backgrounds, abilities, ages and genders. This includes being secretariat for an Advisory Group that provides strategic input on community needs, emerging issues and service delivery</w:t>
            </w:r>
          </w:p>
          <w:p w14:paraId="00D8AD01"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 xml:space="preserve">recruiting and leading the virtual casual Crisis Response Team including maintaining engagement of team members in remote locations, ensuring alignment with service delivery Model, and ensuring they access supervision per the </w:t>
            </w:r>
            <w:proofErr w:type="spellStart"/>
            <w:r w:rsidRPr="00E52513">
              <w:rPr>
                <w:sz w:val="20"/>
                <w:szCs w:val="20"/>
              </w:rPr>
              <w:t>StandBy</w:t>
            </w:r>
            <w:proofErr w:type="spellEnd"/>
            <w:r w:rsidRPr="00E52513">
              <w:rPr>
                <w:sz w:val="20"/>
                <w:szCs w:val="20"/>
              </w:rPr>
              <w:t xml:space="preserve"> Supervision Framework</w:t>
            </w:r>
          </w:p>
          <w:p w14:paraId="1371A02F"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lastRenderedPageBreak/>
              <w:t>problem solving, prioritising competing demands and synchronising various tasks to achieve outcomes and meet due dates</w:t>
            </w:r>
          </w:p>
          <w:p w14:paraId="091AF3FC" w14:textId="3B682D55"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using various methods to collect evaluative feedback from participants / stakeholders</w:t>
            </w:r>
          </w:p>
          <w:p w14:paraId="6A0EBF68" w14:textId="77777777" w:rsidR="00C72CD0" w:rsidRPr="00E52513" w:rsidRDefault="00C72CD0" w:rsidP="00BB0C58">
            <w:pPr>
              <w:pStyle w:val="ListParagraph"/>
              <w:numPr>
                <w:ilvl w:val="0"/>
                <w:numId w:val="20"/>
              </w:numPr>
              <w:tabs>
                <w:tab w:val="clear" w:pos="284"/>
              </w:tabs>
              <w:spacing w:before="0" w:after="16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inputting data in database programs, analysing data to identify inaccuracies, variations and trends and write progress reports, &amp;</w:t>
            </w:r>
          </w:p>
          <w:p w14:paraId="52D1EB75" w14:textId="77777777" w:rsidR="00C72CD0" w:rsidRPr="00E52513" w:rsidRDefault="00C72CD0" w:rsidP="00BB0C58">
            <w:pPr>
              <w:pStyle w:val="ListParagraph"/>
              <w:numPr>
                <w:ilvl w:val="0"/>
                <w:numId w:val="20"/>
              </w:numPr>
              <w:tabs>
                <w:tab w:val="clear" w:pos="284"/>
              </w:tabs>
              <w:spacing w:before="0" w:line="252" w:lineRule="auto"/>
              <w:ind w:left="175" w:hanging="175"/>
              <w:contextualSpacing/>
              <w:cnfStyle w:val="000000000000" w:firstRow="0" w:lastRow="0" w:firstColumn="0" w:lastColumn="0" w:oddVBand="0" w:evenVBand="0" w:oddHBand="0" w:evenHBand="0" w:firstRowFirstColumn="0" w:firstRowLastColumn="0" w:lastRowFirstColumn="0" w:lastRowLastColumn="0"/>
              <w:rPr>
                <w:sz w:val="20"/>
                <w:szCs w:val="20"/>
              </w:rPr>
            </w:pPr>
            <w:r w:rsidRPr="00E52513">
              <w:rPr>
                <w:sz w:val="20"/>
                <w:szCs w:val="20"/>
              </w:rPr>
              <w:t xml:space="preserve">Managing their personal self-care. </w:t>
            </w:r>
          </w:p>
        </w:tc>
      </w:tr>
      <w:tr w:rsidR="00C72CD0" w:rsidRPr="00E52513" w14:paraId="43B05C68" w14:textId="77777777" w:rsidTr="00673EB6">
        <w:tc>
          <w:tcPr>
            <w:cnfStyle w:val="001000000000" w:firstRow="0" w:lastRow="0" w:firstColumn="1" w:lastColumn="0" w:oddVBand="0" w:evenVBand="0" w:oddHBand="0" w:evenHBand="0" w:firstRowFirstColumn="0" w:firstRowLastColumn="0" w:lastRowFirstColumn="0" w:lastRowLastColumn="0"/>
            <w:tcW w:w="1809" w:type="dxa"/>
          </w:tcPr>
          <w:p w14:paraId="50E2DD67" w14:textId="77777777" w:rsidR="00C72CD0" w:rsidRPr="00E52513" w:rsidRDefault="00C72CD0" w:rsidP="00C72CD0">
            <w:pPr>
              <w:rPr>
                <w:sz w:val="20"/>
              </w:rPr>
            </w:pPr>
            <w:r w:rsidRPr="00E52513">
              <w:rPr>
                <w:sz w:val="20"/>
              </w:rPr>
              <w:lastRenderedPageBreak/>
              <w:t>Kimberley CRSA</w:t>
            </w:r>
          </w:p>
        </w:tc>
        <w:tc>
          <w:tcPr>
            <w:tcW w:w="8080" w:type="dxa"/>
          </w:tcPr>
          <w:p w14:paraId="2A54A0DF" w14:textId="77777777" w:rsidR="00C72CD0" w:rsidRPr="00E52513" w:rsidRDefault="00C72CD0" w:rsidP="00C72CD0">
            <w:pPr>
              <w:pStyle w:val="BodyCopy"/>
              <w:spacing w:before="0" w:after="0" w:line="240"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theme="minorBidi"/>
                <w:b/>
                <w:color w:val="auto"/>
                <w:spacing w:val="0"/>
                <w:sz w:val="20"/>
              </w:rPr>
            </w:pPr>
            <w:r w:rsidRPr="00E52513">
              <w:rPr>
                <w:rFonts w:ascii="Segoe UI" w:eastAsia="Times New Roman" w:hAnsi="Segoe UI" w:cstheme="minorBidi"/>
                <w:b/>
                <w:color w:val="auto"/>
                <w:spacing w:val="0"/>
                <w:sz w:val="20"/>
              </w:rPr>
              <w:t>Wording from the Kimberley CRSA Position Description</w:t>
            </w:r>
          </w:p>
          <w:p w14:paraId="0BAC466F" w14:textId="3AE83796" w:rsidR="00C72CD0" w:rsidRPr="00E52513" w:rsidRDefault="00C72CD0" w:rsidP="00C72CD0">
            <w:pPr>
              <w:spacing w:after="85"/>
              <w:cnfStyle w:val="000000000000" w:firstRow="0" w:lastRow="0" w:firstColumn="0" w:lastColumn="0" w:oddVBand="0" w:evenVBand="0" w:oddHBand="0" w:evenHBand="0" w:firstRowFirstColumn="0" w:firstRowLastColumn="0" w:lastRowFirstColumn="0" w:lastRowLastColumn="0"/>
              <w:rPr>
                <w:sz w:val="20"/>
              </w:rPr>
            </w:pPr>
            <w:r w:rsidRPr="00E52513">
              <w:rPr>
                <w:sz w:val="20"/>
              </w:rPr>
              <w:t xml:space="preserve">The Critical Response Support Advocate will be responsible for leading the delivery and implementation of tasks and activities under the NICRS and Kimberley </w:t>
            </w:r>
            <w:proofErr w:type="spellStart"/>
            <w:r w:rsidRPr="00E52513">
              <w:rPr>
                <w:sz w:val="20"/>
              </w:rPr>
              <w:t>Postvention</w:t>
            </w:r>
            <w:proofErr w:type="spellEnd"/>
            <w:r w:rsidRPr="00E52513">
              <w:rPr>
                <w:sz w:val="20"/>
              </w:rPr>
              <w:t xml:space="preserve"> Response Service in close working relationship with the </w:t>
            </w:r>
            <w:proofErr w:type="spellStart"/>
            <w:r w:rsidRPr="00E52513">
              <w:rPr>
                <w:sz w:val="20"/>
              </w:rPr>
              <w:t>Stand</w:t>
            </w:r>
            <w:r w:rsidR="00E03911" w:rsidRPr="00E52513">
              <w:rPr>
                <w:sz w:val="20"/>
              </w:rPr>
              <w:t>B</w:t>
            </w:r>
            <w:r w:rsidRPr="00E52513">
              <w:rPr>
                <w:sz w:val="20"/>
              </w:rPr>
              <w:t>y</w:t>
            </w:r>
            <w:proofErr w:type="spellEnd"/>
            <w:r w:rsidRPr="00E52513">
              <w:rPr>
                <w:sz w:val="20"/>
              </w:rPr>
              <w:t xml:space="preserve"> Coordinator.</w:t>
            </w:r>
          </w:p>
          <w:p w14:paraId="6B16C55F" w14:textId="77777777" w:rsidR="00C72CD0" w:rsidRPr="00E52513" w:rsidRDefault="00C72CD0" w:rsidP="00C72CD0">
            <w:pPr>
              <w:spacing w:before="85" w:after="85"/>
              <w:cnfStyle w:val="000000000000" w:firstRow="0" w:lastRow="0" w:firstColumn="0" w:lastColumn="0" w:oddVBand="0" w:evenVBand="0" w:oddHBand="0" w:evenHBand="0" w:firstRowFirstColumn="0" w:firstRowLastColumn="0" w:lastRowFirstColumn="0" w:lastRowLastColumn="0"/>
              <w:rPr>
                <w:sz w:val="20"/>
              </w:rPr>
            </w:pPr>
            <w:bookmarkStart w:id="130" w:name="_Hlk488247618"/>
            <w:r w:rsidRPr="00E52513">
              <w:rPr>
                <w:sz w:val="20"/>
              </w:rPr>
              <w:t>The CRSA will act as a local response contact point for critical incident needs &amp;, as required, lead local critical responses to suicide events, trauma or circumstances that could trigger suicide or other traumatic events by the provision of practical support to individuals, families &amp; communities, &amp; support staff attending incidents with them.</w:t>
            </w:r>
          </w:p>
          <w:p w14:paraId="639EBE6D" w14:textId="5D964D88" w:rsidR="00C72CD0" w:rsidRPr="00E52513" w:rsidRDefault="00C72CD0" w:rsidP="00C72CD0">
            <w:pPr>
              <w:spacing w:before="85" w:after="85"/>
              <w:cnfStyle w:val="000000000000" w:firstRow="0" w:lastRow="0" w:firstColumn="0" w:lastColumn="0" w:oddVBand="0" w:evenVBand="0" w:oddHBand="0" w:evenHBand="0" w:firstRowFirstColumn="0" w:firstRowLastColumn="0" w:lastRowFirstColumn="0" w:lastRowLastColumn="0"/>
              <w:rPr>
                <w:sz w:val="20"/>
              </w:rPr>
            </w:pPr>
            <w:r w:rsidRPr="00E52513">
              <w:rPr>
                <w:sz w:val="20"/>
              </w:rPr>
              <w:t>The primary responsibility to the CRSA is to make contact with the affected family members to understand their needs, be their advocate &amp; take responsibility to connect affected individuals &amp; families with support services &amp; regularly check</w:t>
            </w:r>
            <w:r w:rsidR="00D73661" w:rsidRPr="00E52513">
              <w:rPr>
                <w:sz w:val="20"/>
              </w:rPr>
              <w:t>-</w:t>
            </w:r>
            <w:r w:rsidRPr="00E52513">
              <w:rPr>
                <w:sz w:val="20"/>
              </w:rPr>
              <w:t>in with those affected to ensure they continue to be supported in all phases of their grief.</w:t>
            </w:r>
          </w:p>
          <w:p w14:paraId="5BFC519C" w14:textId="269FE814" w:rsidR="00C72CD0" w:rsidRPr="00E52513" w:rsidRDefault="00C72CD0" w:rsidP="00C72CD0">
            <w:pPr>
              <w:spacing w:before="85" w:after="85"/>
              <w:cnfStyle w:val="000000000000" w:firstRow="0" w:lastRow="0" w:firstColumn="0" w:lastColumn="0" w:oddVBand="0" w:evenVBand="0" w:oddHBand="0" w:evenHBand="0" w:firstRowFirstColumn="0" w:firstRowLastColumn="0" w:lastRowFirstColumn="0" w:lastRowLastColumn="0"/>
              <w:rPr>
                <w:sz w:val="20"/>
              </w:rPr>
            </w:pPr>
            <w:r w:rsidRPr="00E52513">
              <w:rPr>
                <w:sz w:val="20"/>
              </w:rPr>
              <w:t>It is expected that CRSA will be well versed in the services and organisations within the State/Territory they are located in, and will develop a positive reputation and relationship with services, the Police, Department of Prime Minister and Cabinet staff in local areas and State/Territory Department Officers.</w:t>
            </w:r>
          </w:p>
          <w:p w14:paraId="79D3AABB" w14:textId="77777777" w:rsidR="00C72CD0" w:rsidRPr="00E52513" w:rsidRDefault="00C72CD0" w:rsidP="00C72CD0">
            <w:pPr>
              <w:spacing w:before="85"/>
              <w:cnfStyle w:val="000000000000" w:firstRow="0" w:lastRow="0" w:firstColumn="0" w:lastColumn="0" w:oddVBand="0" w:evenVBand="0" w:oddHBand="0" w:evenHBand="0" w:firstRowFirstColumn="0" w:firstRowLastColumn="0" w:lastRowFirstColumn="0" w:lastRowLastColumn="0"/>
              <w:rPr>
                <w:sz w:val="20"/>
              </w:rPr>
            </w:pPr>
            <w:r w:rsidRPr="00E52513">
              <w:rPr>
                <w:sz w:val="20"/>
              </w:rPr>
              <w:t>The CRSA will support achievement of community capacity objectives by working with local communities and service providers to:</w:t>
            </w:r>
          </w:p>
          <w:bookmarkEnd w:id="130"/>
          <w:p w14:paraId="4849B8B3" w14:textId="77777777" w:rsidR="00C72CD0" w:rsidRPr="00E52513" w:rsidRDefault="00C72CD0" w:rsidP="00BB0C58">
            <w:pPr>
              <w:numPr>
                <w:ilvl w:val="0"/>
                <w:numId w:val="19"/>
              </w:numPr>
              <w:spacing w:before="20" w:after="20" w:line="264" w:lineRule="atLeast"/>
              <w:cnfStyle w:val="000000000000" w:firstRow="0" w:lastRow="0" w:firstColumn="0" w:lastColumn="0" w:oddVBand="0" w:evenVBand="0" w:oddHBand="0" w:evenHBand="0" w:firstRowFirstColumn="0" w:firstRowLastColumn="0" w:lastRowFirstColumn="0" w:lastRowLastColumn="0"/>
              <w:rPr>
                <w:sz w:val="20"/>
              </w:rPr>
            </w:pPr>
            <w:r w:rsidRPr="00E52513">
              <w:rPr>
                <w:sz w:val="20"/>
              </w:rPr>
              <w:t>enhance their delivery of local critical responses to suicide events, trauma or circumstances to provide practical support to individuals, families and communities</w:t>
            </w:r>
          </w:p>
          <w:p w14:paraId="4F3F931A" w14:textId="77777777" w:rsidR="00C72CD0" w:rsidRPr="00E52513" w:rsidRDefault="00C72CD0" w:rsidP="00BB0C58">
            <w:pPr>
              <w:numPr>
                <w:ilvl w:val="0"/>
                <w:numId w:val="19"/>
              </w:numPr>
              <w:spacing w:before="20" w:after="20" w:line="264" w:lineRule="atLeast"/>
              <w:cnfStyle w:val="000000000000" w:firstRow="0" w:lastRow="0" w:firstColumn="0" w:lastColumn="0" w:oddVBand="0" w:evenVBand="0" w:oddHBand="0" w:evenHBand="0" w:firstRowFirstColumn="0" w:firstRowLastColumn="0" w:lastRowFirstColumn="0" w:lastRowLastColumn="0"/>
              <w:rPr>
                <w:sz w:val="20"/>
              </w:rPr>
            </w:pPr>
            <w:r w:rsidRPr="00E52513">
              <w:rPr>
                <w:sz w:val="20"/>
              </w:rPr>
              <w:t>strengthen local service system coordination and promote local community capacity and resilience, and</w:t>
            </w:r>
          </w:p>
          <w:p w14:paraId="54FB31BF" w14:textId="77777777" w:rsidR="00C72CD0" w:rsidRPr="00E52513" w:rsidRDefault="00C72CD0" w:rsidP="00BB0C58">
            <w:pPr>
              <w:numPr>
                <w:ilvl w:val="0"/>
                <w:numId w:val="19"/>
              </w:numPr>
              <w:spacing w:before="20" w:after="20" w:line="264" w:lineRule="atLeast"/>
              <w:cnfStyle w:val="000000000000" w:firstRow="0" w:lastRow="0" w:firstColumn="0" w:lastColumn="0" w:oddVBand="0" w:evenVBand="0" w:oddHBand="0" w:evenHBand="0" w:firstRowFirstColumn="0" w:firstRowLastColumn="0" w:lastRowFirstColumn="0" w:lastRowLastColumn="0"/>
              <w:rPr>
                <w:sz w:val="20"/>
              </w:rPr>
            </w:pPr>
            <w:proofErr w:type="gramStart"/>
            <w:r w:rsidRPr="00E52513">
              <w:rPr>
                <w:sz w:val="20"/>
              </w:rPr>
              <w:t>contribute</w:t>
            </w:r>
            <w:proofErr w:type="gramEnd"/>
            <w:r w:rsidRPr="00E52513">
              <w:rPr>
                <w:sz w:val="20"/>
              </w:rPr>
              <w:t xml:space="preserve"> to strengthening the knowledge base of effective approaches in supporting families and communities impacted by suicide or other trauma-</w:t>
            </w:r>
            <w:r w:rsidRPr="00E52513">
              <w:rPr>
                <w:color w:val="000000"/>
                <w:sz w:val="20"/>
              </w:rPr>
              <w:t>related events.</w:t>
            </w:r>
          </w:p>
        </w:tc>
      </w:tr>
    </w:tbl>
    <w:p w14:paraId="5FD5CA76" w14:textId="77777777" w:rsidR="00C72CD0" w:rsidRPr="00E52513" w:rsidRDefault="00C72CD0" w:rsidP="00C72CD0">
      <w:pPr>
        <w:rPr>
          <w:rFonts w:eastAsiaTheme="majorEastAsia" w:cs="Segoe UI"/>
          <w:b/>
          <w:bCs/>
          <w:color w:val="0050B5"/>
          <w:szCs w:val="22"/>
        </w:rPr>
        <w:sectPr w:rsidR="00C72CD0" w:rsidRPr="00E52513" w:rsidSect="00C72CD0">
          <w:pgSz w:w="11906" w:h="16838"/>
          <w:pgMar w:top="1440" w:right="1080" w:bottom="1440" w:left="1080" w:header="709" w:footer="454" w:gutter="0"/>
          <w:cols w:space="708"/>
          <w:docGrid w:linePitch="360"/>
        </w:sectPr>
      </w:pPr>
    </w:p>
    <w:p w14:paraId="7B06BCF7" w14:textId="4C8C5208" w:rsidR="007D12CA" w:rsidRPr="00E52513" w:rsidRDefault="007D12CA" w:rsidP="007D12CA">
      <w:pPr>
        <w:pStyle w:val="Heading1"/>
        <w:numPr>
          <w:ilvl w:val="0"/>
          <w:numId w:val="0"/>
        </w:numPr>
      </w:pPr>
      <w:bookmarkStart w:id="131" w:name="_Toc54966668"/>
      <w:r w:rsidRPr="00E52513">
        <w:lastRenderedPageBreak/>
        <w:t xml:space="preserve">Appendix 6: Evaluation questions in relation to the </w:t>
      </w:r>
      <w:proofErr w:type="spellStart"/>
      <w:r w:rsidRPr="00E52513">
        <w:t>postvention</w:t>
      </w:r>
      <w:proofErr w:type="spellEnd"/>
      <w:r w:rsidRPr="00E52513">
        <w:t xml:space="preserve"> &amp; bereavement services</w:t>
      </w:r>
      <w:bookmarkEnd w:id="131"/>
    </w:p>
    <w:tbl>
      <w:tblPr>
        <w:tblW w:w="4850" w:type="pct"/>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Caption w:val="Table - evaluation questions and sources of data"/>
        <w:tblDescription w:val="Evaluation questions in left hand column under Key Evaluation Areas (KEA) headings of relevance, effectiveness, efficiency, impact, and sustainability.  Data sources are listed across the top - Key stakeholder whose view should be sought on KEAs - individuals and families, local Aboriginal service provider, local mainstream service providers, CRSAs, community members; Most Significant Change document review; ORS data interrogation. Relevant columns are ticked. "/>
      </w:tblPr>
      <w:tblGrid>
        <w:gridCol w:w="4565"/>
        <w:gridCol w:w="693"/>
        <w:gridCol w:w="692"/>
        <w:gridCol w:w="692"/>
        <w:gridCol w:w="578"/>
        <w:gridCol w:w="567"/>
        <w:gridCol w:w="937"/>
        <w:gridCol w:w="710"/>
      </w:tblGrid>
      <w:tr w:rsidR="007D12CA" w:rsidRPr="00E52513" w14:paraId="7B4E6B82" w14:textId="77777777" w:rsidTr="003A5C5C">
        <w:trPr>
          <w:tblHeader/>
          <w:jc w:val="center"/>
        </w:trPr>
        <w:tc>
          <w:tcPr>
            <w:tcW w:w="4565" w:type="dxa"/>
            <w:tcBorders>
              <w:right w:val="single" w:sz="8" w:space="0" w:color="FFFFFF" w:themeColor="background1"/>
            </w:tcBorders>
            <w:tcMar>
              <w:top w:w="0" w:type="dxa"/>
              <w:left w:w="108" w:type="dxa"/>
              <w:bottom w:w="0" w:type="dxa"/>
              <w:right w:w="108" w:type="dxa"/>
            </w:tcMar>
            <w:hideMark/>
          </w:tcPr>
          <w:p w14:paraId="20A303A0" w14:textId="77777777" w:rsidR="007D12CA" w:rsidRPr="00E52513" w:rsidRDefault="007D12CA" w:rsidP="000D4559">
            <w:pPr>
              <w:spacing w:after="0"/>
              <w:rPr>
                <w:b/>
                <w:sz w:val="20"/>
              </w:rPr>
            </w:pPr>
            <w:r w:rsidRPr="00E52513">
              <w:rPr>
                <w:b/>
                <w:sz w:val="20"/>
              </w:rPr>
              <w:t>Key Evaluation Area</w:t>
            </w:r>
          </w:p>
        </w:tc>
        <w:tc>
          <w:tcPr>
            <w:tcW w:w="3222" w:type="dxa"/>
            <w:gridSpan w:val="5"/>
            <w:tcBorders>
              <w:top w:val="single" w:sz="8" w:space="0" w:color="F79646" w:themeColor="accent6"/>
              <w:left w:val="single" w:sz="8" w:space="0" w:color="FFFFFF" w:themeColor="background1"/>
              <w:bottom w:val="single" w:sz="8" w:space="0" w:color="FFFFFF" w:themeColor="background1"/>
              <w:right w:val="single" w:sz="8" w:space="0" w:color="FFFFFF" w:themeColor="background1"/>
            </w:tcBorders>
            <w:shd w:val="clear" w:color="auto" w:fill="E46C0A"/>
            <w:tcMar>
              <w:top w:w="0" w:type="dxa"/>
              <w:left w:w="108" w:type="dxa"/>
              <w:bottom w:w="0" w:type="dxa"/>
              <w:right w:w="108" w:type="dxa"/>
            </w:tcMar>
            <w:vAlign w:val="center"/>
            <w:hideMark/>
          </w:tcPr>
          <w:p w14:paraId="28CEC1FB" w14:textId="77777777" w:rsidR="007D12CA" w:rsidRPr="00E52513" w:rsidRDefault="007D12CA" w:rsidP="007D12CA">
            <w:pPr>
              <w:spacing w:after="0" w:line="276" w:lineRule="auto"/>
              <w:jc w:val="center"/>
              <w:rPr>
                <w:b/>
                <w:bCs/>
                <w:color w:val="FFFFFF"/>
                <w:sz w:val="20"/>
              </w:rPr>
            </w:pPr>
            <w:r w:rsidRPr="00E52513">
              <w:rPr>
                <w:b/>
                <w:bCs/>
                <w:color w:val="FFFFFF"/>
                <w:sz w:val="20"/>
              </w:rPr>
              <w:t>Key Stakeholders whose view should be sought on KEAs</w:t>
            </w:r>
          </w:p>
        </w:tc>
        <w:tc>
          <w:tcPr>
            <w:tcW w:w="937" w:type="dxa"/>
            <w:tcBorders>
              <w:top w:val="single" w:sz="8" w:space="0" w:color="F79646" w:themeColor="accent6"/>
              <w:left w:val="single" w:sz="8" w:space="0" w:color="FFFFFF" w:themeColor="background1"/>
              <w:bottom w:val="single" w:sz="8" w:space="0" w:color="FFFFFF" w:themeColor="background1"/>
              <w:right w:val="single" w:sz="8" w:space="0" w:color="FFFFFF" w:themeColor="background1"/>
            </w:tcBorders>
            <w:shd w:val="clear" w:color="auto" w:fill="E46C0A"/>
            <w:textDirection w:val="tbRl"/>
            <w:vAlign w:val="center"/>
            <w:hideMark/>
          </w:tcPr>
          <w:p w14:paraId="1EF47E25" w14:textId="0096503D" w:rsidR="007D12CA" w:rsidRPr="00E52513" w:rsidRDefault="007D12CA" w:rsidP="003A5C5C">
            <w:pPr>
              <w:spacing w:after="0" w:line="276" w:lineRule="auto"/>
              <w:ind w:left="113" w:right="113"/>
              <w:rPr>
                <w:b/>
                <w:bCs/>
                <w:color w:val="FFFFFF"/>
                <w:sz w:val="20"/>
              </w:rPr>
            </w:pPr>
          </w:p>
        </w:tc>
        <w:tc>
          <w:tcPr>
            <w:tcW w:w="710" w:type="dxa"/>
            <w:tcBorders>
              <w:top w:val="single" w:sz="8" w:space="0" w:color="F79646" w:themeColor="accent6"/>
              <w:left w:val="single" w:sz="8" w:space="0" w:color="FFFFFF" w:themeColor="background1"/>
              <w:bottom w:val="single" w:sz="8" w:space="0" w:color="FFFFFF" w:themeColor="background1"/>
              <w:right w:val="single" w:sz="8" w:space="0" w:color="F79646" w:themeColor="accent6"/>
            </w:tcBorders>
            <w:shd w:val="clear" w:color="auto" w:fill="E46C0A"/>
            <w:textDirection w:val="tbRl"/>
            <w:vAlign w:val="center"/>
            <w:hideMark/>
          </w:tcPr>
          <w:p w14:paraId="2498219E" w14:textId="370C31C2" w:rsidR="007D12CA" w:rsidRPr="00E52513" w:rsidRDefault="007D12CA" w:rsidP="007D12CA">
            <w:pPr>
              <w:spacing w:after="0" w:line="276" w:lineRule="auto"/>
              <w:ind w:left="113" w:right="113"/>
              <w:jc w:val="center"/>
              <w:rPr>
                <w:b/>
                <w:bCs/>
                <w:color w:val="FFFFFF"/>
                <w:sz w:val="20"/>
              </w:rPr>
            </w:pPr>
          </w:p>
        </w:tc>
      </w:tr>
      <w:tr w:rsidR="003A5C5C" w:rsidRPr="003A5C5C" w14:paraId="3A028994" w14:textId="77777777" w:rsidTr="00AD2FCE">
        <w:trPr>
          <w:cantSplit/>
          <w:trHeight w:val="1347"/>
          <w:tblHeader/>
          <w:jc w:val="center"/>
        </w:trPr>
        <w:tc>
          <w:tcPr>
            <w:tcW w:w="4565" w:type="dxa"/>
            <w:tcBorders>
              <w:right w:val="single" w:sz="8" w:space="0" w:color="FFFFFF" w:themeColor="background1"/>
            </w:tcBorders>
            <w:vAlign w:val="center"/>
            <w:hideMark/>
          </w:tcPr>
          <w:p w14:paraId="0A7F5483" w14:textId="77777777" w:rsidR="003A5C5C" w:rsidRPr="00E52513" w:rsidRDefault="003A5C5C" w:rsidP="003A5C5C">
            <w:pPr>
              <w:spacing w:after="0"/>
              <w:rPr>
                <w:sz w:val="20"/>
              </w:rPr>
            </w:pPr>
          </w:p>
        </w:tc>
        <w:tc>
          <w:tcPr>
            <w:tcW w:w="693"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cMar>
              <w:top w:w="0" w:type="dxa"/>
              <w:left w:w="108" w:type="dxa"/>
              <w:bottom w:w="0" w:type="dxa"/>
              <w:right w:w="108" w:type="dxa"/>
            </w:tcMar>
            <w:textDirection w:val="tbRl"/>
            <w:vAlign w:val="center"/>
            <w:hideMark/>
          </w:tcPr>
          <w:p w14:paraId="51D9E9D9" w14:textId="77777777" w:rsidR="003A5C5C" w:rsidRPr="00E52513" w:rsidRDefault="003A5C5C" w:rsidP="003A5C5C">
            <w:pPr>
              <w:spacing w:after="0" w:line="276" w:lineRule="auto"/>
              <w:jc w:val="center"/>
              <w:rPr>
                <w:b/>
                <w:bCs/>
                <w:color w:val="FFFFFF"/>
                <w:sz w:val="18"/>
              </w:rPr>
            </w:pPr>
            <w:r w:rsidRPr="00E52513">
              <w:rPr>
                <w:rFonts w:ascii="Calibri" w:hAnsi="Calibri"/>
                <w:b/>
                <w:bCs/>
                <w:color w:val="FFFFFF"/>
                <w:sz w:val="18"/>
              </w:rPr>
              <w:t xml:space="preserve">Individuals and families </w:t>
            </w:r>
          </w:p>
        </w:tc>
        <w:tc>
          <w:tcPr>
            <w:tcW w:w="692"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cMar>
              <w:top w:w="0" w:type="dxa"/>
              <w:left w:w="108" w:type="dxa"/>
              <w:bottom w:w="0" w:type="dxa"/>
              <w:right w:w="108" w:type="dxa"/>
            </w:tcMar>
            <w:textDirection w:val="tbRl"/>
            <w:vAlign w:val="center"/>
            <w:hideMark/>
          </w:tcPr>
          <w:p w14:paraId="2FED15E1" w14:textId="77777777" w:rsidR="003A5C5C" w:rsidRPr="00E52513" w:rsidRDefault="003A5C5C" w:rsidP="003A5C5C">
            <w:pPr>
              <w:spacing w:after="0" w:line="276" w:lineRule="auto"/>
              <w:jc w:val="center"/>
              <w:rPr>
                <w:b/>
                <w:bCs/>
                <w:color w:val="FFFFFF"/>
                <w:sz w:val="18"/>
              </w:rPr>
            </w:pPr>
            <w:r w:rsidRPr="00E52513">
              <w:rPr>
                <w:rFonts w:ascii="Calibri" w:hAnsi="Calibri"/>
                <w:b/>
                <w:bCs/>
                <w:color w:val="FFFFFF"/>
                <w:sz w:val="18"/>
              </w:rPr>
              <w:t>Local Aboriginal service providers</w:t>
            </w:r>
          </w:p>
        </w:tc>
        <w:tc>
          <w:tcPr>
            <w:tcW w:w="692"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cMar>
              <w:top w:w="0" w:type="dxa"/>
              <w:left w:w="108" w:type="dxa"/>
              <w:bottom w:w="0" w:type="dxa"/>
              <w:right w:w="108" w:type="dxa"/>
            </w:tcMar>
            <w:textDirection w:val="tbRl"/>
            <w:vAlign w:val="center"/>
            <w:hideMark/>
          </w:tcPr>
          <w:p w14:paraId="356D2FBB" w14:textId="77777777" w:rsidR="003A5C5C" w:rsidRPr="00E52513" w:rsidRDefault="003A5C5C" w:rsidP="003A5C5C">
            <w:pPr>
              <w:spacing w:after="0" w:line="276" w:lineRule="auto"/>
              <w:jc w:val="center"/>
              <w:rPr>
                <w:b/>
                <w:bCs/>
                <w:color w:val="FFFFFF"/>
                <w:sz w:val="18"/>
              </w:rPr>
            </w:pPr>
            <w:r w:rsidRPr="00E52513">
              <w:rPr>
                <w:rFonts w:ascii="Calibri" w:hAnsi="Calibri"/>
                <w:b/>
                <w:bCs/>
                <w:color w:val="FFFFFF"/>
                <w:sz w:val="18"/>
              </w:rPr>
              <w:t xml:space="preserve">Local mainstream service providers </w:t>
            </w:r>
          </w:p>
        </w:tc>
        <w:tc>
          <w:tcPr>
            <w:tcW w:w="578"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extDirection w:val="tbRl"/>
            <w:vAlign w:val="center"/>
            <w:hideMark/>
          </w:tcPr>
          <w:p w14:paraId="38CCEE5A" w14:textId="77777777" w:rsidR="003A5C5C" w:rsidRPr="00E52513" w:rsidRDefault="003A5C5C" w:rsidP="003A5C5C">
            <w:pPr>
              <w:spacing w:after="0" w:line="276" w:lineRule="auto"/>
              <w:jc w:val="center"/>
              <w:rPr>
                <w:b/>
                <w:bCs/>
                <w:color w:val="FFFFFF"/>
                <w:sz w:val="18"/>
              </w:rPr>
            </w:pPr>
            <w:r w:rsidRPr="00E52513">
              <w:rPr>
                <w:rFonts w:ascii="Calibri" w:hAnsi="Calibri"/>
                <w:b/>
                <w:bCs/>
                <w:color w:val="FFFFFF"/>
                <w:sz w:val="18"/>
              </w:rPr>
              <w:t>CRSAs</w:t>
            </w:r>
          </w:p>
        </w:tc>
        <w:tc>
          <w:tcPr>
            <w:tcW w:w="567"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extDirection w:val="tbRl"/>
            <w:vAlign w:val="center"/>
            <w:hideMark/>
          </w:tcPr>
          <w:p w14:paraId="28E0CF3C" w14:textId="77777777" w:rsidR="003A5C5C" w:rsidRPr="00AD2FCE" w:rsidRDefault="003A5C5C" w:rsidP="003A5C5C">
            <w:pPr>
              <w:spacing w:after="0" w:line="276" w:lineRule="auto"/>
              <w:jc w:val="center"/>
              <w:rPr>
                <w:rFonts w:ascii="Calibri" w:hAnsi="Calibri"/>
                <w:b/>
                <w:bCs/>
                <w:color w:val="FFFFFF"/>
                <w:sz w:val="18"/>
              </w:rPr>
            </w:pPr>
            <w:r w:rsidRPr="00E52513">
              <w:rPr>
                <w:rFonts w:ascii="Calibri" w:hAnsi="Calibri"/>
                <w:b/>
                <w:bCs/>
                <w:color w:val="FFFFFF"/>
                <w:sz w:val="18"/>
              </w:rPr>
              <w:t>Community members</w:t>
            </w:r>
          </w:p>
        </w:tc>
        <w:tc>
          <w:tcPr>
            <w:tcW w:w="937" w:type="dxa"/>
            <w:tcBorders>
              <w:top w:val="single" w:sz="8" w:space="0" w:color="FFFFFF" w:themeColor="background1"/>
              <w:left w:val="single" w:sz="8" w:space="0" w:color="FFFFFF" w:themeColor="background1"/>
              <w:bottom w:val="nil"/>
              <w:right w:val="single" w:sz="8" w:space="0" w:color="FFFFFF" w:themeColor="background1"/>
            </w:tcBorders>
            <w:shd w:val="clear" w:color="auto" w:fill="E46C0A"/>
            <w:textDirection w:val="tbRl"/>
            <w:vAlign w:val="center"/>
            <w:hideMark/>
          </w:tcPr>
          <w:p w14:paraId="537AF0C9" w14:textId="54DBF855" w:rsidR="003A5C5C" w:rsidRPr="00AD2FCE" w:rsidRDefault="003A5C5C" w:rsidP="00AD2FCE">
            <w:pPr>
              <w:spacing w:after="0" w:line="276" w:lineRule="auto"/>
              <w:jc w:val="center"/>
              <w:rPr>
                <w:rFonts w:ascii="Calibri" w:hAnsi="Calibri"/>
                <w:b/>
                <w:bCs/>
                <w:color w:val="FFFFFF"/>
                <w:sz w:val="18"/>
              </w:rPr>
            </w:pPr>
            <w:r w:rsidRPr="00AD2FCE">
              <w:rPr>
                <w:rFonts w:ascii="Calibri" w:hAnsi="Calibri"/>
                <w:b/>
                <w:bCs/>
                <w:color w:val="FFFFFF"/>
                <w:sz w:val="18"/>
              </w:rPr>
              <w:t>MSC document review</w:t>
            </w:r>
          </w:p>
        </w:tc>
        <w:tc>
          <w:tcPr>
            <w:tcW w:w="710" w:type="dxa"/>
            <w:tcBorders>
              <w:top w:val="single" w:sz="8" w:space="0" w:color="FFFFFF" w:themeColor="background1"/>
              <w:left w:val="single" w:sz="8" w:space="0" w:color="FFFFFF" w:themeColor="background1"/>
              <w:bottom w:val="nil"/>
              <w:right w:val="single" w:sz="8" w:space="0" w:color="F79646" w:themeColor="accent6"/>
            </w:tcBorders>
            <w:shd w:val="clear" w:color="auto" w:fill="E46C0A"/>
            <w:textDirection w:val="tbRl"/>
            <w:vAlign w:val="center"/>
            <w:hideMark/>
          </w:tcPr>
          <w:p w14:paraId="2E742D81" w14:textId="15CD41E0" w:rsidR="003A5C5C" w:rsidRPr="00AD2FCE" w:rsidRDefault="003A5C5C" w:rsidP="00AD2FCE">
            <w:pPr>
              <w:spacing w:after="0" w:line="276" w:lineRule="auto"/>
              <w:ind w:left="113" w:right="113"/>
              <w:jc w:val="center"/>
              <w:rPr>
                <w:rFonts w:ascii="Calibri" w:hAnsi="Calibri"/>
                <w:b/>
                <w:bCs/>
                <w:color w:val="FFFFFF"/>
                <w:sz w:val="18"/>
              </w:rPr>
            </w:pPr>
            <w:r w:rsidRPr="00AD2FCE">
              <w:rPr>
                <w:rFonts w:ascii="Calibri" w:hAnsi="Calibri"/>
                <w:b/>
                <w:bCs/>
                <w:color w:val="FFFFFF"/>
                <w:sz w:val="18"/>
              </w:rPr>
              <w:t>ORS data interrogation</w:t>
            </w:r>
          </w:p>
        </w:tc>
      </w:tr>
      <w:tr w:rsidR="003A5C5C" w:rsidRPr="00E52513" w14:paraId="32206F74" w14:textId="77777777" w:rsidTr="003A5C5C">
        <w:trPr>
          <w:jc w:val="center"/>
        </w:trPr>
        <w:tc>
          <w:tcPr>
            <w:tcW w:w="4565" w:type="dxa"/>
            <w:shd w:val="clear" w:color="auto" w:fill="FBD4B4" w:themeFill="accent6" w:themeFillTint="66"/>
            <w:tcMar>
              <w:top w:w="0" w:type="dxa"/>
              <w:left w:w="108" w:type="dxa"/>
              <w:bottom w:w="0" w:type="dxa"/>
              <w:right w:w="108" w:type="dxa"/>
            </w:tcMar>
            <w:hideMark/>
          </w:tcPr>
          <w:p w14:paraId="0E64B2D5" w14:textId="77777777" w:rsidR="003A5C5C" w:rsidRPr="00E52513" w:rsidRDefault="003A5C5C" w:rsidP="003A5C5C">
            <w:pPr>
              <w:spacing w:after="0"/>
              <w:rPr>
                <w:b/>
                <w:sz w:val="20"/>
              </w:rPr>
            </w:pPr>
            <w:r w:rsidRPr="00E52513">
              <w:rPr>
                <w:b/>
                <w:sz w:val="20"/>
              </w:rPr>
              <w:t>1. RELEVANCE – Is the program meeting the needs of families and communities?</w:t>
            </w:r>
          </w:p>
        </w:tc>
        <w:tc>
          <w:tcPr>
            <w:tcW w:w="693" w:type="dxa"/>
            <w:tcBorders>
              <w:top w:val="nil"/>
            </w:tcBorders>
            <w:shd w:val="clear" w:color="auto" w:fill="FBD4B4" w:themeFill="accent6" w:themeFillTint="66"/>
            <w:tcMar>
              <w:top w:w="0" w:type="dxa"/>
              <w:left w:w="108" w:type="dxa"/>
              <w:bottom w:w="0" w:type="dxa"/>
              <w:right w:w="108" w:type="dxa"/>
            </w:tcMar>
            <w:vAlign w:val="center"/>
          </w:tcPr>
          <w:p w14:paraId="482D5478" w14:textId="77777777" w:rsidR="003A5C5C" w:rsidRPr="00E52513" w:rsidRDefault="003A5C5C" w:rsidP="003A5C5C">
            <w:pPr>
              <w:spacing w:after="0" w:line="276" w:lineRule="auto"/>
              <w:jc w:val="center"/>
              <w:rPr>
                <w:rFonts w:ascii="Wingdings" w:hAnsi="Wingdings"/>
              </w:rPr>
            </w:pPr>
          </w:p>
        </w:tc>
        <w:tc>
          <w:tcPr>
            <w:tcW w:w="692" w:type="dxa"/>
            <w:tcBorders>
              <w:top w:val="nil"/>
            </w:tcBorders>
            <w:shd w:val="clear" w:color="auto" w:fill="FBD4B4" w:themeFill="accent6" w:themeFillTint="66"/>
            <w:tcMar>
              <w:top w:w="0" w:type="dxa"/>
              <w:left w:w="108" w:type="dxa"/>
              <w:bottom w:w="0" w:type="dxa"/>
              <w:right w:w="108" w:type="dxa"/>
            </w:tcMar>
            <w:vAlign w:val="center"/>
          </w:tcPr>
          <w:p w14:paraId="0E0E5730" w14:textId="77777777" w:rsidR="003A5C5C" w:rsidRPr="00E52513" w:rsidRDefault="003A5C5C" w:rsidP="003A5C5C">
            <w:pPr>
              <w:spacing w:after="0" w:line="276" w:lineRule="auto"/>
              <w:jc w:val="center"/>
              <w:rPr>
                <w:rFonts w:ascii="Wingdings" w:hAnsi="Wingdings"/>
              </w:rPr>
            </w:pPr>
          </w:p>
        </w:tc>
        <w:tc>
          <w:tcPr>
            <w:tcW w:w="692" w:type="dxa"/>
            <w:tcBorders>
              <w:top w:val="nil"/>
            </w:tcBorders>
            <w:shd w:val="clear" w:color="auto" w:fill="FBD4B4" w:themeFill="accent6" w:themeFillTint="66"/>
            <w:tcMar>
              <w:top w:w="0" w:type="dxa"/>
              <w:left w:w="108" w:type="dxa"/>
              <w:bottom w:w="0" w:type="dxa"/>
              <w:right w:w="108" w:type="dxa"/>
            </w:tcMar>
            <w:vAlign w:val="center"/>
          </w:tcPr>
          <w:p w14:paraId="57338CE0" w14:textId="77777777" w:rsidR="003A5C5C" w:rsidRPr="00E52513" w:rsidRDefault="003A5C5C" w:rsidP="003A5C5C">
            <w:pPr>
              <w:spacing w:after="0" w:line="276" w:lineRule="auto"/>
              <w:jc w:val="center"/>
            </w:pPr>
          </w:p>
        </w:tc>
        <w:tc>
          <w:tcPr>
            <w:tcW w:w="578" w:type="dxa"/>
            <w:tcBorders>
              <w:top w:val="nil"/>
            </w:tcBorders>
            <w:shd w:val="clear" w:color="auto" w:fill="FBD4B4" w:themeFill="accent6" w:themeFillTint="66"/>
            <w:vAlign w:val="center"/>
          </w:tcPr>
          <w:p w14:paraId="6FB04F4E" w14:textId="77777777" w:rsidR="003A5C5C" w:rsidRPr="00E52513" w:rsidRDefault="003A5C5C" w:rsidP="003A5C5C">
            <w:pPr>
              <w:spacing w:after="0" w:line="276" w:lineRule="auto"/>
              <w:jc w:val="center"/>
            </w:pPr>
          </w:p>
        </w:tc>
        <w:tc>
          <w:tcPr>
            <w:tcW w:w="567" w:type="dxa"/>
            <w:tcBorders>
              <w:top w:val="nil"/>
            </w:tcBorders>
            <w:shd w:val="clear" w:color="auto" w:fill="FBD4B4" w:themeFill="accent6" w:themeFillTint="66"/>
            <w:vAlign w:val="center"/>
          </w:tcPr>
          <w:p w14:paraId="59DF4CAF" w14:textId="77777777" w:rsidR="003A5C5C" w:rsidRPr="00E52513" w:rsidRDefault="003A5C5C" w:rsidP="003A5C5C">
            <w:pPr>
              <w:spacing w:after="0" w:line="276" w:lineRule="auto"/>
              <w:jc w:val="center"/>
            </w:pPr>
          </w:p>
        </w:tc>
        <w:tc>
          <w:tcPr>
            <w:tcW w:w="937" w:type="dxa"/>
            <w:tcBorders>
              <w:top w:val="nil"/>
            </w:tcBorders>
            <w:shd w:val="clear" w:color="auto" w:fill="FBD4B4" w:themeFill="accent6" w:themeFillTint="66"/>
            <w:vAlign w:val="center"/>
          </w:tcPr>
          <w:p w14:paraId="668DBE3F" w14:textId="77777777" w:rsidR="003A5C5C" w:rsidRPr="00E52513" w:rsidRDefault="003A5C5C" w:rsidP="003A5C5C">
            <w:pPr>
              <w:spacing w:after="0" w:line="276" w:lineRule="auto"/>
              <w:jc w:val="center"/>
              <w:rPr>
                <w:sz w:val="20"/>
              </w:rPr>
            </w:pPr>
          </w:p>
        </w:tc>
        <w:tc>
          <w:tcPr>
            <w:tcW w:w="710" w:type="dxa"/>
            <w:tcBorders>
              <w:top w:val="nil"/>
            </w:tcBorders>
            <w:shd w:val="clear" w:color="auto" w:fill="FBD4B4" w:themeFill="accent6" w:themeFillTint="66"/>
            <w:vAlign w:val="center"/>
          </w:tcPr>
          <w:p w14:paraId="66C86D92" w14:textId="77777777" w:rsidR="003A5C5C" w:rsidRPr="00E52513" w:rsidRDefault="003A5C5C" w:rsidP="003A5C5C">
            <w:pPr>
              <w:spacing w:after="0" w:line="276" w:lineRule="auto"/>
              <w:jc w:val="center"/>
              <w:rPr>
                <w:sz w:val="20"/>
              </w:rPr>
            </w:pPr>
          </w:p>
        </w:tc>
      </w:tr>
      <w:tr w:rsidR="003A5C5C" w:rsidRPr="00E52513" w14:paraId="08B6A7DD" w14:textId="77777777" w:rsidTr="003A5C5C">
        <w:trPr>
          <w:jc w:val="center"/>
        </w:trPr>
        <w:tc>
          <w:tcPr>
            <w:tcW w:w="4565" w:type="dxa"/>
            <w:tcMar>
              <w:top w:w="0" w:type="dxa"/>
              <w:left w:w="108" w:type="dxa"/>
              <w:bottom w:w="0" w:type="dxa"/>
              <w:right w:w="108" w:type="dxa"/>
            </w:tcMar>
            <w:hideMark/>
          </w:tcPr>
          <w:p w14:paraId="216080D2" w14:textId="77777777" w:rsidR="003A5C5C" w:rsidRPr="00E52513" w:rsidRDefault="003A5C5C" w:rsidP="003A5C5C">
            <w:pPr>
              <w:spacing w:after="0"/>
              <w:rPr>
                <w:sz w:val="20"/>
              </w:rPr>
            </w:pPr>
            <w:r w:rsidRPr="00E52513">
              <w:rPr>
                <w:sz w:val="20"/>
              </w:rPr>
              <w:t>1.1 What input do families and communities have over how NICRS is delivered and does NICRS adapt service delivery to respond to unique family and community needs? If so, how?</w:t>
            </w:r>
          </w:p>
        </w:tc>
        <w:tc>
          <w:tcPr>
            <w:tcW w:w="693" w:type="dxa"/>
            <w:tcMar>
              <w:top w:w="0" w:type="dxa"/>
              <w:left w:w="108" w:type="dxa"/>
              <w:bottom w:w="0" w:type="dxa"/>
              <w:right w:w="108" w:type="dxa"/>
            </w:tcMar>
            <w:vAlign w:val="center"/>
            <w:hideMark/>
          </w:tcPr>
          <w:p w14:paraId="0E3ABD4D"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7E7CF19C"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1A4DE82F"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39D105F4"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22DE21EE"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3EC87B75"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2C3502BC" w14:textId="77777777" w:rsidR="003A5C5C" w:rsidRPr="00E52513" w:rsidRDefault="003A5C5C" w:rsidP="003A5C5C">
            <w:pPr>
              <w:spacing w:after="0" w:line="276" w:lineRule="auto"/>
              <w:jc w:val="center"/>
              <w:rPr>
                <w:sz w:val="20"/>
              </w:rPr>
            </w:pPr>
            <w:r w:rsidRPr="00E52513">
              <w:t>–</w:t>
            </w:r>
          </w:p>
        </w:tc>
      </w:tr>
      <w:tr w:rsidR="003A5C5C" w:rsidRPr="00E52513" w14:paraId="244A6D7F" w14:textId="77777777" w:rsidTr="003A5C5C">
        <w:trPr>
          <w:jc w:val="center"/>
        </w:trPr>
        <w:tc>
          <w:tcPr>
            <w:tcW w:w="4565" w:type="dxa"/>
            <w:tcMar>
              <w:top w:w="0" w:type="dxa"/>
              <w:left w:w="108" w:type="dxa"/>
              <w:bottom w:w="0" w:type="dxa"/>
              <w:right w:w="108" w:type="dxa"/>
            </w:tcMar>
            <w:hideMark/>
          </w:tcPr>
          <w:p w14:paraId="62527A49" w14:textId="77777777" w:rsidR="003A5C5C" w:rsidRPr="00E52513" w:rsidRDefault="003A5C5C" w:rsidP="003A5C5C">
            <w:pPr>
              <w:spacing w:after="0"/>
              <w:rPr>
                <w:sz w:val="20"/>
              </w:rPr>
            </w:pPr>
            <w:r w:rsidRPr="00E52513">
              <w:rPr>
                <w:sz w:val="20"/>
              </w:rPr>
              <w:t>1.2 Is NICRS working appropriately with Aboriginal and Torres Strait Islander services and mainstream services in local communities? If ‘yes’, how? If not, why?</w:t>
            </w:r>
          </w:p>
        </w:tc>
        <w:tc>
          <w:tcPr>
            <w:tcW w:w="693" w:type="dxa"/>
            <w:tcMar>
              <w:top w:w="0" w:type="dxa"/>
              <w:left w:w="108" w:type="dxa"/>
              <w:bottom w:w="0" w:type="dxa"/>
              <w:right w:w="108" w:type="dxa"/>
            </w:tcMar>
            <w:vAlign w:val="center"/>
            <w:hideMark/>
          </w:tcPr>
          <w:p w14:paraId="112A3AC8"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1C1DD297"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3F24ACB8"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7D02DBB7"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71B4099E"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22E1E245" w14:textId="77777777" w:rsidR="003A5C5C" w:rsidRPr="00E52513" w:rsidRDefault="003A5C5C" w:rsidP="003A5C5C">
            <w:pPr>
              <w:spacing w:after="0" w:line="276" w:lineRule="auto"/>
              <w:jc w:val="center"/>
              <w:rPr>
                <w:rFonts w:ascii="Wingdings" w:hAnsi="Wingdings"/>
                <w:sz w:val="20"/>
              </w:rPr>
            </w:pPr>
            <w:r w:rsidRPr="00E52513">
              <w:t>–</w:t>
            </w:r>
          </w:p>
        </w:tc>
        <w:tc>
          <w:tcPr>
            <w:tcW w:w="710" w:type="dxa"/>
            <w:vAlign w:val="center"/>
            <w:hideMark/>
          </w:tcPr>
          <w:p w14:paraId="4EB22BE2"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1C9E4599" w14:textId="77777777" w:rsidTr="003A5C5C">
        <w:trPr>
          <w:jc w:val="center"/>
        </w:trPr>
        <w:tc>
          <w:tcPr>
            <w:tcW w:w="4565" w:type="dxa"/>
            <w:tcMar>
              <w:top w:w="0" w:type="dxa"/>
              <w:left w:w="108" w:type="dxa"/>
              <w:bottom w:w="0" w:type="dxa"/>
              <w:right w:w="108" w:type="dxa"/>
            </w:tcMar>
            <w:hideMark/>
          </w:tcPr>
          <w:p w14:paraId="5657664B" w14:textId="77777777" w:rsidR="003A5C5C" w:rsidRPr="00E52513" w:rsidRDefault="003A5C5C" w:rsidP="003A5C5C">
            <w:pPr>
              <w:spacing w:after="0"/>
              <w:rPr>
                <w:sz w:val="20"/>
              </w:rPr>
            </w:pPr>
            <w:r w:rsidRPr="00E52513">
              <w:rPr>
                <w:sz w:val="20"/>
              </w:rPr>
              <w:t>1.3 Is NICRS working appropriately with individuals and families to enable honest and open communication? If not, why? What could be improved?</w:t>
            </w:r>
          </w:p>
        </w:tc>
        <w:tc>
          <w:tcPr>
            <w:tcW w:w="693" w:type="dxa"/>
            <w:tcMar>
              <w:top w:w="0" w:type="dxa"/>
              <w:left w:w="108" w:type="dxa"/>
              <w:bottom w:w="0" w:type="dxa"/>
              <w:right w:w="108" w:type="dxa"/>
            </w:tcMar>
            <w:vAlign w:val="center"/>
            <w:hideMark/>
          </w:tcPr>
          <w:p w14:paraId="71FC3E2F"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74EA8356" w14:textId="77777777" w:rsidR="003A5C5C" w:rsidRPr="00E52513" w:rsidRDefault="003A5C5C" w:rsidP="003A5C5C">
            <w:pPr>
              <w:spacing w:after="0" w:line="276" w:lineRule="auto"/>
              <w:jc w:val="center"/>
              <w:rPr>
                <w:rFonts w:ascii="Calibri" w:hAnsi="Calibri"/>
              </w:rPr>
            </w:pPr>
            <w:r w:rsidRPr="00E52513">
              <w:rPr>
                <w:rFonts w:ascii="Wingdings" w:hAnsi="Wingdings"/>
              </w:rPr>
              <w:t></w:t>
            </w:r>
          </w:p>
        </w:tc>
        <w:tc>
          <w:tcPr>
            <w:tcW w:w="692" w:type="dxa"/>
            <w:tcMar>
              <w:top w:w="0" w:type="dxa"/>
              <w:left w:w="108" w:type="dxa"/>
              <w:bottom w:w="0" w:type="dxa"/>
              <w:right w:w="108" w:type="dxa"/>
            </w:tcMar>
            <w:vAlign w:val="center"/>
            <w:hideMark/>
          </w:tcPr>
          <w:p w14:paraId="63BD7A98" w14:textId="77777777" w:rsidR="003A5C5C" w:rsidRPr="00E52513" w:rsidRDefault="003A5C5C" w:rsidP="003A5C5C">
            <w:pPr>
              <w:spacing w:after="0" w:line="276" w:lineRule="auto"/>
              <w:jc w:val="center"/>
              <w:rPr>
                <w:rFonts w:ascii="Calibri" w:hAnsi="Calibri"/>
              </w:rPr>
            </w:pPr>
            <w:r w:rsidRPr="00E52513">
              <w:rPr>
                <w:rFonts w:ascii="Wingdings" w:hAnsi="Wingdings"/>
              </w:rPr>
              <w:t></w:t>
            </w:r>
          </w:p>
        </w:tc>
        <w:tc>
          <w:tcPr>
            <w:tcW w:w="578" w:type="dxa"/>
            <w:vAlign w:val="center"/>
            <w:hideMark/>
          </w:tcPr>
          <w:p w14:paraId="7714F8E6" w14:textId="77777777" w:rsidR="003A5C5C" w:rsidRPr="00E52513" w:rsidRDefault="003A5C5C" w:rsidP="003A5C5C">
            <w:pPr>
              <w:spacing w:after="0" w:line="276" w:lineRule="auto"/>
              <w:jc w:val="center"/>
            </w:pPr>
            <w:r w:rsidRPr="00E52513">
              <w:t>–</w:t>
            </w:r>
          </w:p>
        </w:tc>
        <w:tc>
          <w:tcPr>
            <w:tcW w:w="567" w:type="dxa"/>
            <w:vAlign w:val="center"/>
            <w:hideMark/>
          </w:tcPr>
          <w:p w14:paraId="7A9D8E08" w14:textId="77777777" w:rsidR="003A5C5C" w:rsidRPr="00E52513" w:rsidRDefault="003A5C5C" w:rsidP="003A5C5C">
            <w:pPr>
              <w:spacing w:after="0" w:line="276" w:lineRule="auto"/>
              <w:jc w:val="center"/>
            </w:pPr>
            <w:r w:rsidRPr="00E52513">
              <w:t>–</w:t>
            </w:r>
          </w:p>
        </w:tc>
        <w:tc>
          <w:tcPr>
            <w:tcW w:w="937" w:type="dxa"/>
            <w:vAlign w:val="center"/>
            <w:hideMark/>
          </w:tcPr>
          <w:p w14:paraId="095EBA20" w14:textId="77777777" w:rsidR="003A5C5C" w:rsidRPr="00E52513" w:rsidRDefault="003A5C5C" w:rsidP="003A5C5C">
            <w:pPr>
              <w:spacing w:after="0" w:line="276" w:lineRule="auto"/>
              <w:jc w:val="center"/>
              <w:rPr>
                <w:rFonts w:ascii="Calibri" w:hAnsi="Calibri"/>
                <w:sz w:val="20"/>
              </w:rPr>
            </w:pPr>
            <w:r w:rsidRPr="00E52513">
              <w:t>–</w:t>
            </w:r>
          </w:p>
        </w:tc>
        <w:tc>
          <w:tcPr>
            <w:tcW w:w="710" w:type="dxa"/>
            <w:vAlign w:val="center"/>
            <w:hideMark/>
          </w:tcPr>
          <w:p w14:paraId="121722C9" w14:textId="77777777" w:rsidR="003A5C5C" w:rsidRPr="00E52513" w:rsidRDefault="003A5C5C" w:rsidP="003A5C5C">
            <w:pPr>
              <w:spacing w:after="0" w:line="276" w:lineRule="auto"/>
              <w:jc w:val="center"/>
              <w:rPr>
                <w:rFonts w:ascii="Calibri" w:hAnsi="Calibri"/>
                <w:sz w:val="20"/>
              </w:rPr>
            </w:pPr>
            <w:r w:rsidRPr="00E52513">
              <w:t>–</w:t>
            </w:r>
          </w:p>
        </w:tc>
      </w:tr>
      <w:tr w:rsidR="003A5C5C" w:rsidRPr="00E52513" w14:paraId="0E1B09F4" w14:textId="77777777" w:rsidTr="003A5C5C">
        <w:trPr>
          <w:jc w:val="center"/>
        </w:trPr>
        <w:tc>
          <w:tcPr>
            <w:tcW w:w="4565" w:type="dxa"/>
            <w:shd w:val="clear" w:color="auto" w:fill="FBD4B4" w:themeFill="accent6" w:themeFillTint="66"/>
            <w:tcMar>
              <w:top w:w="0" w:type="dxa"/>
              <w:left w:w="108" w:type="dxa"/>
              <w:bottom w:w="0" w:type="dxa"/>
              <w:right w:w="108" w:type="dxa"/>
            </w:tcMar>
            <w:hideMark/>
          </w:tcPr>
          <w:p w14:paraId="7EE0CA7B" w14:textId="77777777" w:rsidR="003A5C5C" w:rsidRPr="00E52513" w:rsidRDefault="003A5C5C" w:rsidP="003A5C5C">
            <w:pPr>
              <w:spacing w:after="0"/>
              <w:rPr>
                <w:b/>
                <w:sz w:val="20"/>
              </w:rPr>
            </w:pPr>
            <w:r w:rsidRPr="00E52513">
              <w:rPr>
                <w:b/>
                <w:sz w:val="20"/>
              </w:rPr>
              <w:t>2. EFFECTIVENESS – Have the objectives been met?</w:t>
            </w:r>
          </w:p>
        </w:tc>
        <w:tc>
          <w:tcPr>
            <w:tcW w:w="693" w:type="dxa"/>
            <w:shd w:val="clear" w:color="auto" w:fill="FBD4B4" w:themeFill="accent6" w:themeFillTint="66"/>
            <w:tcMar>
              <w:top w:w="0" w:type="dxa"/>
              <w:left w:w="108" w:type="dxa"/>
              <w:bottom w:w="0" w:type="dxa"/>
              <w:right w:w="108" w:type="dxa"/>
            </w:tcMar>
            <w:vAlign w:val="center"/>
          </w:tcPr>
          <w:p w14:paraId="10C4D0F7" w14:textId="77777777" w:rsidR="003A5C5C" w:rsidRPr="00E52513" w:rsidRDefault="003A5C5C" w:rsidP="003A5C5C">
            <w:pPr>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69914601" w14:textId="77777777" w:rsidR="003A5C5C" w:rsidRPr="00E52513" w:rsidRDefault="003A5C5C" w:rsidP="003A5C5C">
            <w:pPr>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05379000" w14:textId="77777777" w:rsidR="003A5C5C" w:rsidRPr="00E52513" w:rsidRDefault="003A5C5C" w:rsidP="003A5C5C">
            <w:pPr>
              <w:spacing w:after="0" w:line="276" w:lineRule="auto"/>
              <w:jc w:val="center"/>
            </w:pPr>
          </w:p>
        </w:tc>
        <w:tc>
          <w:tcPr>
            <w:tcW w:w="578" w:type="dxa"/>
            <w:shd w:val="clear" w:color="auto" w:fill="FBD4B4" w:themeFill="accent6" w:themeFillTint="66"/>
            <w:vAlign w:val="center"/>
          </w:tcPr>
          <w:p w14:paraId="3F9BF83D" w14:textId="77777777" w:rsidR="003A5C5C" w:rsidRPr="00E52513" w:rsidRDefault="003A5C5C" w:rsidP="003A5C5C">
            <w:pPr>
              <w:spacing w:after="0" w:line="276" w:lineRule="auto"/>
              <w:jc w:val="center"/>
            </w:pPr>
          </w:p>
        </w:tc>
        <w:tc>
          <w:tcPr>
            <w:tcW w:w="567" w:type="dxa"/>
            <w:shd w:val="clear" w:color="auto" w:fill="FBD4B4" w:themeFill="accent6" w:themeFillTint="66"/>
            <w:vAlign w:val="center"/>
          </w:tcPr>
          <w:p w14:paraId="5D8F0464" w14:textId="77777777" w:rsidR="003A5C5C" w:rsidRPr="00E52513" w:rsidRDefault="003A5C5C" w:rsidP="003A5C5C">
            <w:pPr>
              <w:spacing w:after="0" w:line="276" w:lineRule="auto"/>
              <w:jc w:val="center"/>
            </w:pPr>
          </w:p>
        </w:tc>
        <w:tc>
          <w:tcPr>
            <w:tcW w:w="937" w:type="dxa"/>
            <w:shd w:val="clear" w:color="auto" w:fill="FBD4B4" w:themeFill="accent6" w:themeFillTint="66"/>
            <w:vAlign w:val="center"/>
          </w:tcPr>
          <w:p w14:paraId="52A84E10" w14:textId="77777777" w:rsidR="003A5C5C" w:rsidRPr="00E52513" w:rsidRDefault="003A5C5C" w:rsidP="003A5C5C">
            <w:pPr>
              <w:spacing w:after="0" w:line="276" w:lineRule="auto"/>
              <w:jc w:val="center"/>
              <w:rPr>
                <w:sz w:val="20"/>
              </w:rPr>
            </w:pPr>
          </w:p>
        </w:tc>
        <w:tc>
          <w:tcPr>
            <w:tcW w:w="710" w:type="dxa"/>
            <w:shd w:val="clear" w:color="auto" w:fill="FBD4B4" w:themeFill="accent6" w:themeFillTint="66"/>
            <w:vAlign w:val="center"/>
          </w:tcPr>
          <w:p w14:paraId="1DC79E92" w14:textId="77777777" w:rsidR="003A5C5C" w:rsidRPr="00E52513" w:rsidRDefault="003A5C5C" w:rsidP="003A5C5C">
            <w:pPr>
              <w:spacing w:after="0" w:line="276" w:lineRule="auto"/>
              <w:jc w:val="center"/>
              <w:rPr>
                <w:sz w:val="20"/>
              </w:rPr>
            </w:pPr>
          </w:p>
        </w:tc>
      </w:tr>
      <w:tr w:rsidR="003A5C5C" w:rsidRPr="00E52513" w14:paraId="7017BF4F" w14:textId="77777777" w:rsidTr="003A5C5C">
        <w:trPr>
          <w:jc w:val="center"/>
        </w:trPr>
        <w:tc>
          <w:tcPr>
            <w:tcW w:w="4565" w:type="dxa"/>
            <w:tcMar>
              <w:top w:w="0" w:type="dxa"/>
              <w:left w:w="108" w:type="dxa"/>
              <w:bottom w:w="0" w:type="dxa"/>
              <w:right w:w="108" w:type="dxa"/>
            </w:tcMar>
            <w:hideMark/>
          </w:tcPr>
          <w:p w14:paraId="3E5990FC" w14:textId="77777777" w:rsidR="003A5C5C" w:rsidRPr="00E52513" w:rsidRDefault="003A5C5C" w:rsidP="003A5C5C">
            <w:pPr>
              <w:spacing w:after="0"/>
              <w:rPr>
                <w:sz w:val="20"/>
              </w:rPr>
            </w:pPr>
            <w:r w:rsidRPr="00E52513">
              <w:rPr>
                <w:sz w:val="20"/>
              </w:rPr>
              <w:t>2.1 To what extent are Aboriginal and Torres Strait Islander communities and the services working in the communities that received NICRS support aware of the NICRS? How did the program communicate information about itself to communities and was this effective?</w:t>
            </w:r>
          </w:p>
        </w:tc>
        <w:tc>
          <w:tcPr>
            <w:tcW w:w="693" w:type="dxa"/>
            <w:tcMar>
              <w:top w:w="0" w:type="dxa"/>
              <w:left w:w="108" w:type="dxa"/>
              <w:bottom w:w="0" w:type="dxa"/>
              <w:right w:w="108" w:type="dxa"/>
            </w:tcMar>
            <w:vAlign w:val="center"/>
            <w:hideMark/>
          </w:tcPr>
          <w:p w14:paraId="0D1BE7FF"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029FC9F4"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47133E7A"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4850A7F0"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594775F5"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258514B1"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7D779839" w14:textId="77777777" w:rsidR="003A5C5C" w:rsidRPr="00E52513" w:rsidRDefault="003A5C5C" w:rsidP="003A5C5C">
            <w:pPr>
              <w:spacing w:after="0" w:line="276" w:lineRule="auto"/>
              <w:jc w:val="center"/>
              <w:rPr>
                <w:sz w:val="20"/>
              </w:rPr>
            </w:pPr>
            <w:r w:rsidRPr="00E52513">
              <w:t>–</w:t>
            </w:r>
          </w:p>
        </w:tc>
      </w:tr>
      <w:tr w:rsidR="003A5C5C" w:rsidRPr="00E52513" w14:paraId="260CEBB8" w14:textId="77777777" w:rsidTr="003A5C5C">
        <w:trPr>
          <w:jc w:val="center"/>
        </w:trPr>
        <w:tc>
          <w:tcPr>
            <w:tcW w:w="4565" w:type="dxa"/>
            <w:tcMar>
              <w:top w:w="0" w:type="dxa"/>
              <w:left w:w="108" w:type="dxa"/>
              <w:bottom w:w="0" w:type="dxa"/>
              <w:right w:w="108" w:type="dxa"/>
            </w:tcMar>
            <w:hideMark/>
          </w:tcPr>
          <w:p w14:paraId="5A133C99" w14:textId="77777777" w:rsidR="003A5C5C" w:rsidRPr="00E52513" w:rsidRDefault="003A5C5C" w:rsidP="003A5C5C">
            <w:pPr>
              <w:spacing w:after="0"/>
              <w:rPr>
                <w:sz w:val="20"/>
              </w:rPr>
            </w:pPr>
            <w:r w:rsidRPr="00E52513">
              <w:rPr>
                <w:sz w:val="20"/>
              </w:rPr>
              <w:t>2.2 Is NICRS effective in assessing and responding to need at the family and community level?</w:t>
            </w:r>
          </w:p>
        </w:tc>
        <w:tc>
          <w:tcPr>
            <w:tcW w:w="693" w:type="dxa"/>
            <w:tcMar>
              <w:top w:w="0" w:type="dxa"/>
              <w:left w:w="108" w:type="dxa"/>
              <w:bottom w:w="0" w:type="dxa"/>
              <w:right w:w="108" w:type="dxa"/>
            </w:tcMar>
            <w:vAlign w:val="center"/>
            <w:hideMark/>
          </w:tcPr>
          <w:p w14:paraId="2F08A003"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78EF522D"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1030864E"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309D1EDA" w14:textId="77777777" w:rsidR="003A5C5C" w:rsidRPr="00E52513" w:rsidRDefault="003A5C5C" w:rsidP="003A5C5C">
            <w:pPr>
              <w:spacing w:after="0" w:line="276" w:lineRule="auto"/>
              <w:jc w:val="center"/>
            </w:pPr>
            <w:r w:rsidRPr="00E52513">
              <w:t>–</w:t>
            </w:r>
          </w:p>
        </w:tc>
        <w:tc>
          <w:tcPr>
            <w:tcW w:w="567" w:type="dxa"/>
            <w:vAlign w:val="center"/>
            <w:hideMark/>
          </w:tcPr>
          <w:p w14:paraId="16B553BC"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455A1229"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2B7797F2" w14:textId="77777777" w:rsidR="003A5C5C" w:rsidRPr="00E52513" w:rsidRDefault="003A5C5C" w:rsidP="003A5C5C">
            <w:pPr>
              <w:spacing w:after="0" w:line="276" w:lineRule="auto"/>
              <w:jc w:val="center"/>
              <w:rPr>
                <w:sz w:val="20"/>
              </w:rPr>
            </w:pPr>
            <w:r w:rsidRPr="00E52513">
              <w:t>–</w:t>
            </w:r>
          </w:p>
        </w:tc>
      </w:tr>
      <w:tr w:rsidR="003A5C5C" w:rsidRPr="00E52513" w14:paraId="3F12D215" w14:textId="77777777" w:rsidTr="003A5C5C">
        <w:trPr>
          <w:jc w:val="center"/>
        </w:trPr>
        <w:tc>
          <w:tcPr>
            <w:tcW w:w="4565" w:type="dxa"/>
            <w:tcMar>
              <w:top w:w="0" w:type="dxa"/>
              <w:left w:w="108" w:type="dxa"/>
              <w:bottom w:w="0" w:type="dxa"/>
              <w:right w:w="108" w:type="dxa"/>
            </w:tcMar>
            <w:hideMark/>
          </w:tcPr>
          <w:p w14:paraId="58BBAC49" w14:textId="77777777" w:rsidR="003A5C5C" w:rsidRPr="00E52513" w:rsidRDefault="003A5C5C" w:rsidP="003A5C5C">
            <w:pPr>
              <w:spacing w:after="0"/>
              <w:rPr>
                <w:sz w:val="20"/>
              </w:rPr>
            </w:pPr>
            <w:r w:rsidRPr="00E52513">
              <w:rPr>
                <w:sz w:val="20"/>
              </w:rPr>
              <w:t>2.3 Were families, communities, and services happy with the support they received from NICRS? If ‘yes’, what did they find most effective about the support they received? If ‘no’, what was the main issue?</w:t>
            </w:r>
          </w:p>
        </w:tc>
        <w:tc>
          <w:tcPr>
            <w:tcW w:w="693" w:type="dxa"/>
            <w:tcMar>
              <w:top w:w="0" w:type="dxa"/>
              <w:left w:w="108" w:type="dxa"/>
              <w:bottom w:w="0" w:type="dxa"/>
              <w:right w:w="108" w:type="dxa"/>
            </w:tcMar>
            <w:vAlign w:val="center"/>
            <w:hideMark/>
          </w:tcPr>
          <w:p w14:paraId="32CD606F"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0BF95C18"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784EA90E" w14:textId="77777777" w:rsidR="003A5C5C" w:rsidRPr="00E52513" w:rsidRDefault="003A5C5C" w:rsidP="003A5C5C">
            <w:pPr>
              <w:spacing w:after="0" w:line="276" w:lineRule="auto"/>
              <w:jc w:val="center"/>
            </w:pPr>
            <w:r w:rsidRPr="00E52513">
              <w:t>–</w:t>
            </w:r>
          </w:p>
        </w:tc>
        <w:tc>
          <w:tcPr>
            <w:tcW w:w="578" w:type="dxa"/>
            <w:vAlign w:val="center"/>
            <w:hideMark/>
          </w:tcPr>
          <w:p w14:paraId="7CB881F5" w14:textId="77777777" w:rsidR="003A5C5C" w:rsidRPr="00E52513" w:rsidRDefault="003A5C5C" w:rsidP="003A5C5C">
            <w:pPr>
              <w:spacing w:after="0" w:line="276" w:lineRule="auto"/>
              <w:jc w:val="center"/>
            </w:pPr>
            <w:r w:rsidRPr="00E52513">
              <w:t>–</w:t>
            </w:r>
          </w:p>
        </w:tc>
        <w:tc>
          <w:tcPr>
            <w:tcW w:w="567" w:type="dxa"/>
            <w:vAlign w:val="center"/>
            <w:hideMark/>
          </w:tcPr>
          <w:p w14:paraId="4D5E8838"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3E9C9BB1"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190DBCDB" w14:textId="77777777" w:rsidR="003A5C5C" w:rsidRPr="00E52513" w:rsidRDefault="003A5C5C" w:rsidP="003A5C5C">
            <w:pPr>
              <w:spacing w:after="0" w:line="276" w:lineRule="auto"/>
              <w:jc w:val="center"/>
              <w:rPr>
                <w:sz w:val="20"/>
              </w:rPr>
            </w:pPr>
            <w:r w:rsidRPr="00E52513">
              <w:t>–</w:t>
            </w:r>
          </w:p>
        </w:tc>
      </w:tr>
      <w:tr w:rsidR="003A5C5C" w:rsidRPr="00E52513" w14:paraId="5F93ECB9" w14:textId="77777777" w:rsidTr="003A5C5C">
        <w:trPr>
          <w:jc w:val="center"/>
        </w:trPr>
        <w:tc>
          <w:tcPr>
            <w:tcW w:w="4565" w:type="dxa"/>
            <w:tcMar>
              <w:top w:w="0" w:type="dxa"/>
              <w:left w:w="108" w:type="dxa"/>
              <w:bottom w:w="0" w:type="dxa"/>
              <w:right w:w="108" w:type="dxa"/>
            </w:tcMar>
            <w:hideMark/>
          </w:tcPr>
          <w:p w14:paraId="50125621" w14:textId="77777777" w:rsidR="003A5C5C" w:rsidRPr="00E52513" w:rsidRDefault="003A5C5C" w:rsidP="003A5C5C">
            <w:pPr>
              <w:spacing w:after="0"/>
              <w:rPr>
                <w:sz w:val="20"/>
              </w:rPr>
            </w:pPr>
            <w:r w:rsidRPr="00E52513">
              <w:rPr>
                <w:sz w:val="20"/>
              </w:rPr>
              <w:t>2.4 What elements of NICRS constitute good practice in culturally appropriate service delivery?</w:t>
            </w:r>
          </w:p>
        </w:tc>
        <w:tc>
          <w:tcPr>
            <w:tcW w:w="693" w:type="dxa"/>
            <w:tcMar>
              <w:top w:w="0" w:type="dxa"/>
              <w:left w:w="108" w:type="dxa"/>
              <w:bottom w:w="0" w:type="dxa"/>
              <w:right w:w="108" w:type="dxa"/>
            </w:tcMar>
            <w:vAlign w:val="center"/>
            <w:hideMark/>
          </w:tcPr>
          <w:p w14:paraId="6A7F1C68"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2971BB9E"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0B375D37" w14:textId="77777777" w:rsidR="003A5C5C" w:rsidRPr="00E52513" w:rsidRDefault="003A5C5C" w:rsidP="003A5C5C">
            <w:pPr>
              <w:spacing w:after="0" w:line="276" w:lineRule="auto"/>
              <w:jc w:val="center"/>
            </w:pPr>
            <w:r w:rsidRPr="00E52513">
              <w:t>–</w:t>
            </w:r>
          </w:p>
        </w:tc>
        <w:tc>
          <w:tcPr>
            <w:tcW w:w="578" w:type="dxa"/>
            <w:vAlign w:val="center"/>
            <w:hideMark/>
          </w:tcPr>
          <w:p w14:paraId="65FFBF06" w14:textId="77777777" w:rsidR="003A5C5C" w:rsidRPr="00E52513" w:rsidRDefault="003A5C5C" w:rsidP="003A5C5C">
            <w:pPr>
              <w:spacing w:after="0" w:line="276" w:lineRule="auto"/>
              <w:jc w:val="center"/>
            </w:pPr>
            <w:r w:rsidRPr="00E52513">
              <w:t>–</w:t>
            </w:r>
          </w:p>
        </w:tc>
        <w:tc>
          <w:tcPr>
            <w:tcW w:w="567" w:type="dxa"/>
            <w:vAlign w:val="center"/>
            <w:hideMark/>
          </w:tcPr>
          <w:p w14:paraId="1F50444A"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65588F11"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11756442" w14:textId="77777777" w:rsidR="003A5C5C" w:rsidRPr="00E52513" w:rsidRDefault="003A5C5C" w:rsidP="003A5C5C">
            <w:pPr>
              <w:spacing w:after="0" w:line="276" w:lineRule="auto"/>
              <w:jc w:val="center"/>
              <w:rPr>
                <w:sz w:val="20"/>
              </w:rPr>
            </w:pPr>
            <w:r w:rsidRPr="00E52513">
              <w:t>–</w:t>
            </w:r>
          </w:p>
        </w:tc>
      </w:tr>
      <w:tr w:rsidR="003A5C5C" w:rsidRPr="00E52513" w14:paraId="17B9C067" w14:textId="77777777" w:rsidTr="003A5C5C">
        <w:trPr>
          <w:jc w:val="center"/>
        </w:trPr>
        <w:tc>
          <w:tcPr>
            <w:tcW w:w="4565" w:type="dxa"/>
            <w:tcMar>
              <w:top w:w="0" w:type="dxa"/>
              <w:left w:w="108" w:type="dxa"/>
              <w:bottom w:w="0" w:type="dxa"/>
              <w:right w:w="108" w:type="dxa"/>
            </w:tcMar>
            <w:hideMark/>
          </w:tcPr>
          <w:p w14:paraId="48ED709D" w14:textId="77777777" w:rsidR="003A5C5C" w:rsidRPr="00E52513" w:rsidRDefault="003A5C5C" w:rsidP="003A5C5C">
            <w:pPr>
              <w:spacing w:after="0"/>
              <w:rPr>
                <w:sz w:val="20"/>
              </w:rPr>
            </w:pPr>
            <w:r w:rsidRPr="00E52513">
              <w:rPr>
                <w:sz w:val="20"/>
              </w:rPr>
              <w:t>2.5 What are the barriers and enablers to engaging with families and how does the model of care address these factors? Why do some families seek support but others don’t?</w:t>
            </w:r>
          </w:p>
        </w:tc>
        <w:tc>
          <w:tcPr>
            <w:tcW w:w="693" w:type="dxa"/>
            <w:tcMar>
              <w:top w:w="0" w:type="dxa"/>
              <w:left w:w="108" w:type="dxa"/>
              <w:bottom w:w="0" w:type="dxa"/>
              <w:right w:w="108" w:type="dxa"/>
            </w:tcMar>
            <w:vAlign w:val="center"/>
            <w:hideMark/>
          </w:tcPr>
          <w:p w14:paraId="58061718"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7CB0C84F"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250181AD" w14:textId="77777777" w:rsidR="003A5C5C" w:rsidRPr="00E52513" w:rsidRDefault="003A5C5C" w:rsidP="003A5C5C">
            <w:pPr>
              <w:spacing w:after="0" w:line="276" w:lineRule="auto"/>
              <w:jc w:val="center"/>
            </w:pPr>
            <w:r w:rsidRPr="00E52513">
              <w:t>–</w:t>
            </w:r>
          </w:p>
        </w:tc>
        <w:tc>
          <w:tcPr>
            <w:tcW w:w="578" w:type="dxa"/>
            <w:vAlign w:val="center"/>
            <w:hideMark/>
          </w:tcPr>
          <w:p w14:paraId="45D890CE"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20380934"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20C5C59E"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5E3AFAF0" w14:textId="77777777" w:rsidR="003A5C5C" w:rsidRPr="00E52513" w:rsidRDefault="003A5C5C" w:rsidP="003A5C5C">
            <w:pPr>
              <w:spacing w:after="0" w:line="276" w:lineRule="auto"/>
              <w:jc w:val="center"/>
              <w:rPr>
                <w:sz w:val="20"/>
              </w:rPr>
            </w:pPr>
            <w:r w:rsidRPr="00E52513">
              <w:t>–</w:t>
            </w:r>
          </w:p>
        </w:tc>
      </w:tr>
      <w:tr w:rsidR="003A5C5C" w:rsidRPr="00E52513" w14:paraId="3AAD3175" w14:textId="77777777" w:rsidTr="003A5C5C">
        <w:trPr>
          <w:jc w:val="center"/>
        </w:trPr>
        <w:tc>
          <w:tcPr>
            <w:tcW w:w="4565" w:type="dxa"/>
            <w:tcMar>
              <w:top w:w="0" w:type="dxa"/>
              <w:left w:w="108" w:type="dxa"/>
              <w:bottom w:w="0" w:type="dxa"/>
              <w:right w:w="108" w:type="dxa"/>
            </w:tcMar>
            <w:hideMark/>
          </w:tcPr>
          <w:p w14:paraId="4C16E285" w14:textId="77777777" w:rsidR="003A5C5C" w:rsidRPr="00E52513" w:rsidRDefault="003A5C5C" w:rsidP="003A5C5C">
            <w:pPr>
              <w:spacing w:after="0"/>
              <w:rPr>
                <w:sz w:val="20"/>
              </w:rPr>
            </w:pPr>
            <w:r w:rsidRPr="00E52513">
              <w:rPr>
                <w:sz w:val="20"/>
              </w:rPr>
              <w:t xml:space="preserve">2.6 To what extent are local health, social and emotional wellbeing, and crisis support services aware of the NICRS? How did the program </w:t>
            </w:r>
            <w:r w:rsidRPr="00E52513">
              <w:rPr>
                <w:sz w:val="20"/>
              </w:rPr>
              <w:lastRenderedPageBreak/>
              <w:t>communicate information about itself to local services and was this effective?</w:t>
            </w:r>
          </w:p>
        </w:tc>
        <w:tc>
          <w:tcPr>
            <w:tcW w:w="693" w:type="dxa"/>
            <w:tcMar>
              <w:top w:w="0" w:type="dxa"/>
              <w:left w:w="108" w:type="dxa"/>
              <w:bottom w:w="0" w:type="dxa"/>
              <w:right w:w="108" w:type="dxa"/>
            </w:tcMar>
            <w:vAlign w:val="center"/>
            <w:hideMark/>
          </w:tcPr>
          <w:p w14:paraId="24FCDD83" w14:textId="77777777" w:rsidR="003A5C5C" w:rsidRPr="00E52513" w:rsidRDefault="003A5C5C" w:rsidP="003A5C5C">
            <w:pPr>
              <w:spacing w:after="0" w:line="276" w:lineRule="auto"/>
              <w:jc w:val="center"/>
              <w:rPr>
                <w:rFonts w:ascii="Wingdings" w:hAnsi="Wingdings"/>
              </w:rPr>
            </w:pPr>
            <w:r w:rsidRPr="00E52513">
              <w:lastRenderedPageBreak/>
              <w:t>–</w:t>
            </w:r>
          </w:p>
        </w:tc>
        <w:tc>
          <w:tcPr>
            <w:tcW w:w="692" w:type="dxa"/>
            <w:tcMar>
              <w:top w:w="0" w:type="dxa"/>
              <w:left w:w="108" w:type="dxa"/>
              <w:bottom w:w="0" w:type="dxa"/>
              <w:right w:w="108" w:type="dxa"/>
            </w:tcMar>
            <w:vAlign w:val="center"/>
            <w:hideMark/>
          </w:tcPr>
          <w:p w14:paraId="13CAB239"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6224010F" w14:textId="77777777" w:rsidR="003A5C5C" w:rsidRPr="00E52513" w:rsidRDefault="003A5C5C" w:rsidP="003A5C5C">
            <w:pPr>
              <w:spacing w:after="0" w:line="276" w:lineRule="auto"/>
              <w:jc w:val="center"/>
            </w:pPr>
            <w:r w:rsidRPr="00E52513">
              <w:t>–</w:t>
            </w:r>
          </w:p>
        </w:tc>
        <w:tc>
          <w:tcPr>
            <w:tcW w:w="578" w:type="dxa"/>
            <w:vAlign w:val="center"/>
            <w:hideMark/>
          </w:tcPr>
          <w:p w14:paraId="1A4979D0"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0FD2E07B" w14:textId="77777777" w:rsidR="003A5C5C" w:rsidRPr="00E52513" w:rsidRDefault="003A5C5C" w:rsidP="003A5C5C">
            <w:pPr>
              <w:spacing w:after="0" w:line="276" w:lineRule="auto"/>
              <w:jc w:val="center"/>
            </w:pPr>
            <w:r w:rsidRPr="00E52513">
              <w:t>–</w:t>
            </w:r>
          </w:p>
        </w:tc>
        <w:tc>
          <w:tcPr>
            <w:tcW w:w="937" w:type="dxa"/>
            <w:vAlign w:val="center"/>
            <w:hideMark/>
          </w:tcPr>
          <w:p w14:paraId="27FA7FD7" w14:textId="77777777" w:rsidR="003A5C5C" w:rsidRPr="00E52513" w:rsidRDefault="003A5C5C" w:rsidP="003A5C5C">
            <w:pPr>
              <w:spacing w:after="0" w:line="276" w:lineRule="auto"/>
              <w:jc w:val="center"/>
              <w:rPr>
                <w:sz w:val="20"/>
              </w:rPr>
            </w:pPr>
            <w:r w:rsidRPr="00E52513">
              <w:t>–</w:t>
            </w:r>
          </w:p>
        </w:tc>
        <w:tc>
          <w:tcPr>
            <w:tcW w:w="710" w:type="dxa"/>
            <w:vAlign w:val="center"/>
            <w:hideMark/>
          </w:tcPr>
          <w:p w14:paraId="50071493" w14:textId="77777777" w:rsidR="003A5C5C" w:rsidRPr="00E52513" w:rsidRDefault="003A5C5C" w:rsidP="003A5C5C">
            <w:pPr>
              <w:spacing w:after="0" w:line="276" w:lineRule="auto"/>
              <w:jc w:val="center"/>
              <w:rPr>
                <w:sz w:val="20"/>
              </w:rPr>
            </w:pPr>
            <w:r w:rsidRPr="00E52513">
              <w:rPr>
                <w:rFonts w:ascii="Wingdings" w:hAnsi="Wingdings"/>
              </w:rPr>
              <w:t></w:t>
            </w:r>
          </w:p>
        </w:tc>
      </w:tr>
      <w:tr w:rsidR="003A5C5C" w:rsidRPr="00E52513" w14:paraId="734652E0" w14:textId="77777777" w:rsidTr="003A5C5C">
        <w:trPr>
          <w:jc w:val="center"/>
        </w:trPr>
        <w:tc>
          <w:tcPr>
            <w:tcW w:w="4565" w:type="dxa"/>
            <w:tcMar>
              <w:top w:w="0" w:type="dxa"/>
              <w:left w:w="108" w:type="dxa"/>
              <w:bottom w:w="0" w:type="dxa"/>
              <w:right w:w="108" w:type="dxa"/>
            </w:tcMar>
            <w:hideMark/>
          </w:tcPr>
          <w:p w14:paraId="214F181E" w14:textId="77777777" w:rsidR="003A5C5C" w:rsidRPr="00E52513" w:rsidRDefault="003A5C5C" w:rsidP="003A5C5C">
            <w:pPr>
              <w:spacing w:after="0"/>
              <w:rPr>
                <w:sz w:val="20"/>
              </w:rPr>
            </w:pPr>
            <w:r w:rsidRPr="00E52513">
              <w:rPr>
                <w:sz w:val="20"/>
              </w:rPr>
              <w:t>2.7 Is NICRS working appropriately with Aboriginal and Torres Strait Islander services and mainstream services in local communities? If ‘yes’, how? If not, why?</w:t>
            </w:r>
          </w:p>
        </w:tc>
        <w:tc>
          <w:tcPr>
            <w:tcW w:w="693" w:type="dxa"/>
            <w:tcMar>
              <w:top w:w="0" w:type="dxa"/>
              <w:left w:w="108" w:type="dxa"/>
              <w:bottom w:w="0" w:type="dxa"/>
              <w:right w:w="108" w:type="dxa"/>
            </w:tcMar>
            <w:vAlign w:val="center"/>
            <w:hideMark/>
          </w:tcPr>
          <w:p w14:paraId="725CFCBB"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745876DC"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00D4C98A" w14:textId="77777777" w:rsidR="003A5C5C" w:rsidRPr="00E52513" w:rsidRDefault="003A5C5C" w:rsidP="003A5C5C">
            <w:pPr>
              <w:spacing w:after="0" w:line="276" w:lineRule="auto"/>
              <w:jc w:val="center"/>
            </w:pPr>
            <w:r w:rsidRPr="00E52513">
              <w:t>–</w:t>
            </w:r>
          </w:p>
        </w:tc>
        <w:tc>
          <w:tcPr>
            <w:tcW w:w="578" w:type="dxa"/>
            <w:vAlign w:val="center"/>
            <w:hideMark/>
          </w:tcPr>
          <w:p w14:paraId="7E447118"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22B3AE3E" w14:textId="77777777" w:rsidR="003A5C5C" w:rsidRPr="00E52513" w:rsidRDefault="003A5C5C" w:rsidP="003A5C5C">
            <w:pPr>
              <w:spacing w:after="0" w:line="276" w:lineRule="auto"/>
              <w:jc w:val="center"/>
            </w:pPr>
            <w:r w:rsidRPr="00E52513">
              <w:t>–</w:t>
            </w:r>
          </w:p>
        </w:tc>
        <w:tc>
          <w:tcPr>
            <w:tcW w:w="937" w:type="dxa"/>
            <w:vAlign w:val="center"/>
            <w:hideMark/>
          </w:tcPr>
          <w:p w14:paraId="62303D97"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6FB7A51E" w14:textId="77777777" w:rsidR="003A5C5C" w:rsidRPr="00E52513" w:rsidRDefault="003A5C5C" w:rsidP="003A5C5C">
            <w:pPr>
              <w:spacing w:after="0" w:line="276" w:lineRule="auto"/>
              <w:jc w:val="center"/>
              <w:rPr>
                <w:sz w:val="20"/>
              </w:rPr>
            </w:pPr>
            <w:r w:rsidRPr="00E52513">
              <w:rPr>
                <w:rFonts w:ascii="Wingdings" w:hAnsi="Wingdings"/>
              </w:rPr>
              <w:t></w:t>
            </w:r>
          </w:p>
        </w:tc>
      </w:tr>
      <w:tr w:rsidR="003A5C5C" w:rsidRPr="00E52513" w14:paraId="7EBE95BD" w14:textId="77777777" w:rsidTr="003A5C5C">
        <w:trPr>
          <w:jc w:val="center"/>
        </w:trPr>
        <w:tc>
          <w:tcPr>
            <w:tcW w:w="4565" w:type="dxa"/>
            <w:tcMar>
              <w:top w:w="0" w:type="dxa"/>
              <w:left w:w="108" w:type="dxa"/>
              <w:bottom w:w="0" w:type="dxa"/>
              <w:right w:w="108" w:type="dxa"/>
            </w:tcMar>
            <w:hideMark/>
          </w:tcPr>
          <w:p w14:paraId="6BE659A0" w14:textId="77777777" w:rsidR="003A5C5C" w:rsidRPr="00E52513" w:rsidRDefault="003A5C5C" w:rsidP="003A5C5C">
            <w:pPr>
              <w:spacing w:after="0"/>
              <w:rPr>
                <w:sz w:val="20"/>
              </w:rPr>
            </w:pPr>
            <w:r w:rsidRPr="00E52513">
              <w:rPr>
                <w:sz w:val="20"/>
              </w:rPr>
              <w:t>2.8 Do families and communities feel well supported by an appropriate ‘network’ in dealing with ongoing post incident issues?</w:t>
            </w:r>
          </w:p>
        </w:tc>
        <w:tc>
          <w:tcPr>
            <w:tcW w:w="693" w:type="dxa"/>
            <w:tcMar>
              <w:top w:w="0" w:type="dxa"/>
              <w:left w:w="108" w:type="dxa"/>
              <w:bottom w:w="0" w:type="dxa"/>
              <w:right w:w="108" w:type="dxa"/>
            </w:tcMar>
            <w:vAlign w:val="center"/>
            <w:hideMark/>
          </w:tcPr>
          <w:p w14:paraId="7F0951DF"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2396D6DE"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6CBDCA0D" w14:textId="77777777" w:rsidR="003A5C5C" w:rsidRPr="00E52513" w:rsidRDefault="003A5C5C" w:rsidP="003A5C5C">
            <w:pPr>
              <w:spacing w:after="0" w:line="276" w:lineRule="auto"/>
              <w:jc w:val="center"/>
            </w:pPr>
            <w:r w:rsidRPr="00E52513">
              <w:t>–</w:t>
            </w:r>
          </w:p>
        </w:tc>
        <w:tc>
          <w:tcPr>
            <w:tcW w:w="578" w:type="dxa"/>
            <w:vAlign w:val="center"/>
            <w:hideMark/>
          </w:tcPr>
          <w:p w14:paraId="47FD58E5" w14:textId="77777777" w:rsidR="003A5C5C" w:rsidRPr="00E52513" w:rsidRDefault="003A5C5C" w:rsidP="003A5C5C">
            <w:pPr>
              <w:spacing w:after="0" w:line="276" w:lineRule="auto"/>
              <w:jc w:val="center"/>
            </w:pPr>
            <w:r w:rsidRPr="00E52513">
              <w:t>–</w:t>
            </w:r>
          </w:p>
        </w:tc>
        <w:tc>
          <w:tcPr>
            <w:tcW w:w="567" w:type="dxa"/>
            <w:vAlign w:val="center"/>
            <w:hideMark/>
          </w:tcPr>
          <w:p w14:paraId="5D4832EA"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35D62029"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729CA6F9" w14:textId="77777777" w:rsidR="003A5C5C" w:rsidRPr="00E52513" w:rsidRDefault="003A5C5C" w:rsidP="003A5C5C">
            <w:pPr>
              <w:spacing w:after="0" w:line="276" w:lineRule="auto"/>
              <w:jc w:val="center"/>
              <w:rPr>
                <w:sz w:val="20"/>
              </w:rPr>
            </w:pPr>
            <w:r w:rsidRPr="00E52513">
              <w:t>–</w:t>
            </w:r>
          </w:p>
        </w:tc>
      </w:tr>
      <w:tr w:rsidR="003A5C5C" w:rsidRPr="00E52513" w14:paraId="13C7C89C" w14:textId="77777777" w:rsidTr="003A5C5C">
        <w:trPr>
          <w:jc w:val="center"/>
        </w:trPr>
        <w:tc>
          <w:tcPr>
            <w:tcW w:w="4565" w:type="dxa"/>
            <w:tcMar>
              <w:top w:w="0" w:type="dxa"/>
              <w:left w:w="108" w:type="dxa"/>
              <w:bottom w:w="0" w:type="dxa"/>
              <w:right w:w="108" w:type="dxa"/>
            </w:tcMar>
            <w:hideMark/>
          </w:tcPr>
          <w:p w14:paraId="70837A74" w14:textId="77777777" w:rsidR="003A5C5C" w:rsidRPr="00E52513" w:rsidRDefault="003A5C5C" w:rsidP="003A5C5C">
            <w:pPr>
              <w:spacing w:after="0"/>
              <w:rPr>
                <w:sz w:val="20"/>
              </w:rPr>
            </w:pPr>
            <w:r w:rsidRPr="00E52513">
              <w:rPr>
                <w:sz w:val="20"/>
              </w:rPr>
              <w:t>2.9 Have there been instances where the NICRS has not had the capacity to adequately respond to the needs of communities?</w:t>
            </w:r>
          </w:p>
        </w:tc>
        <w:tc>
          <w:tcPr>
            <w:tcW w:w="693" w:type="dxa"/>
            <w:tcMar>
              <w:top w:w="0" w:type="dxa"/>
              <w:left w:w="108" w:type="dxa"/>
              <w:bottom w:w="0" w:type="dxa"/>
              <w:right w:w="108" w:type="dxa"/>
            </w:tcMar>
            <w:vAlign w:val="center"/>
            <w:hideMark/>
          </w:tcPr>
          <w:p w14:paraId="7EFDABA6"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64AEF4B7"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26EF0299"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3A43738F"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48B515D5" w14:textId="77777777" w:rsidR="003A5C5C" w:rsidRPr="00E52513" w:rsidRDefault="003A5C5C" w:rsidP="003A5C5C">
            <w:pPr>
              <w:spacing w:after="0" w:line="276" w:lineRule="auto"/>
              <w:jc w:val="center"/>
            </w:pPr>
            <w:r w:rsidRPr="00E52513">
              <w:rPr>
                <w:rFonts w:ascii="Wingdings" w:hAnsi="Wingdings"/>
              </w:rPr>
              <w:t></w:t>
            </w:r>
          </w:p>
        </w:tc>
        <w:tc>
          <w:tcPr>
            <w:tcW w:w="937" w:type="dxa"/>
            <w:vAlign w:val="center"/>
            <w:hideMark/>
          </w:tcPr>
          <w:p w14:paraId="661360E5" w14:textId="77777777" w:rsidR="003A5C5C" w:rsidRPr="00E52513" w:rsidRDefault="003A5C5C" w:rsidP="003A5C5C">
            <w:pPr>
              <w:spacing w:after="0" w:line="276" w:lineRule="auto"/>
              <w:jc w:val="center"/>
              <w:rPr>
                <w:sz w:val="20"/>
              </w:rPr>
            </w:pPr>
            <w:r w:rsidRPr="00E52513">
              <w:t>–</w:t>
            </w:r>
          </w:p>
        </w:tc>
        <w:tc>
          <w:tcPr>
            <w:tcW w:w="710" w:type="dxa"/>
            <w:vAlign w:val="center"/>
            <w:hideMark/>
          </w:tcPr>
          <w:p w14:paraId="10792D33" w14:textId="77777777" w:rsidR="003A5C5C" w:rsidRPr="00E52513" w:rsidRDefault="003A5C5C" w:rsidP="003A5C5C">
            <w:pPr>
              <w:spacing w:after="0" w:line="276" w:lineRule="auto"/>
              <w:jc w:val="center"/>
              <w:rPr>
                <w:sz w:val="20"/>
              </w:rPr>
            </w:pPr>
            <w:r w:rsidRPr="00E52513">
              <w:rPr>
                <w:rFonts w:ascii="Wingdings" w:hAnsi="Wingdings"/>
              </w:rPr>
              <w:t></w:t>
            </w:r>
          </w:p>
        </w:tc>
      </w:tr>
      <w:tr w:rsidR="003A5C5C" w:rsidRPr="00E52513" w14:paraId="0D8AAE04" w14:textId="77777777" w:rsidTr="003A5C5C">
        <w:trPr>
          <w:jc w:val="center"/>
        </w:trPr>
        <w:tc>
          <w:tcPr>
            <w:tcW w:w="4565" w:type="dxa"/>
            <w:tcMar>
              <w:top w:w="0" w:type="dxa"/>
              <w:left w:w="108" w:type="dxa"/>
              <w:bottom w:w="0" w:type="dxa"/>
              <w:right w:w="108" w:type="dxa"/>
            </w:tcMar>
            <w:hideMark/>
          </w:tcPr>
          <w:p w14:paraId="7267BC4B" w14:textId="77777777" w:rsidR="003A5C5C" w:rsidRPr="00E52513" w:rsidRDefault="003A5C5C" w:rsidP="003A5C5C">
            <w:pPr>
              <w:spacing w:after="0"/>
              <w:rPr>
                <w:sz w:val="20"/>
              </w:rPr>
            </w:pPr>
            <w:r w:rsidRPr="00E52513">
              <w:rPr>
                <w:sz w:val="20"/>
              </w:rPr>
              <w:t>2.10 What are the barriers and enablers to delivering coordinated care with other service providers?</w:t>
            </w:r>
          </w:p>
        </w:tc>
        <w:tc>
          <w:tcPr>
            <w:tcW w:w="693" w:type="dxa"/>
            <w:tcMar>
              <w:top w:w="0" w:type="dxa"/>
              <w:left w:w="108" w:type="dxa"/>
              <w:bottom w:w="0" w:type="dxa"/>
              <w:right w:w="108" w:type="dxa"/>
            </w:tcMar>
            <w:vAlign w:val="center"/>
            <w:hideMark/>
          </w:tcPr>
          <w:p w14:paraId="10AF8F39"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3A16287E"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7F1C38BF" w14:textId="77777777" w:rsidR="003A5C5C" w:rsidRPr="00E52513" w:rsidRDefault="003A5C5C" w:rsidP="003A5C5C">
            <w:pPr>
              <w:spacing w:after="0" w:line="276" w:lineRule="auto"/>
              <w:jc w:val="center"/>
            </w:pPr>
            <w:r w:rsidRPr="00E52513">
              <w:t>–</w:t>
            </w:r>
          </w:p>
        </w:tc>
        <w:tc>
          <w:tcPr>
            <w:tcW w:w="578" w:type="dxa"/>
            <w:vAlign w:val="center"/>
            <w:hideMark/>
          </w:tcPr>
          <w:p w14:paraId="78B9E275"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0E319213" w14:textId="77777777" w:rsidR="003A5C5C" w:rsidRPr="00E52513" w:rsidRDefault="003A5C5C" w:rsidP="003A5C5C">
            <w:pPr>
              <w:spacing w:after="0" w:line="276" w:lineRule="auto"/>
              <w:jc w:val="center"/>
            </w:pPr>
            <w:r w:rsidRPr="00E52513">
              <w:t>–</w:t>
            </w:r>
          </w:p>
        </w:tc>
        <w:tc>
          <w:tcPr>
            <w:tcW w:w="937" w:type="dxa"/>
            <w:vAlign w:val="center"/>
            <w:hideMark/>
          </w:tcPr>
          <w:p w14:paraId="1EBDA837" w14:textId="77777777" w:rsidR="003A5C5C" w:rsidRPr="00E52513" w:rsidRDefault="003A5C5C" w:rsidP="003A5C5C">
            <w:pPr>
              <w:spacing w:after="0" w:line="276" w:lineRule="auto"/>
              <w:jc w:val="center"/>
              <w:rPr>
                <w:sz w:val="20"/>
              </w:rPr>
            </w:pPr>
            <w:r w:rsidRPr="00E52513">
              <w:t>–</w:t>
            </w:r>
          </w:p>
        </w:tc>
        <w:tc>
          <w:tcPr>
            <w:tcW w:w="710" w:type="dxa"/>
            <w:vAlign w:val="center"/>
            <w:hideMark/>
          </w:tcPr>
          <w:p w14:paraId="6CEAFA21" w14:textId="77777777" w:rsidR="003A5C5C" w:rsidRPr="00E52513" w:rsidRDefault="003A5C5C" w:rsidP="003A5C5C">
            <w:pPr>
              <w:spacing w:after="0" w:line="276" w:lineRule="auto"/>
              <w:jc w:val="center"/>
              <w:rPr>
                <w:sz w:val="20"/>
              </w:rPr>
            </w:pPr>
            <w:r w:rsidRPr="00E52513">
              <w:t>–</w:t>
            </w:r>
          </w:p>
        </w:tc>
      </w:tr>
      <w:tr w:rsidR="003A5C5C" w:rsidRPr="00E52513" w14:paraId="4D70B1AD" w14:textId="77777777" w:rsidTr="003A5C5C">
        <w:trPr>
          <w:jc w:val="center"/>
        </w:trPr>
        <w:tc>
          <w:tcPr>
            <w:tcW w:w="4565" w:type="dxa"/>
            <w:shd w:val="clear" w:color="auto" w:fill="FBD4B4" w:themeFill="accent6" w:themeFillTint="66"/>
            <w:tcMar>
              <w:top w:w="0" w:type="dxa"/>
              <w:left w:w="108" w:type="dxa"/>
              <w:bottom w:w="0" w:type="dxa"/>
              <w:right w:w="108" w:type="dxa"/>
            </w:tcMar>
            <w:hideMark/>
          </w:tcPr>
          <w:p w14:paraId="1C4283D5" w14:textId="77777777" w:rsidR="003A5C5C" w:rsidRPr="00E52513" w:rsidRDefault="003A5C5C" w:rsidP="003A5C5C">
            <w:pPr>
              <w:spacing w:after="0"/>
              <w:rPr>
                <w:b/>
                <w:sz w:val="20"/>
              </w:rPr>
            </w:pPr>
            <w:r w:rsidRPr="00E52513">
              <w:rPr>
                <w:b/>
                <w:sz w:val="20"/>
              </w:rPr>
              <w:t>3. EFFICIENCY – Are resources being used efficiently?</w:t>
            </w:r>
          </w:p>
        </w:tc>
        <w:tc>
          <w:tcPr>
            <w:tcW w:w="693" w:type="dxa"/>
            <w:shd w:val="clear" w:color="auto" w:fill="FBD4B4" w:themeFill="accent6" w:themeFillTint="66"/>
            <w:tcMar>
              <w:top w:w="0" w:type="dxa"/>
              <w:left w:w="108" w:type="dxa"/>
              <w:bottom w:w="0" w:type="dxa"/>
              <w:right w:w="108" w:type="dxa"/>
            </w:tcMar>
            <w:vAlign w:val="center"/>
          </w:tcPr>
          <w:p w14:paraId="3EC83495" w14:textId="77777777" w:rsidR="003A5C5C" w:rsidRPr="00E52513" w:rsidRDefault="003A5C5C" w:rsidP="003A5C5C">
            <w:pPr>
              <w:keepNext/>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2196066E" w14:textId="77777777" w:rsidR="003A5C5C" w:rsidRPr="00E52513" w:rsidRDefault="003A5C5C" w:rsidP="003A5C5C">
            <w:pPr>
              <w:keepNext/>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13817CAF" w14:textId="77777777" w:rsidR="003A5C5C" w:rsidRPr="00E52513" w:rsidRDefault="003A5C5C" w:rsidP="003A5C5C">
            <w:pPr>
              <w:keepNext/>
              <w:spacing w:after="0" w:line="276" w:lineRule="auto"/>
              <w:jc w:val="center"/>
            </w:pPr>
          </w:p>
        </w:tc>
        <w:tc>
          <w:tcPr>
            <w:tcW w:w="578" w:type="dxa"/>
            <w:shd w:val="clear" w:color="auto" w:fill="FBD4B4" w:themeFill="accent6" w:themeFillTint="66"/>
            <w:vAlign w:val="center"/>
          </w:tcPr>
          <w:p w14:paraId="69990D6E" w14:textId="77777777" w:rsidR="003A5C5C" w:rsidRPr="00E52513" w:rsidRDefault="003A5C5C" w:rsidP="003A5C5C">
            <w:pPr>
              <w:keepNext/>
              <w:spacing w:after="0" w:line="276" w:lineRule="auto"/>
              <w:jc w:val="center"/>
            </w:pPr>
          </w:p>
        </w:tc>
        <w:tc>
          <w:tcPr>
            <w:tcW w:w="567" w:type="dxa"/>
            <w:shd w:val="clear" w:color="auto" w:fill="FBD4B4" w:themeFill="accent6" w:themeFillTint="66"/>
            <w:vAlign w:val="center"/>
          </w:tcPr>
          <w:p w14:paraId="2FA51638" w14:textId="77777777" w:rsidR="003A5C5C" w:rsidRPr="00E52513" w:rsidRDefault="003A5C5C" w:rsidP="003A5C5C">
            <w:pPr>
              <w:keepNext/>
              <w:spacing w:after="0" w:line="276" w:lineRule="auto"/>
              <w:jc w:val="center"/>
            </w:pPr>
          </w:p>
        </w:tc>
        <w:tc>
          <w:tcPr>
            <w:tcW w:w="937" w:type="dxa"/>
            <w:shd w:val="clear" w:color="auto" w:fill="FBD4B4" w:themeFill="accent6" w:themeFillTint="66"/>
            <w:vAlign w:val="center"/>
          </w:tcPr>
          <w:p w14:paraId="6B523357" w14:textId="77777777" w:rsidR="003A5C5C" w:rsidRPr="00E52513" w:rsidRDefault="003A5C5C" w:rsidP="003A5C5C">
            <w:pPr>
              <w:keepNext/>
              <w:spacing w:after="0" w:line="276" w:lineRule="auto"/>
              <w:jc w:val="center"/>
              <w:rPr>
                <w:sz w:val="20"/>
              </w:rPr>
            </w:pPr>
          </w:p>
        </w:tc>
        <w:tc>
          <w:tcPr>
            <w:tcW w:w="710" w:type="dxa"/>
            <w:shd w:val="clear" w:color="auto" w:fill="FBD4B4" w:themeFill="accent6" w:themeFillTint="66"/>
            <w:vAlign w:val="center"/>
          </w:tcPr>
          <w:p w14:paraId="4B887802" w14:textId="77777777" w:rsidR="003A5C5C" w:rsidRPr="00E52513" w:rsidRDefault="003A5C5C" w:rsidP="003A5C5C">
            <w:pPr>
              <w:keepNext/>
              <w:spacing w:after="0" w:line="276" w:lineRule="auto"/>
              <w:jc w:val="center"/>
              <w:rPr>
                <w:sz w:val="20"/>
              </w:rPr>
            </w:pPr>
          </w:p>
        </w:tc>
      </w:tr>
      <w:tr w:rsidR="003A5C5C" w:rsidRPr="00E52513" w14:paraId="2A4691F5" w14:textId="77777777" w:rsidTr="003A5C5C">
        <w:trPr>
          <w:jc w:val="center"/>
        </w:trPr>
        <w:tc>
          <w:tcPr>
            <w:tcW w:w="4565" w:type="dxa"/>
            <w:tcMar>
              <w:top w:w="0" w:type="dxa"/>
              <w:left w:w="108" w:type="dxa"/>
              <w:bottom w:w="0" w:type="dxa"/>
              <w:right w:w="108" w:type="dxa"/>
            </w:tcMar>
            <w:hideMark/>
          </w:tcPr>
          <w:p w14:paraId="775D2897" w14:textId="77777777" w:rsidR="003A5C5C" w:rsidRPr="00E52513" w:rsidRDefault="003A5C5C" w:rsidP="003A5C5C">
            <w:pPr>
              <w:spacing w:after="0"/>
              <w:rPr>
                <w:sz w:val="20"/>
              </w:rPr>
            </w:pPr>
            <w:r w:rsidRPr="00E52513">
              <w:rPr>
                <w:sz w:val="20"/>
              </w:rPr>
              <w:t>3.1 Does the NICRS duplicate other services in communities where it has worked?</w:t>
            </w:r>
          </w:p>
        </w:tc>
        <w:tc>
          <w:tcPr>
            <w:tcW w:w="693" w:type="dxa"/>
            <w:tcMar>
              <w:top w:w="0" w:type="dxa"/>
              <w:left w:w="108" w:type="dxa"/>
              <w:bottom w:w="0" w:type="dxa"/>
              <w:right w:w="108" w:type="dxa"/>
            </w:tcMar>
            <w:vAlign w:val="center"/>
            <w:hideMark/>
          </w:tcPr>
          <w:p w14:paraId="4BEB1487"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147F59A2"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749E667A"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7BCE5339"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355BAA1E"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189A16D8" w14:textId="77777777" w:rsidR="003A5C5C" w:rsidRPr="00E52513" w:rsidRDefault="003A5C5C" w:rsidP="003A5C5C">
            <w:pPr>
              <w:spacing w:after="0" w:line="276" w:lineRule="auto"/>
              <w:jc w:val="center"/>
              <w:rPr>
                <w:rFonts w:ascii="Wingdings" w:hAnsi="Wingdings"/>
                <w:sz w:val="20"/>
              </w:rPr>
            </w:pPr>
            <w:r w:rsidRPr="00E52513">
              <w:t>–</w:t>
            </w:r>
          </w:p>
        </w:tc>
        <w:tc>
          <w:tcPr>
            <w:tcW w:w="710" w:type="dxa"/>
            <w:vAlign w:val="center"/>
            <w:hideMark/>
          </w:tcPr>
          <w:p w14:paraId="6A6B1D0E"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5F8E2352" w14:textId="77777777" w:rsidTr="003A5C5C">
        <w:trPr>
          <w:jc w:val="center"/>
        </w:trPr>
        <w:tc>
          <w:tcPr>
            <w:tcW w:w="4565" w:type="dxa"/>
            <w:tcMar>
              <w:top w:w="0" w:type="dxa"/>
              <w:left w:w="108" w:type="dxa"/>
              <w:bottom w:w="0" w:type="dxa"/>
              <w:right w:w="108" w:type="dxa"/>
            </w:tcMar>
            <w:hideMark/>
          </w:tcPr>
          <w:p w14:paraId="705A1EBF" w14:textId="77777777" w:rsidR="003A5C5C" w:rsidRPr="00E52513" w:rsidRDefault="003A5C5C" w:rsidP="003A5C5C">
            <w:pPr>
              <w:spacing w:after="0"/>
              <w:rPr>
                <w:sz w:val="20"/>
              </w:rPr>
            </w:pPr>
            <w:r w:rsidRPr="00E52513">
              <w:rPr>
                <w:sz w:val="20"/>
              </w:rPr>
              <w:t>3.2 How does the NICRS add value to or leverage off existing services?</w:t>
            </w:r>
          </w:p>
        </w:tc>
        <w:tc>
          <w:tcPr>
            <w:tcW w:w="693" w:type="dxa"/>
            <w:tcMar>
              <w:top w:w="0" w:type="dxa"/>
              <w:left w:w="108" w:type="dxa"/>
              <w:bottom w:w="0" w:type="dxa"/>
              <w:right w:w="108" w:type="dxa"/>
            </w:tcMar>
            <w:vAlign w:val="center"/>
            <w:hideMark/>
          </w:tcPr>
          <w:p w14:paraId="4C5A6ECF"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4459EAEB"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48960C8B" w14:textId="77777777" w:rsidR="003A5C5C" w:rsidRPr="00E52513" w:rsidRDefault="003A5C5C" w:rsidP="003A5C5C">
            <w:pPr>
              <w:spacing w:after="0" w:line="276" w:lineRule="auto"/>
              <w:jc w:val="center"/>
              <w:rPr>
                <w:rFonts w:ascii="Wingdings" w:hAnsi="Wingdings"/>
              </w:rPr>
            </w:pPr>
            <w:r w:rsidRPr="00E52513">
              <w:t>–</w:t>
            </w:r>
          </w:p>
        </w:tc>
        <w:tc>
          <w:tcPr>
            <w:tcW w:w="578" w:type="dxa"/>
            <w:vAlign w:val="center"/>
            <w:hideMark/>
          </w:tcPr>
          <w:p w14:paraId="3F6BFBCD"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2CA7B001" w14:textId="77777777" w:rsidR="003A5C5C" w:rsidRPr="00E52513" w:rsidRDefault="003A5C5C" w:rsidP="003A5C5C">
            <w:pPr>
              <w:spacing w:after="0" w:line="276" w:lineRule="auto"/>
              <w:jc w:val="center"/>
              <w:rPr>
                <w:rFonts w:ascii="Wingdings" w:hAnsi="Wingdings"/>
              </w:rPr>
            </w:pPr>
            <w:r w:rsidRPr="00E52513">
              <w:t>–</w:t>
            </w:r>
          </w:p>
        </w:tc>
        <w:tc>
          <w:tcPr>
            <w:tcW w:w="937" w:type="dxa"/>
            <w:vAlign w:val="center"/>
            <w:hideMark/>
          </w:tcPr>
          <w:p w14:paraId="3817E99C" w14:textId="77777777" w:rsidR="003A5C5C" w:rsidRPr="00E52513" w:rsidRDefault="003A5C5C" w:rsidP="003A5C5C">
            <w:pPr>
              <w:spacing w:after="0" w:line="276" w:lineRule="auto"/>
              <w:jc w:val="center"/>
              <w:rPr>
                <w:rFonts w:ascii="Wingdings" w:hAnsi="Wingdings"/>
                <w:sz w:val="20"/>
              </w:rPr>
            </w:pPr>
            <w:r w:rsidRPr="00E52513">
              <w:t>–</w:t>
            </w:r>
          </w:p>
        </w:tc>
        <w:tc>
          <w:tcPr>
            <w:tcW w:w="710" w:type="dxa"/>
            <w:vAlign w:val="center"/>
            <w:hideMark/>
          </w:tcPr>
          <w:p w14:paraId="0869D7F2"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2DD3F31A" w14:textId="77777777" w:rsidTr="003A5C5C">
        <w:trPr>
          <w:jc w:val="center"/>
        </w:trPr>
        <w:tc>
          <w:tcPr>
            <w:tcW w:w="4565" w:type="dxa"/>
            <w:tcMar>
              <w:top w:w="0" w:type="dxa"/>
              <w:left w:w="108" w:type="dxa"/>
              <w:bottom w:w="0" w:type="dxa"/>
              <w:right w:w="108" w:type="dxa"/>
            </w:tcMar>
            <w:hideMark/>
          </w:tcPr>
          <w:p w14:paraId="6AEDFAC5" w14:textId="77777777" w:rsidR="003A5C5C" w:rsidRPr="00E52513" w:rsidRDefault="003A5C5C" w:rsidP="003A5C5C">
            <w:pPr>
              <w:spacing w:after="0"/>
              <w:rPr>
                <w:sz w:val="20"/>
              </w:rPr>
            </w:pPr>
            <w:r w:rsidRPr="00E52513">
              <w:rPr>
                <w:sz w:val="20"/>
              </w:rPr>
              <w:t xml:space="preserve">3.3 Does the NICRS fill a gap in services for communities? </w:t>
            </w:r>
          </w:p>
        </w:tc>
        <w:tc>
          <w:tcPr>
            <w:tcW w:w="693" w:type="dxa"/>
            <w:tcMar>
              <w:top w:w="0" w:type="dxa"/>
              <w:left w:w="108" w:type="dxa"/>
              <w:bottom w:w="0" w:type="dxa"/>
              <w:right w:w="108" w:type="dxa"/>
            </w:tcMar>
            <w:vAlign w:val="center"/>
            <w:hideMark/>
          </w:tcPr>
          <w:p w14:paraId="46BA4CAE"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741C8573"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05388F9B"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78" w:type="dxa"/>
            <w:vAlign w:val="center"/>
            <w:hideMark/>
          </w:tcPr>
          <w:p w14:paraId="65E9E654"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5936071F"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08BC0B9A" w14:textId="77777777" w:rsidR="003A5C5C" w:rsidRPr="00E52513" w:rsidRDefault="003A5C5C" w:rsidP="003A5C5C">
            <w:pPr>
              <w:spacing w:after="0" w:line="276" w:lineRule="auto"/>
              <w:jc w:val="center"/>
              <w:rPr>
                <w:rFonts w:ascii="Wingdings" w:hAnsi="Wingdings"/>
                <w:sz w:val="20"/>
              </w:rPr>
            </w:pPr>
            <w:r w:rsidRPr="00E52513">
              <w:t>–</w:t>
            </w:r>
          </w:p>
        </w:tc>
        <w:tc>
          <w:tcPr>
            <w:tcW w:w="710" w:type="dxa"/>
            <w:vAlign w:val="center"/>
            <w:hideMark/>
          </w:tcPr>
          <w:p w14:paraId="3115D688"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1A29F175" w14:textId="77777777" w:rsidTr="003A5C5C">
        <w:trPr>
          <w:jc w:val="center"/>
        </w:trPr>
        <w:tc>
          <w:tcPr>
            <w:tcW w:w="4565" w:type="dxa"/>
            <w:shd w:val="clear" w:color="auto" w:fill="FBD4B4" w:themeFill="accent6" w:themeFillTint="66"/>
            <w:tcMar>
              <w:top w:w="0" w:type="dxa"/>
              <w:left w:w="108" w:type="dxa"/>
              <w:bottom w:w="0" w:type="dxa"/>
              <w:right w:w="108" w:type="dxa"/>
            </w:tcMar>
            <w:hideMark/>
          </w:tcPr>
          <w:p w14:paraId="3722022A" w14:textId="77777777" w:rsidR="003A5C5C" w:rsidRPr="00E52513" w:rsidRDefault="003A5C5C" w:rsidP="003A5C5C">
            <w:pPr>
              <w:spacing w:after="0"/>
              <w:rPr>
                <w:b/>
                <w:sz w:val="20"/>
              </w:rPr>
            </w:pPr>
            <w:r w:rsidRPr="00E52513">
              <w:rPr>
                <w:b/>
                <w:sz w:val="20"/>
              </w:rPr>
              <w:t>4. IMPACT – What difference did the service make? Can the effects be attributed to the service or would they have occurred anyway?</w:t>
            </w:r>
          </w:p>
        </w:tc>
        <w:tc>
          <w:tcPr>
            <w:tcW w:w="693" w:type="dxa"/>
            <w:shd w:val="clear" w:color="auto" w:fill="FBD4B4" w:themeFill="accent6" w:themeFillTint="66"/>
            <w:tcMar>
              <w:top w:w="0" w:type="dxa"/>
              <w:left w:w="108" w:type="dxa"/>
              <w:bottom w:w="0" w:type="dxa"/>
              <w:right w:w="108" w:type="dxa"/>
            </w:tcMar>
            <w:vAlign w:val="center"/>
          </w:tcPr>
          <w:p w14:paraId="2EB9D74E" w14:textId="77777777" w:rsidR="003A5C5C" w:rsidRPr="00E52513" w:rsidRDefault="003A5C5C" w:rsidP="003A5C5C">
            <w:pPr>
              <w:spacing w:after="0" w:line="276" w:lineRule="auto"/>
              <w:jc w:val="center"/>
              <w:rPr>
                <w:rFonts w:ascii="Wingdings" w:hAnsi="Wingdings"/>
              </w:rPr>
            </w:pPr>
          </w:p>
        </w:tc>
        <w:tc>
          <w:tcPr>
            <w:tcW w:w="692" w:type="dxa"/>
            <w:shd w:val="clear" w:color="auto" w:fill="FBD4B4" w:themeFill="accent6" w:themeFillTint="66"/>
            <w:tcMar>
              <w:top w:w="0" w:type="dxa"/>
              <w:left w:w="108" w:type="dxa"/>
              <w:bottom w:w="0" w:type="dxa"/>
              <w:right w:w="108" w:type="dxa"/>
            </w:tcMar>
            <w:vAlign w:val="center"/>
          </w:tcPr>
          <w:p w14:paraId="2A85A135" w14:textId="77777777" w:rsidR="003A5C5C" w:rsidRPr="00E52513" w:rsidRDefault="003A5C5C" w:rsidP="003A5C5C">
            <w:pPr>
              <w:spacing w:after="0" w:line="276" w:lineRule="auto"/>
              <w:jc w:val="center"/>
              <w:rPr>
                <w:rFonts w:ascii="Wingdings" w:hAnsi="Wingdings"/>
              </w:rPr>
            </w:pPr>
          </w:p>
        </w:tc>
        <w:tc>
          <w:tcPr>
            <w:tcW w:w="692" w:type="dxa"/>
            <w:shd w:val="clear" w:color="auto" w:fill="FBD4B4" w:themeFill="accent6" w:themeFillTint="66"/>
            <w:tcMar>
              <w:top w:w="0" w:type="dxa"/>
              <w:left w:w="108" w:type="dxa"/>
              <w:bottom w:w="0" w:type="dxa"/>
              <w:right w:w="108" w:type="dxa"/>
            </w:tcMar>
            <w:vAlign w:val="center"/>
          </w:tcPr>
          <w:p w14:paraId="638627DF" w14:textId="77777777" w:rsidR="003A5C5C" w:rsidRPr="00E52513" w:rsidRDefault="003A5C5C" w:rsidP="003A5C5C">
            <w:pPr>
              <w:spacing w:after="0" w:line="276" w:lineRule="auto"/>
              <w:jc w:val="center"/>
              <w:rPr>
                <w:rFonts w:ascii="Wingdings" w:hAnsi="Wingdings"/>
              </w:rPr>
            </w:pPr>
          </w:p>
        </w:tc>
        <w:tc>
          <w:tcPr>
            <w:tcW w:w="578" w:type="dxa"/>
            <w:shd w:val="clear" w:color="auto" w:fill="FBD4B4" w:themeFill="accent6" w:themeFillTint="66"/>
            <w:vAlign w:val="center"/>
          </w:tcPr>
          <w:p w14:paraId="2CB48A01" w14:textId="77777777" w:rsidR="003A5C5C" w:rsidRPr="00E52513" w:rsidRDefault="003A5C5C" w:rsidP="003A5C5C">
            <w:pPr>
              <w:spacing w:after="0" w:line="276" w:lineRule="auto"/>
              <w:jc w:val="center"/>
              <w:rPr>
                <w:rFonts w:ascii="Wingdings" w:hAnsi="Wingdings"/>
              </w:rPr>
            </w:pPr>
          </w:p>
        </w:tc>
        <w:tc>
          <w:tcPr>
            <w:tcW w:w="567" w:type="dxa"/>
            <w:shd w:val="clear" w:color="auto" w:fill="FBD4B4" w:themeFill="accent6" w:themeFillTint="66"/>
            <w:vAlign w:val="center"/>
          </w:tcPr>
          <w:p w14:paraId="251F02BC" w14:textId="77777777" w:rsidR="003A5C5C" w:rsidRPr="00E52513" w:rsidRDefault="003A5C5C" w:rsidP="003A5C5C">
            <w:pPr>
              <w:spacing w:after="0" w:line="276" w:lineRule="auto"/>
              <w:jc w:val="center"/>
              <w:rPr>
                <w:rFonts w:ascii="Wingdings" w:hAnsi="Wingdings"/>
              </w:rPr>
            </w:pPr>
          </w:p>
        </w:tc>
        <w:tc>
          <w:tcPr>
            <w:tcW w:w="937" w:type="dxa"/>
            <w:shd w:val="clear" w:color="auto" w:fill="FBD4B4" w:themeFill="accent6" w:themeFillTint="66"/>
            <w:vAlign w:val="center"/>
          </w:tcPr>
          <w:p w14:paraId="31B8ACE1" w14:textId="77777777" w:rsidR="003A5C5C" w:rsidRPr="00E52513" w:rsidRDefault="003A5C5C" w:rsidP="003A5C5C">
            <w:pPr>
              <w:spacing w:after="0" w:line="276" w:lineRule="auto"/>
              <w:jc w:val="center"/>
              <w:rPr>
                <w:rFonts w:ascii="Wingdings" w:hAnsi="Wingdings"/>
                <w:sz w:val="20"/>
              </w:rPr>
            </w:pPr>
          </w:p>
        </w:tc>
        <w:tc>
          <w:tcPr>
            <w:tcW w:w="710" w:type="dxa"/>
            <w:shd w:val="clear" w:color="auto" w:fill="FBD4B4" w:themeFill="accent6" w:themeFillTint="66"/>
            <w:vAlign w:val="center"/>
          </w:tcPr>
          <w:p w14:paraId="14CD11A0" w14:textId="77777777" w:rsidR="003A5C5C" w:rsidRPr="00E52513" w:rsidRDefault="003A5C5C" w:rsidP="003A5C5C">
            <w:pPr>
              <w:spacing w:after="0" w:line="276" w:lineRule="auto"/>
              <w:jc w:val="center"/>
              <w:rPr>
                <w:rFonts w:ascii="Wingdings" w:hAnsi="Wingdings"/>
                <w:sz w:val="20"/>
              </w:rPr>
            </w:pPr>
          </w:p>
        </w:tc>
      </w:tr>
      <w:tr w:rsidR="003A5C5C" w:rsidRPr="00E52513" w14:paraId="29561EDF" w14:textId="77777777" w:rsidTr="003A5C5C">
        <w:trPr>
          <w:jc w:val="center"/>
        </w:trPr>
        <w:tc>
          <w:tcPr>
            <w:tcW w:w="4565" w:type="dxa"/>
            <w:tcMar>
              <w:top w:w="0" w:type="dxa"/>
              <w:left w:w="108" w:type="dxa"/>
              <w:bottom w:w="0" w:type="dxa"/>
              <w:right w:w="108" w:type="dxa"/>
            </w:tcMar>
            <w:hideMark/>
          </w:tcPr>
          <w:p w14:paraId="5620D02C" w14:textId="77777777" w:rsidR="003A5C5C" w:rsidRPr="00E52513" w:rsidRDefault="003A5C5C" w:rsidP="003A5C5C">
            <w:pPr>
              <w:spacing w:after="0"/>
              <w:rPr>
                <w:sz w:val="20"/>
              </w:rPr>
            </w:pPr>
            <w:r w:rsidRPr="00E52513">
              <w:rPr>
                <w:sz w:val="20"/>
              </w:rPr>
              <w:t>4.1 What impact has NICRS had on strengthening social and emotional wellbeing (SEWB) and supporting healing as a result of?</w:t>
            </w:r>
          </w:p>
        </w:tc>
        <w:tc>
          <w:tcPr>
            <w:tcW w:w="693" w:type="dxa"/>
            <w:tcMar>
              <w:top w:w="0" w:type="dxa"/>
              <w:left w:w="108" w:type="dxa"/>
              <w:bottom w:w="0" w:type="dxa"/>
              <w:right w:w="108" w:type="dxa"/>
            </w:tcMar>
            <w:vAlign w:val="center"/>
            <w:hideMark/>
          </w:tcPr>
          <w:p w14:paraId="43DF0A71"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5EA05E73"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495453F8" w14:textId="77777777" w:rsidR="003A5C5C" w:rsidRPr="00E52513" w:rsidRDefault="003A5C5C" w:rsidP="003A5C5C">
            <w:pPr>
              <w:spacing w:after="0" w:line="276" w:lineRule="auto"/>
              <w:jc w:val="center"/>
              <w:rPr>
                <w:rFonts w:ascii="Wingdings" w:hAnsi="Wingdings"/>
              </w:rPr>
            </w:pPr>
            <w:r w:rsidRPr="00E52513">
              <w:t>–</w:t>
            </w:r>
          </w:p>
        </w:tc>
        <w:tc>
          <w:tcPr>
            <w:tcW w:w="578" w:type="dxa"/>
            <w:vAlign w:val="center"/>
            <w:hideMark/>
          </w:tcPr>
          <w:p w14:paraId="4326240A"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29417065"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4E81A796"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5F06F79D"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1466B049" w14:textId="77777777" w:rsidTr="003A5C5C">
        <w:trPr>
          <w:jc w:val="center"/>
        </w:trPr>
        <w:tc>
          <w:tcPr>
            <w:tcW w:w="4565" w:type="dxa"/>
            <w:tcMar>
              <w:top w:w="0" w:type="dxa"/>
              <w:left w:w="108" w:type="dxa"/>
              <w:bottom w:w="0" w:type="dxa"/>
              <w:right w:w="108" w:type="dxa"/>
            </w:tcMar>
            <w:hideMark/>
          </w:tcPr>
          <w:p w14:paraId="67EB2CDF" w14:textId="77777777" w:rsidR="003A5C5C" w:rsidRPr="00E52513" w:rsidRDefault="003A5C5C" w:rsidP="003A5C5C">
            <w:pPr>
              <w:spacing w:after="0"/>
              <w:rPr>
                <w:sz w:val="20"/>
              </w:rPr>
            </w:pPr>
            <w:r w:rsidRPr="00E52513">
              <w:rPr>
                <w:sz w:val="20"/>
              </w:rPr>
              <w:t xml:space="preserve">4.2 What impact has NICRS had on improving the capacity of local mainstream services to provide culturally appropriate </w:t>
            </w:r>
            <w:proofErr w:type="spellStart"/>
            <w:r w:rsidRPr="00E52513">
              <w:rPr>
                <w:sz w:val="20"/>
              </w:rPr>
              <w:t>postvention</w:t>
            </w:r>
            <w:proofErr w:type="spellEnd"/>
            <w:r w:rsidRPr="00E52513">
              <w:rPr>
                <w:sz w:val="20"/>
              </w:rPr>
              <w:t xml:space="preserve"> services?</w:t>
            </w:r>
          </w:p>
        </w:tc>
        <w:tc>
          <w:tcPr>
            <w:tcW w:w="693" w:type="dxa"/>
            <w:tcMar>
              <w:top w:w="0" w:type="dxa"/>
              <w:left w:w="108" w:type="dxa"/>
              <w:bottom w:w="0" w:type="dxa"/>
              <w:right w:w="108" w:type="dxa"/>
            </w:tcMar>
            <w:vAlign w:val="center"/>
            <w:hideMark/>
          </w:tcPr>
          <w:p w14:paraId="44255B60"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682F4F15"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79F9D754"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78" w:type="dxa"/>
            <w:vAlign w:val="center"/>
            <w:hideMark/>
          </w:tcPr>
          <w:p w14:paraId="00C6B7A4"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627FC74C" w14:textId="77777777" w:rsidR="003A5C5C" w:rsidRPr="00E52513" w:rsidRDefault="003A5C5C" w:rsidP="003A5C5C">
            <w:pPr>
              <w:spacing w:after="0" w:line="276" w:lineRule="auto"/>
              <w:jc w:val="center"/>
              <w:rPr>
                <w:rFonts w:ascii="Wingdings" w:hAnsi="Wingdings"/>
              </w:rPr>
            </w:pPr>
            <w:r w:rsidRPr="00E52513">
              <w:t>–</w:t>
            </w:r>
          </w:p>
        </w:tc>
        <w:tc>
          <w:tcPr>
            <w:tcW w:w="937" w:type="dxa"/>
            <w:vAlign w:val="center"/>
            <w:hideMark/>
          </w:tcPr>
          <w:p w14:paraId="5B0D9BB4"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341B3FAD"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2B1DF973" w14:textId="77777777" w:rsidTr="003A5C5C">
        <w:trPr>
          <w:jc w:val="center"/>
        </w:trPr>
        <w:tc>
          <w:tcPr>
            <w:tcW w:w="4565" w:type="dxa"/>
            <w:tcMar>
              <w:top w:w="0" w:type="dxa"/>
              <w:left w:w="108" w:type="dxa"/>
              <w:bottom w:w="0" w:type="dxa"/>
              <w:right w:w="108" w:type="dxa"/>
            </w:tcMar>
            <w:hideMark/>
          </w:tcPr>
          <w:p w14:paraId="42858B3B" w14:textId="77777777" w:rsidR="003A5C5C" w:rsidRPr="00E52513" w:rsidRDefault="003A5C5C" w:rsidP="003A5C5C">
            <w:pPr>
              <w:spacing w:after="0"/>
              <w:rPr>
                <w:sz w:val="20"/>
              </w:rPr>
            </w:pPr>
            <w:r w:rsidRPr="00E52513">
              <w:rPr>
                <w:sz w:val="20"/>
              </w:rPr>
              <w:t>4.3 To what extent does the NICRS build on strengths, demonstrate cultural respect and involve collaboration in such a way as to make a positive contribution to the lives of current and future generations of Indigenous Australians?</w:t>
            </w:r>
          </w:p>
        </w:tc>
        <w:tc>
          <w:tcPr>
            <w:tcW w:w="693" w:type="dxa"/>
            <w:tcMar>
              <w:top w:w="0" w:type="dxa"/>
              <w:left w:w="108" w:type="dxa"/>
              <w:bottom w:w="0" w:type="dxa"/>
              <w:right w:w="108" w:type="dxa"/>
            </w:tcMar>
            <w:vAlign w:val="center"/>
            <w:hideMark/>
          </w:tcPr>
          <w:p w14:paraId="183B1E71"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2F0B9DE2"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6BB4AFDB"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78" w:type="dxa"/>
            <w:vAlign w:val="center"/>
            <w:hideMark/>
          </w:tcPr>
          <w:p w14:paraId="0DCB4CB6"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4B4AA806"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0A1CDA14"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0FE6FA53"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4A0B9889" w14:textId="77777777" w:rsidTr="003A5C5C">
        <w:trPr>
          <w:jc w:val="center"/>
        </w:trPr>
        <w:tc>
          <w:tcPr>
            <w:tcW w:w="4565" w:type="dxa"/>
            <w:tcMar>
              <w:top w:w="0" w:type="dxa"/>
              <w:left w:w="108" w:type="dxa"/>
              <w:bottom w:w="0" w:type="dxa"/>
              <w:right w:w="108" w:type="dxa"/>
            </w:tcMar>
            <w:hideMark/>
          </w:tcPr>
          <w:p w14:paraId="37F78C91" w14:textId="77777777" w:rsidR="003A5C5C" w:rsidRPr="00E52513" w:rsidRDefault="003A5C5C" w:rsidP="003A5C5C">
            <w:pPr>
              <w:spacing w:after="0"/>
              <w:rPr>
                <w:sz w:val="20"/>
              </w:rPr>
            </w:pPr>
            <w:r w:rsidRPr="00E52513">
              <w:rPr>
                <w:sz w:val="20"/>
              </w:rPr>
              <w:t>4.4 To what extent do families and communities feel more resilient and confident in their wellbeing?</w:t>
            </w:r>
          </w:p>
        </w:tc>
        <w:tc>
          <w:tcPr>
            <w:tcW w:w="693" w:type="dxa"/>
            <w:tcMar>
              <w:top w:w="0" w:type="dxa"/>
              <w:left w:w="108" w:type="dxa"/>
              <w:bottom w:w="0" w:type="dxa"/>
              <w:right w:w="108" w:type="dxa"/>
            </w:tcMar>
            <w:vAlign w:val="center"/>
            <w:hideMark/>
          </w:tcPr>
          <w:p w14:paraId="2ED85DB6"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692" w:type="dxa"/>
            <w:tcMar>
              <w:top w:w="0" w:type="dxa"/>
              <w:left w:w="108" w:type="dxa"/>
              <w:bottom w:w="0" w:type="dxa"/>
              <w:right w:w="108" w:type="dxa"/>
            </w:tcMar>
            <w:vAlign w:val="center"/>
            <w:hideMark/>
          </w:tcPr>
          <w:p w14:paraId="3D8FCA16"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504885F5" w14:textId="77777777" w:rsidR="003A5C5C" w:rsidRPr="00E52513" w:rsidRDefault="003A5C5C" w:rsidP="003A5C5C">
            <w:pPr>
              <w:spacing w:after="0" w:line="276" w:lineRule="auto"/>
              <w:jc w:val="center"/>
              <w:rPr>
                <w:rFonts w:ascii="Wingdings" w:hAnsi="Wingdings"/>
              </w:rPr>
            </w:pPr>
            <w:r w:rsidRPr="00E52513">
              <w:t>–</w:t>
            </w:r>
          </w:p>
        </w:tc>
        <w:tc>
          <w:tcPr>
            <w:tcW w:w="578" w:type="dxa"/>
            <w:vAlign w:val="center"/>
            <w:hideMark/>
          </w:tcPr>
          <w:p w14:paraId="0947EB4A" w14:textId="77777777" w:rsidR="003A5C5C" w:rsidRPr="00E52513" w:rsidRDefault="003A5C5C" w:rsidP="003A5C5C">
            <w:pPr>
              <w:spacing w:after="0" w:line="276" w:lineRule="auto"/>
              <w:jc w:val="center"/>
              <w:rPr>
                <w:rFonts w:ascii="Wingdings" w:hAnsi="Wingdings"/>
              </w:rPr>
            </w:pPr>
            <w:r w:rsidRPr="00E52513">
              <w:t>–</w:t>
            </w:r>
          </w:p>
        </w:tc>
        <w:tc>
          <w:tcPr>
            <w:tcW w:w="567" w:type="dxa"/>
            <w:vAlign w:val="center"/>
            <w:hideMark/>
          </w:tcPr>
          <w:p w14:paraId="271A1CD9" w14:textId="77777777" w:rsidR="003A5C5C" w:rsidRPr="00E52513" w:rsidRDefault="003A5C5C" w:rsidP="003A5C5C">
            <w:pPr>
              <w:spacing w:after="0" w:line="276" w:lineRule="auto"/>
              <w:jc w:val="center"/>
              <w:rPr>
                <w:rFonts w:ascii="Wingdings" w:hAnsi="Wingdings"/>
              </w:rPr>
            </w:pPr>
            <w:r w:rsidRPr="00E52513">
              <w:t>–</w:t>
            </w:r>
          </w:p>
        </w:tc>
        <w:tc>
          <w:tcPr>
            <w:tcW w:w="937" w:type="dxa"/>
            <w:vAlign w:val="center"/>
            <w:hideMark/>
          </w:tcPr>
          <w:p w14:paraId="2FD175B1"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119CDE5F" w14:textId="77777777" w:rsidR="003A5C5C" w:rsidRPr="00E52513" w:rsidRDefault="003A5C5C" w:rsidP="003A5C5C">
            <w:pPr>
              <w:spacing w:after="0" w:line="276" w:lineRule="auto"/>
              <w:jc w:val="center"/>
              <w:rPr>
                <w:rFonts w:ascii="Wingdings" w:hAnsi="Wingdings"/>
                <w:sz w:val="20"/>
              </w:rPr>
            </w:pPr>
            <w:r w:rsidRPr="00E52513">
              <w:t>–</w:t>
            </w:r>
          </w:p>
        </w:tc>
      </w:tr>
      <w:tr w:rsidR="003A5C5C" w:rsidRPr="00E52513" w14:paraId="3EA4F173" w14:textId="77777777" w:rsidTr="003A5C5C">
        <w:trPr>
          <w:jc w:val="center"/>
        </w:trPr>
        <w:tc>
          <w:tcPr>
            <w:tcW w:w="4565" w:type="dxa"/>
            <w:tcMar>
              <w:top w:w="0" w:type="dxa"/>
              <w:left w:w="108" w:type="dxa"/>
              <w:bottom w:w="0" w:type="dxa"/>
              <w:right w:w="108" w:type="dxa"/>
            </w:tcMar>
            <w:hideMark/>
          </w:tcPr>
          <w:p w14:paraId="39E79830" w14:textId="77777777" w:rsidR="003A5C5C" w:rsidRPr="00E52513" w:rsidRDefault="003A5C5C" w:rsidP="003A5C5C">
            <w:pPr>
              <w:spacing w:after="0"/>
              <w:rPr>
                <w:sz w:val="20"/>
              </w:rPr>
            </w:pPr>
            <w:r w:rsidRPr="00E52513">
              <w:rPr>
                <w:sz w:val="20"/>
              </w:rPr>
              <w:t xml:space="preserve">4.5 What other impacts has the NICRS had on clients and communities receiving the service or </w:t>
            </w:r>
            <w:r w:rsidRPr="00E52513">
              <w:rPr>
                <w:sz w:val="20"/>
              </w:rPr>
              <w:lastRenderedPageBreak/>
              <w:t>local services? What would be the impact if the service was not available?</w:t>
            </w:r>
          </w:p>
        </w:tc>
        <w:tc>
          <w:tcPr>
            <w:tcW w:w="693" w:type="dxa"/>
            <w:tcMar>
              <w:top w:w="0" w:type="dxa"/>
              <w:left w:w="108" w:type="dxa"/>
              <w:bottom w:w="0" w:type="dxa"/>
              <w:right w:w="108" w:type="dxa"/>
            </w:tcMar>
            <w:vAlign w:val="center"/>
            <w:hideMark/>
          </w:tcPr>
          <w:p w14:paraId="04C629CE" w14:textId="77777777" w:rsidR="003A5C5C" w:rsidRPr="00E52513" w:rsidRDefault="003A5C5C" w:rsidP="003A5C5C">
            <w:pPr>
              <w:spacing w:after="0" w:line="276" w:lineRule="auto"/>
              <w:jc w:val="center"/>
              <w:rPr>
                <w:rFonts w:ascii="Wingdings" w:hAnsi="Wingdings"/>
              </w:rPr>
            </w:pPr>
            <w:r w:rsidRPr="00E52513">
              <w:rPr>
                <w:rFonts w:ascii="Wingdings" w:hAnsi="Wingdings"/>
              </w:rPr>
              <w:lastRenderedPageBreak/>
              <w:t></w:t>
            </w:r>
          </w:p>
        </w:tc>
        <w:tc>
          <w:tcPr>
            <w:tcW w:w="692" w:type="dxa"/>
            <w:tcMar>
              <w:top w:w="0" w:type="dxa"/>
              <w:left w:w="108" w:type="dxa"/>
              <w:bottom w:w="0" w:type="dxa"/>
              <w:right w:w="108" w:type="dxa"/>
            </w:tcMar>
            <w:vAlign w:val="center"/>
            <w:hideMark/>
          </w:tcPr>
          <w:p w14:paraId="413E7870" w14:textId="77777777" w:rsidR="003A5C5C" w:rsidRPr="00E52513" w:rsidRDefault="003A5C5C" w:rsidP="003A5C5C">
            <w:pPr>
              <w:spacing w:after="0" w:line="276" w:lineRule="auto"/>
              <w:jc w:val="center"/>
              <w:rPr>
                <w:rFonts w:ascii="Wingdings" w:hAnsi="Wingdings"/>
              </w:rPr>
            </w:pPr>
            <w:r w:rsidRPr="00E52513">
              <w:t>–</w:t>
            </w:r>
          </w:p>
        </w:tc>
        <w:tc>
          <w:tcPr>
            <w:tcW w:w="692" w:type="dxa"/>
            <w:tcMar>
              <w:top w:w="0" w:type="dxa"/>
              <w:left w:w="108" w:type="dxa"/>
              <w:bottom w:w="0" w:type="dxa"/>
              <w:right w:w="108" w:type="dxa"/>
            </w:tcMar>
            <w:vAlign w:val="center"/>
            <w:hideMark/>
          </w:tcPr>
          <w:p w14:paraId="149F27CC"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78" w:type="dxa"/>
            <w:vAlign w:val="center"/>
            <w:hideMark/>
          </w:tcPr>
          <w:p w14:paraId="38C67F0C"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3204C335" w14:textId="77777777" w:rsidR="003A5C5C" w:rsidRPr="00E52513" w:rsidRDefault="003A5C5C" w:rsidP="003A5C5C">
            <w:pPr>
              <w:spacing w:after="0" w:line="276" w:lineRule="auto"/>
              <w:jc w:val="center"/>
              <w:rPr>
                <w:rFonts w:ascii="Wingdings" w:hAnsi="Wingdings"/>
              </w:rPr>
            </w:pPr>
            <w:r w:rsidRPr="00E52513">
              <w:t>–</w:t>
            </w:r>
          </w:p>
        </w:tc>
        <w:tc>
          <w:tcPr>
            <w:tcW w:w="937" w:type="dxa"/>
            <w:vAlign w:val="center"/>
            <w:hideMark/>
          </w:tcPr>
          <w:p w14:paraId="7BC1858B"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4A2D15AA"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r>
      <w:tr w:rsidR="003A5C5C" w:rsidRPr="00E52513" w14:paraId="5A280F6A" w14:textId="77777777" w:rsidTr="003A5C5C">
        <w:trPr>
          <w:jc w:val="center"/>
        </w:trPr>
        <w:tc>
          <w:tcPr>
            <w:tcW w:w="4565" w:type="dxa"/>
            <w:shd w:val="clear" w:color="auto" w:fill="FBD4B4" w:themeFill="accent6" w:themeFillTint="66"/>
            <w:tcMar>
              <w:top w:w="0" w:type="dxa"/>
              <w:left w:w="108" w:type="dxa"/>
              <w:bottom w:w="0" w:type="dxa"/>
              <w:right w:w="108" w:type="dxa"/>
            </w:tcMar>
            <w:hideMark/>
          </w:tcPr>
          <w:p w14:paraId="58CFA8AF" w14:textId="77777777" w:rsidR="003A5C5C" w:rsidRPr="00E52513" w:rsidRDefault="003A5C5C" w:rsidP="003A5C5C">
            <w:pPr>
              <w:spacing w:after="0"/>
              <w:rPr>
                <w:b/>
                <w:sz w:val="20"/>
              </w:rPr>
            </w:pPr>
            <w:r w:rsidRPr="00E52513">
              <w:rPr>
                <w:b/>
                <w:sz w:val="20"/>
              </w:rPr>
              <w:t>5. SUSTAINABILITY – are the observed outcomes likely to produce ongoing results?</w:t>
            </w:r>
          </w:p>
        </w:tc>
        <w:tc>
          <w:tcPr>
            <w:tcW w:w="693" w:type="dxa"/>
            <w:shd w:val="clear" w:color="auto" w:fill="FBD4B4" w:themeFill="accent6" w:themeFillTint="66"/>
            <w:tcMar>
              <w:top w:w="0" w:type="dxa"/>
              <w:left w:w="108" w:type="dxa"/>
              <w:bottom w:w="0" w:type="dxa"/>
              <w:right w:w="108" w:type="dxa"/>
            </w:tcMar>
            <w:vAlign w:val="center"/>
          </w:tcPr>
          <w:p w14:paraId="31872E99" w14:textId="77777777" w:rsidR="003A5C5C" w:rsidRPr="00E52513" w:rsidRDefault="003A5C5C" w:rsidP="003A5C5C">
            <w:pPr>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2A136213" w14:textId="77777777" w:rsidR="003A5C5C" w:rsidRPr="00E52513" w:rsidRDefault="003A5C5C" w:rsidP="003A5C5C">
            <w:pPr>
              <w:spacing w:after="0" w:line="276" w:lineRule="auto"/>
              <w:jc w:val="center"/>
            </w:pPr>
          </w:p>
        </w:tc>
        <w:tc>
          <w:tcPr>
            <w:tcW w:w="692" w:type="dxa"/>
            <w:shd w:val="clear" w:color="auto" w:fill="FBD4B4" w:themeFill="accent6" w:themeFillTint="66"/>
            <w:tcMar>
              <w:top w:w="0" w:type="dxa"/>
              <w:left w:w="108" w:type="dxa"/>
              <w:bottom w:w="0" w:type="dxa"/>
              <w:right w:w="108" w:type="dxa"/>
            </w:tcMar>
            <w:vAlign w:val="center"/>
          </w:tcPr>
          <w:p w14:paraId="44A6391C" w14:textId="77777777" w:rsidR="003A5C5C" w:rsidRPr="00E52513" w:rsidRDefault="003A5C5C" w:rsidP="003A5C5C">
            <w:pPr>
              <w:spacing w:after="0" w:line="276" w:lineRule="auto"/>
              <w:jc w:val="center"/>
            </w:pPr>
          </w:p>
        </w:tc>
        <w:tc>
          <w:tcPr>
            <w:tcW w:w="578" w:type="dxa"/>
            <w:shd w:val="clear" w:color="auto" w:fill="FBD4B4" w:themeFill="accent6" w:themeFillTint="66"/>
            <w:vAlign w:val="center"/>
          </w:tcPr>
          <w:p w14:paraId="37E9C894" w14:textId="77777777" w:rsidR="003A5C5C" w:rsidRPr="00E52513" w:rsidRDefault="003A5C5C" w:rsidP="003A5C5C">
            <w:pPr>
              <w:spacing w:after="0" w:line="276" w:lineRule="auto"/>
              <w:jc w:val="center"/>
            </w:pPr>
          </w:p>
        </w:tc>
        <w:tc>
          <w:tcPr>
            <w:tcW w:w="567" w:type="dxa"/>
            <w:shd w:val="clear" w:color="auto" w:fill="FBD4B4" w:themeFill="accent6" w:themeFillTint="66"/>
            <w:vAlign w:val="center"/>
          </w:tcPr>
          <w:p w14:paraId="1EC0B4B4" w14:textId="77777777" w:rsidR="003A5C5C" w:rsidRPr="00E52513" w:rsidRDefault="003A5C5C" w:rsidP="003A5C5C">
            <w:pPr>
              <w:spacing w:after="0" w:line="276" w:lineRule="auto"/>
              <w:jc w:val="center"/>
            </w:pPr>
          </w:p>
        </w:tc>
        <w:tc>
          <w:tcPr>
            <w:tcW w:w="937" w:type="dxa"/>
            <w:shd w:val="clear" w:color="auto" w:fill="FBD4B4" w:themeFill="accent6" w:themeFillTint="66"/>
            <w:vAlign w:val="center"/>
          </w:tcPr>
          <w:p w14:paraId="61E1162F" w14:textId="77777777" w:rsidR="003A5C5C" w:rsidRPr="00E52513" w:rsidRDefault="003A5C5C" w:rsidP="003A5C5C">
            <w:pPr>
              <w:spacing w:after="0" w:line="276" w:lineRule="auto"/>
              <w:jc w:val="center"/>
              <w:rPr>
                <w:sz w:val="20"/>
              </w:rPr>
            </w:pPr>
          </w:p>
        </w:tc>
        <w:tc>
          <w:tcPr>
            <w:tcW w:w="710" w:type="dxa"/>
            <w:shd w:val="clear" w:color="auto" w:fill="FBD4B4" w:themeFill="accent6" w:themeFillTint="66"/>
            <w:vAlign w:val="center"/>
          </w:tcPr>
          <w:p w14:paraId="131CFD24" w14:textId="77777777" w:rsidR="003A5C5C" w:rsidRPr="00E52513" w:rsidRDefault="003A5C5C" w:rsidP="003A5C5C">
            <w:pPr>
              <w:spacing w:after="0" w:line="276" w:lineRule="auto"/>
              <w:jc w:val="center"/>
              <w:rPr>
                <w:sz w:val="20"/>
              </w:rPr>
            </w:pPr>
          </w:p>
        </w:tc>
      </w:tr>
      <w:tr w:rsidR="003A5C5C" w:rsidRPr="00E52513" w14:paraId="38042AF7" w14:textId="77777777" w:rsidTr="003A5C5C">
        <w:trPr>
          <w:jc w:val="center"/>
        </w:trPr>
        <w:tc>
          <w:tcPr>
            <w:tcW w:w="4565" w:type="dxa"/>
            <w:tcMar>
              <w:top w:w="0" w:type="dxa"/>
              <w:left w:w="108" w:type="dxa"/>
              <w:bottom w:w="0" w:type="dxa"/>
              <w:right w:w="108" w:type="dxa"/>
            </w:tcMar>
            <w:hideMark/>
          </w:tcPr>
          <w:p w14:paraId="4DE43E55" w14:textId="77777777" w:rsidR="003A5C5C" w:rsidRPr="00E52513" w:rsidRDefault="003A5C5C" w:rsidP="003A5C5C">
            <w:pPr>
              <w:spacing w:after="0"/>
              <w:rPr>
                <w:sz w:val="20"/>
              </w:rPr>
            </w:pPr>
            <w:r w:rsidRPr="00E52513">
              <w:rPr>
                <w:sz w:val="20"/>
              </w:rPr>
              <w:t>5.1 What length of time is NICRS support needed to provide support to families?</w:t>
            </w:r>
          </w:p>
        </w:tc>
        <w:tc>
          <w:tcPr>
            <w:tcW w:w="693" w:type="dxa"/>
            <w:tcMar>
              <w:top w:w="0" w:type="dxa"/>
              <w:left w:w="108" w:type="dxa"/>
              <w:bottom w:w="0" w:type="dxa"/>
              <w:right w:w="108" w:type="dxa"/>
            </w:tcMar>
            <w:vAlign w:val="center"/>
            <w:hideMark/>
          </w:tcPr>
          <w:p w14:paraId="48382123"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2C5C28E3" w14:textId="77777777" w:rsidR="003A5C5C" w:rsidRPr="00E52513" w:rsidRDefault="003A5C5C" w:rsidP="003A5C5C">
            <w:pPr>
              <w:spacing w:after="0" w:line="276" w:lineRule="auto"/>
              <w:jc w:val="center"/>
            </w:pPr>
            <w:r w:rsidRPr="00E52513">
              <w:t>–</w:t>
            </w:r>
          </w:p>
        </w:tc>
        <w:tc>
          <w:tcPr>
            <w:tcW w:w="692" w:type="dxa"/>
            <w:tcMar>
              <w:top w:w="0" w:type="dxa"/>
              <w:left w:w="108" w:type="dxa"/>
              <w:bottom w:w="0" w:type="dxa"/>
              <w:right w:w="108" w:type="dxa"/>
            </w:tcMar>
            <w:vAlign w:val="center"/>
            <w:hideMark/>
          </w:tcPr>
          <w:p w14:paraId="669958E4" w14:textId="77777777" w:rsidR="003A5C5C" w:rsidRPr="00E52513" w:rsidRDefault="003A5C5C" w:rsidP="003A5C5C">
            <w:pPr>
              <w:spacing w:after="0" w:line="276" w:lineRule="auto"/>
              <w:jc w:val="center"/>
            </w:pPr>
            <w:r w:rsidRPr="00E52513">
              <w:t>–</w:t>
            </w:r>
          </w:p>
        </w:tc>
        <w:tc>
          <w:tcPr>
            <w:tcW w:w="578" w:type="dxa"/>
            <w:vAlign w:val="center"/>
            <w:hideMark/>
          </w:tcPr>
          <w:p w14:paraId="23F40729" w14:textId="77777777" w:rsidR="003A5C5C" w:rsidRPr="00E52513" w:rsidRDefault="003A5C5C" w:rsidP="003A5C5C">
            <w:pPr>
              <w:spacing w:after="0" w:line="276" w:lineRule="auto"/>
              <w:jc w:val="center"/>
            </w:pPr>
            <w:r w:rsidRPr="00E52513">
              <w:rPr>
                <w:rFonts w:ascii="Wingdings" w:hAnsi="Wingdings"/>
              </w:rPr>
              <w:t></w:t>
            </w:r>
          </w:p>
        </w:tc>
        <w:tc>
          <w:tcPr>
            <w:tcW w:w="567" w:type="dxa"/>
            <w:vAlign w:val="center"/>
            <w:hideMark/>
          </w:tcPr>
          <w:p w14:paraId="63C36BAF" w14:textId="77777777" w:rsidR="003A5C5C" w:rsidRPr="00E52513" w:rsidRDefault="003A5C5C" w:rsidP="003A5C5C">
            <w:pPr>
              <w:spacing w:after="0" w:line="276" w:lineRule="auto"/>
              <w:jc w:val="center"/>
            </w:pPr>
            <w:r w:rsidRPr="00E52513">
              <w:t>–</w:t>
            </w:r>
          </w:p>
        </w:tc>
        <w:tc>
          <w:tcPr>
            <w:tcW w:w="937" w:type="dxa"/>
            <w:vAlign w:val="center"/>
            <w:hideMark/>
          </w:tcPr>
          <w:p w14:paraId="5B0716D4" w14:textId="77777777" w:rsidR="003A5C5C" w:rsidRPr="00E52513" w:rsidRDefault="003A5C5C" w:rsidP="003A5C5C">
            <w:pPr>
              <w:spacing w:after="0" w:line="276" w:lineRule="auto"/>
              <w:jc w:val="center"/>
              <w:rPr>
                <w:sz w:val="20"/>
              </w:rPr>
            </w:pPr>
            <w:r w:rsidRPr="00E52513">
              <w:rPr>
                <w:rFonts w:ascii="Wingdings" w:hAnsi="Wingdings"/>
              </w:rPr>
              <w:t></w:t>
            </w:r>
          </w:p>
        </w:tc>
        <w:tc>
          <w:tcPr>
            <w:tcW w:w="710" w:type="dxa"/>
            <w:vAlign w:val="center"/>
            <w:hideMark/>
          </w:tcPr>
          <w:p w14:paraId="3A039F54" w14:textId="77777777" w:rsidR="003A5C5C" w:rsidRPr="00E52513" w:rsidRDefault="003A5C5C" w:rsidP="003A5C5C">
            <w:pPr>
              <w:spacing w:after="0" w:line="276" w:lineRule="auto"/>
              <w:jc w:val="center"/>
              <w:rPr>
                <w:sz w:val="20"/>
              </w:rPr>
            </w:pPr>
            <w:r w:rsidRPr="00E52513">
              <w:rPr>
                <w:rFonts w:ascii="Wingdings" w:hAnsi="Wingdings"/>
              </w:rPr>
              <w:t></w:t>
            </w:r>
          </w:p>
        </w:tc>
      </w:tr>
      <w:tr w:rsidR="003A5C5C" w:rsidRPr="00E52513" w14:paraId="52A8FADD" w14:textId="77777777" w:rsidTr="003A5C5C">
        <w:trPr>
          <w:jc w:val="center"/>
        </w:trPr>
        <w:tc>
          <w:tcPr>
            <w:tcW w:w="4565" w:type="dxa"/>
            <w:tcMar>
              <w:top w:w="0" w:type="dxa"/>
              <w:left w:w="108" w:type="dxa"/>
              <w:bottom w:w="0" w:type="dxa"/>
              <w:right w:w="108" w:type="dxa"/>
            </w:tcMar>
            <w:hideMark/>
          </w:tcPr>
          <w:p w14:paraId="12F10A38" w14:textId="77777777" w:rsidR="003A5C5C" w:rsidRPr="00E52513" w:rsidRDefault="003A5C5C" w:rsidP="003A5C5C">
            <w:pPr>
              <w:spacing w:after="0"/>
              <w:rPr>
                <w:sz w:val="20"/>
              </w:rPr>
            </w:pPr>
            <w:r w:rsidRPr="00E52513">
              <w:rPr>
                <w:sz w:val="20"/>
              </w:rPr>
              <w:t>5.2 Is there any evidence of systems change at the community or regional level as a result of the NICRS program activities?</w:t>
            </w:r>
          </w:p>
        </w:tc>
        <w:tc>
          <w:tcPr>
            <w:tcW w:w="693" w:type="dxa"/>
            <w:tcMar>
              <w:top w:w="0" w:type="dxa"/>
              <w:left w:w="108" w:type="dxa"/>
              <w:bottom w:w="0" w:type="dxa"/>
              <w:right w:w="108" w:type="dxa"/>
            </w:tcMar>
            <w:vAlign w:val="center"/>
            <w:hideMark/>
          </w:tcPr>
          <w:p w14:paraId="4421BA92"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5CFF3DAB" w14:textId="77777777" w:rsidR="003A5C5C" w:rsidRPr="00E52513" w:rsidRDefault="003A5C5C" w:rsidP="003A5C5C">
            <w:pPr>
              <w:spacing w:after="0" w:line="276" w:lineRule="auto"/>
              <w:jc w:val="center"/>
            </w:pPr>
            <w:r w:rsidRPr="00E52513">
              <w:rPr>
                <w:rFonts w:ascii="Wingdings" w:hAnsi="Wingdings"/>
              </w:rPr>
              <w:t></w:t>
            </w:r>
          </w:p>
        </w:tc>
        <w:tc>
          <w:tcPr>
            <w:tcW w:w="692" w:type="dxa"/>
            <w:tcMar>
              <w:top w:w="0" w:type="dxa"/>
              <w:left w:w="108" w:type="dxa"/>
              <w:bottom w:w="0" w:type="dxa"/>
              <w:right w:w="108" w:type="dxa"/>
            </w:tcMar>
            <w:vAlign w:val="center"/>
            <w:hideMark/>
          </w:tcPr>
          <w:p w14:paraId="46ED9FAA" w14:textId="77777777" w:rsidR="003A5C5C" w:rsidRPr="00E52513" w:rsidRDefault="003A5C5C" w:rsidP="003A5C5C">
            <w:pPr>
              <w:spacing w:after="0" w:line="276" w:lineRule="auto"/>
              <w:jc w:val="center"/>
            </w:pPr>
            <w:r w:rsidRPr="00E52513">
              <w:rPr>
                <w:rFonts w:ascii="Wingdings" w:hAnsi="Wingdings"/>
              </w:rPr>
              <w:t></w:t>
            </w:r>
          </w:p>
        </w:tc>
        <w:tc>
          <w:tcPr>
            <w:tcW w:w="578" w:type="dxa"/>
            <w:vAlign w:val="center"/>
            <w:hideMark/>
          </w:tcPr>
          <w:p w14:paraId="25130EBB"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567" w:type="dxa"/>
            <w:vAlign w:val="center"/>
            <w:hideMark/>
          </w:tcPr>
          <w:p w14:paraId="6728EAD5" w14:textId="77777777" w:rsidR="003A5C5C" w:rsidRPr="00E52513" w:rsidRDefault="003A5C5C" w:rsidP="003A5C5C">
            <w:pPr>
              <w:spacing w:after="0" w:line="276" w:lineRule="auto"/>
              <w:jc w:val="center"/>
              <w:rPr>
                <w:rFonts w:ascii="Wingdings" w:hAnsi="Wingdings"/>
              </w:rPr>
            </w:pPr>
            <w:r w:rsidRPr="00E52513">
              <w:rPr>
                <w:rFonts w:ascii="Wingdings" w:hAnsi="Wingdings"/>
              </w:rPr>
              <w:t></w:t>
            </w:r>
          </w:p>
        </w:tc>
        <w:tc>
          <w:tcPr>
            <w:tcW w:w="937" w:type="dxa"/>
            <w:vAlign w:val="center"/>
            <w:hideMark/>
          </w:tcPr>
          <w:p w14:paraId="27C5D17C" w14:textId="77777777" w:rsidR="003A5C5C" w:rsidRPr="00E52513" w:rsidRDefault="003A5C5C" w:rsidP="003A5C5C">
            <w:pPr>
              <w:spacing w:after="0" w:line="276" w:lineRule="auto"/>
              <w:jc w:val="center"/>
              <w:rPr>
                <w:rFonts w:ascii="Wingdings" w:hAnsi="Wingdings"/>
                <w:sz w:val="20"/>
              </w:rPr>
            </w:pPr>
            <w:r w:rsidRPr="00E52513">
              <w:rPr>
                <w:rFonts w:ascii="Wingdings" w:hAnsi="Wingdings"/>
              </w:rPr>
              <w:t></w:t>
            </w:r>
          </w:p>
        </w:tc>
        <w:tc>
          <w:tcPr>
            <w:tcW w:w="710" w:type="dxa"/>
            <w:vAlign w:val="center"/>
            <w:hideMark/>
          </w:tcPr>
          <w:p w14:paraId="6B024F4C" w14:textId="77777777" w:rsidR="003A5C5C" w:rsidRPr="00E52513" w:rsidRDefault="003A5C5C" w:rsidP="003A5C5C">
            <w:pPr>
              <w:spacing w:after="0" w:line="276" w:lineRule="auto"/>
              <w:jc w:val="center"/>
              <w:rPr>
                <w:rFonts w:ascii="Wingdings" w:hAnsi="Wingdings"/>
                <w:sz w:val="20"/>
              </w:rPr>
            </w:pPr>
            <w:r w:rsidRPr="00E52513">
              <w:t>–</w:t>
            </w:r>
          </w:p>
        </w:tc>
      </w:tr>
    </w:tbl>
    <w:p w14:paraId="260BA751" w14:textId="77777777" w:rsidR="007D12CA" w:rsidRPr="00E52513" w:rsidRDefault="007D12CA">
      <w:pPr>
        <w:spacing w:line="276" w:lineRule="auto"/>
        <w:rPr>
          <w:rFonts w:eastAsiaTheme="majorEastAsia"/>
          <w:b/>
          <w:bCs/>
          <w:color w:val="0050B5"/>
          <w:sz w:val="40"/>
          <w:szCs w:val="28"/>
        </w:rPr>
      </w:pPr>
      <w:r w:rsidRPr="00E52513">
        <w:br w:type="page"/>
      </w:r>
    </w:p>
    <w:p w14:paraId="525E3BF4" w14:textId="08D28252" w:rsidR="00410AEE" w:rsidRPr="00E52513" w:rsidRDefault="00410AEE" w:rsidP="00410AEE">
      <w:pPr>
        <w:pStyle w:val="Heading1"/>
        <w:numPr>
          <w:ilvl w:val="0"/>
          <w:numId w:val="0"/>
        </w:numPr>
        <w:ind w:left="357" w:hanging="357"/>
      </w:pPr>
      <w:bookmarkStart w:id="132" w:name="_Toc54966669"/>
      <w:r w:rsidRPr="00E52513">
        <w:lastRenderedPageBreak/>
        <w:t xml:space="preserve">Appendix </w:t>
      </w:r>
      <w:r w:rsidR="0028506A" w:rsidRPr="00E52513">
        <w:t>7</w:t>
      </w:r>
      <w:r w:rsidRPr="00E52513">
        <w:t xml:space="preserve">: </w:t>
      </w:r>
      <w:r w:rsidR="00B600EF" w:rsidRPr="00E52513">
        <w:t xml:space="preserve">Detailed evaluation </w:t>
      </w:r>
      <w:r w:rsidRPr="00E52513">
        <w:t>method</w:t>
      </w:r>
      <w:bookmarkEnd w:id="124"/>
      <w:bookmarkEnd w:id="132"/>
    </w:p>
    <w:p w14:paraId="54FC22C1" w14:textId="476019EE" w:rsidR="00621A81" w:rsidRPr="00E52513" w:rsidRDefault="00621A81" w:rsidP="002A580E">
      <w:pPr>
        <w:pStyle w:val="appendix7h2"/>
        <w:rPr>
          <w:rStyle w:val="Strong"/>
          <w:b/>
          <w:sz w:val="24"/>
        </w:rPr>
      </w:pPr>
      <w:r w:rsidRPr="00E52513">
        <w:t>Case study selection</w:t>
      </w:r>
      <w:bookmarkStart w:id="133" w:name="_Toc13224107"/>
      <w:bookmarkStart w:id="134" w:name="_Toc35966370"/>
    </w:p>
    <w:p w14:paraId="042EEAB8" w14:textId="15539337" w:rsidR="00410AEE" w:rsidRDefault="00410AEE" w:rsidP="002A580E">
      <w:pPr>
        <w:pStyle w:val="app7h3"/>
        <w:rPr>
          <w:rStyle w:val="Strong"/>
          <w:b w:val="0"/>
        </w:rPr>
      </w:pPr>
      <w:r w:rsidRPr="00E52513">
        <w:rPr>
          <w:rStyle w:val="Strong"/>
          <w:b w:val="0"/>
        </w:rPr>
        <w:t>Selection of case studies</w:t>
      </w:r>
      <w:bookmarkEnd w:id="133"/>
      <w:bookmarkEnd w:id="134"/>
    </w:p>
    <w:p w14:paraId="16EF379D" w14:textId="77777777" w:rsidR="00410AEE" w:rsidRPr="00E52513" w:rsidRDefault="00410AEE" w:rsidP="00410AEE">
      <w:pPr>
        <w:rPr>
          <w:rFonts w:cs="Calibri"/>
        </w:rPr>
      </w:pPr>
      <w:r w:rsidRPr="00E52513">
        <w:rPr>
          <w:rFonts w:cs="Calibri"/>
        </w:rPr>
        <w:t>The case studies were randomly selected through a three-step sampling process:</w:t>
      </w:r>
    </w:p>
    <w:p w14:paraId="7235404C" w14:textId="77777777" w:rsidR="00410AEE" w:rsidRPr="00E52513" w:rsidRDefault="00410AEE" w:rsidP="00CF21DA">
      <w:pPr>
        <w:pStyle w:val="ListParagraph"/>
        <w:numPr>
          <w:ilvl w:val="0"/>
          <w:numId w:val="6"/>
        </w:numPr>
        <w:tabs>
          <w:tab w:val="clear" w:pos="284"/>
        </w:tabs>
        <w:spacing w:before="0"/>
        <w:ind w:left="714" w:hanging="357"/>
        <w:rPr>
          <w:rFonts w:cs="Calibri"/>
        </w:rPr>
      </w:pPr>
      <w:r w:rsidRPr="00E52513">
        <w:rPr>
          <w:rFonts w:cs="Calibri"/>
        </w:rPr>
        <w:t>An initial group of cases were identified for possible investigation by NICRS management. All cases selected involved clients that were deemed to be ‘well progressed’ in terms of their recovery, which included clients:</w:t>
      </w:r>
    </w:p>
    <w:p w14:paraId="7FF0A1A3" w14:textId="36982F0B" w:rsidR="00410AEE" w:rsidRPr="00E52513" w:rsidRDefault="00410AEE" w:rsidP="00CF21DA">
      <w:pPr>
        <w:pStyle w:val="ListParagraph"/>
        <w:numPr>
          <w:ilvl w:val="0"/>
          <w:numId w:val="7"/>
        </w:numPr>
        <w:spacing w:after="120"/>
        <w:contextualSpacing/>
      </w:pPr>
      <w:proofErr w:type="gramStart"/>
      <w:r w:rsidRPr="00E52513">
        <w:t>who</w:t>
      </w:r>
      <w:proofErr w:type="gramEnd"/>
      <w:r w:rsidRPr="00E52513">
        <w:t xml:space="preserve"> had been engaged with the NICRS for at least 6 months (that is, at least 6 months since the incident), ideally up to 12 </w:t>
      </w:r>
      <w:r w:rsidR="00315C77" w:rsidRPr="00E52513">
        <w:t>months?</w:t>
      </w:r>
    </w:p>
    <w:p w14:paraId="4D75D7FC" w14:textId="77777777" w:rsidR="00410AEE" w:rsidRPr="00E52513" w:rsidRDefault="00410AEE" w:rsidP="00CF21DA">
      <w:pPr>
        <w:pStyle w:val="ListParagraph"/>
        <w:numPr>
          <w:ilvl w:val="0"/>
          <w:numId w:val="7"/>
        </w:numPr>
        <w:spacing w:after="120"/>
        <w:contextualSpacing/>
      </w:pPr>
      <w:r w:rsidRPr="00E52513">
        <w:t>were assessed as emotionally capable, by the CRSA through ongoing engagement with client, to reflect on the support and assistance received</w:t>
      </w:r>
    </w:p>
    <w:p w14:paraId="3CEBBC6F" w14:textId="77777777" w:rsidR="00410AEE" w:rsidRPr="00E52513" w:rsidRDefault="00410AEE" w:rsidP="00CF21DA">
      <w:pPr>
        <w:pStyle w:val="ListParagraph"/>
        <w:numPr>
          <w:ilvl w:val="0"/>
          <w:numId w:val="7"/>
        </w:numPr>
        <w:spacing w:after="240"/>
        <w:contextualSpacing/>
      </w:pPr>
      <w:proofErr w:type="gramStart"/>
      <w:r w:rsidRPr="00E52513">
        <w:t>had</w:t>
      </w:r>
      <w:proofErr w:type="gramEnd"/>
      <w:r w:rsidRPr="00E52513">
        <w:t xml:space="preserve"> previously expressed their willingness to share their story outside of the NICRS.</w:t>
      </w:r>
    </w:p>
    <w:p w14:paraId="3AA8B8A7" w14:textId="77777777" w:rsidR="00410AEE" w:rsidRPr="00E52513" w:rsidRDefault="00410AEE" w:rsidP="00410AEE">
      <w:pPr>
        <w:ind w:left="720"/>
      </w:pPr>
      <w:r w:rsidRPr="00E52513">
        <w:t>A total of 125 eligible, or appropriate, cases were identified by NICRS across the four evaluation jurisdictions as follows:</w:t>
      </w:r>
    </w:p>
    <w:p w14:paraId="75C0BFB2" w14:textId="43B6BED7" w:rsidR="00410AEE" w:rsidRPr="00E52513" w:rsidRDefault="00410AEE" w:rsidP="003A5C5C">
      <w:pPr>
        <w:pStyle w:val="Caption"/>
        <w:ind w:left="1440"/>
        <w:jc w:val="left"/>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10</w:t>
      </w:r>
      <w:r w:rsidR="00D97F39">
        <w:rPr>
          <w:noProof/>
        </w:rPr>
        <w:fldChar w:fldCharType="end"/>
      </w:r>
      <w:r w:rsidRPr="00E52513">
        <w:t>: Number of initial eligible cases for case studies</w:t>
      </w:r>
    </w:p>
    <w:tbl>
      <w:tblPr>
        <w:tblStyle w:val="MediumGrid2-Accent6"/>
        <w:tblW w:w="0" w:type="auto"/>
        <w:jc w:val="center"/>
        <w:tblLook w:val="0420" w:firstRow="1" w:lastRow="0" w:firstColumn="0" w:lastColumn="0" w:noHBand="0" w:noVBand="1"/>
        <w:tblCaption w:val="Table - number of initial eligible cases for case studies"/>
        <w:tblDescription w:val="WA - 70 eligible cases; SA - 2 eligible cases; Qld - 31 eligible cases; NT - 22 eligible cases; Total - 125"/>
      </w:tblPr>
      <w:tblGrid>
        <w:gridCol w:w="3521"/>
        <w:gridCol w:w="3522"/>
      </w:tblGrid>
      <w:tr w:rsidR="00410AEE" w:rsidRPr="00E52513" w14:paraId="1ADA79AF"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3521" w:type="dxa"/>
          </w:tcPr>
          <w:p w14:paraId="7E87187B" w14:textId="77777777" w:rsidR="00410AEE" w:rsidRPr="00E52513" w:rsidRDefault="00410AEE" w:rsidP="00F94729">
            <w:pPr>
              <w:spacing w:after="0"/>
              <w:jc w:val="center"/>
            </w:pPr>
            <w:r w:rsidRPr="00E52513">
              <w:t>Evaluation jurisdiction</w:t>
            </w:r>
          </w:p>
        </w:tc>
        <w:tc>
          <w:tcPr>
            <w:tcW w:w="3522" w:type="dxa"/>
          </w:tcPr>
          <w:p w14:paraId="1FC31A73" w14:textId="77777777" w:rsidR="00410AEE" w:rsidRPr="00E52513" w:rsidRDefault="00410AEE" w:rsidP="00F94729">
            <w:pPr>
              <w:spacing w:after="0"/>
              <w:jc w:val="center"/>
            </w:pPr>
            <w:r w:rsidRPr="00E52513">
              <w:t>Number of eligible cases</w:t>
            </w:r>
          </w:p>
        </w:tc>
      </w:tr>
      <w:tr w:rsidR="00410AEE" w:rsidRPr="00E52513" w14:paraId="602D0BF8"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3521" w:type="dxa"/>
          </w:tcPr>
          <w:p w14:paraId="4A7AE220" w14:textId="77777777" w:rsidR="00410AEE" w:rsidRPr="00E52513" w:rsidRDefault="00410AEE" w:rsidP="00F94729">
            <w:pPr>
              <w:spacing w:after="0"/>
              <w:jc w:val="center"/>
            </w:pPr>
            <w:r w:rsidRPr="00E52513">
              <w:t>WA</w:t>
            </w:r>
          </w:p>
        </w:tc>
        <w:tc>
          <w:tcPr>
            <w:tcW w:w="3522" w:type="dxa"/>
          </w:tcPr>
          <w:p w14:paraId="6741BE43" w14:textId="77777777" w:rsidR="00410AEE" w:rsidRPr="00E52513" w:rsidRDefault="00410AEE" w:rsidP="00F94729">
            <w:pPr>
              <w:spacing w:after="0"/>
              <w:jc w:val="center"/>
            </w:pPr>
            <w:r w:rsidRPr="00E52513">
              <w:t>70</w:t>
            </w:r>
          </w:p>
        </w:tc>
      </w:tr>
      <w:tr w:rsidR="00410AEE" w:rsidRPr="00E52513" w14:paraId="495D09F2" w14:textId="77777777" w:rsidTr="00673EB6">
        <w:trPr>
          <w:jc w:val="center"/>
        </w:trPr>
        <w:tc>
          <w:tcPr>
            <w:tcW w:w="3521" w:type="dxa"/>
          </w:tcPr>
          <w:p w14:paraId="3B311E0F" w14:textId="77777777" w:rsidR="00410AEE" w:rsidRPr="00E52513" w:rsidRDefault="00410AEE" w:rsidP="00F94729">
            <w:pPr>
              <w:spacing w:after="0"/>
              <w:jc w:val="center"/>
            </w:pPr>
            <w:r w:rsidRPr="00E52513">
              <w:t>SA</w:t>
            </w:r>
          </w:p>
        </w:tc>
        <w:tc>
          <w:tcPr>
            <w:tcW w:w="3522" w:type="dxa"/>
          </w:tcPr>
          <w:p w14:paraId="665AEDAE" w14:textId="77777777" w:rsidR="00410AEE" w:rsidRPr="00E52513" w:rsidRDefault="00410AEE" w:rsidP="00F94729">
            <w:pPr>
              <w:spacing w:after="0"/>
              <w:jc w:val="center"/>
            </w:pPr>
            <w:r w:rsidRPr="00E52513">
              <w:t>2</w:t>
            </w:r>
          </w:p>
        </w:tc>
      </w:tr>
      <w:tr w:rsidR="00410AEE" w:rsidRPr="00E52513" w14:paraId="35EFCC66"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3521" w:type="dxa"/>
          </w:tcPr>
          <w:p w14:paraId="11536BAC" w14:textId="77777777" w:rsidR="00410AEE" w:rsidRPr="00E52513" w:rsidRDefault="00410AEE" w:rsidP="00F94729">
            <w:pPr>
              <w:spacing w:after="0"/>
              <w:jc w:val="center"/>
            </w:pPr>
            <w:r w:rsidRPr="00E52513">
              <w:t>QLD</w:t>
            </w:r>
          </w:p>
        </w:tc>
        <w:tc>
          <w:tcPr>
            <w:tcW w:w="3522" w:type="dxa"/>
          </w:tcPr>
          <w:p w14:paraId="48566865" w14:textId="77777777" w:rsidR="00410AEE" w:rsidRPr="00E52513" w:rsidRDefault="00410AEE" w:rsidP="00F94729">
            <w:pPr>
              <w:spacing w:after="0"/>
              <w:jc w:val="center"/>
            </w:pPr>
            <w:r w:rsidRPr="00E52513">
              <w:t>31</w:t>
            </w:r>
          </w:p>
        </w:tc>
      </w:tr>
      <w:tr w:rsidR="00410AEE" w:rsidRPr="00E52513" w14:paraId="6BCB378B" w14:textId="77777777" w:rsidTr="00673EB6">
        <w:trPr>
          <w:jc w:val="center"/>
        </w:trPr>
        <w:tc>
          <w:tcPr>
            <w:tcW w:w="3521" w:type="dxa"/>
          </w:tcPr>
          <w:p w14:paraId="4B813980" w14:textId="77777777" w:rsidR="00410AEE" w:rsidRPr="00E52513" w:rsidRDefault="00410AEE" w:rsidP="00F94729">
            <w:pPr>
              <w:spacing w:after="0"/>
              <w:jc w:val="center"/>
            </w:pPr>
            <w:r w:rsidRPr="00E52513">
              <w:t>NT</w:t>
            </w:r>
          </w:p>
        </w:tc>
        <w:tc>
          <w:tcPr>
            <w:tcW w:w="3522" w:type="dxa"/>
          </w:tcPr>
          <w:p w14:paraId="3787B22D" w14:textId="77777777" w:rsidR="00410AEE" w:rsidRPr="00E52513" w:rsidRDefault="00410AEE" w:rsidP="00F94729">
            <w:pPr>
              <w:spacing w:after="0"/>
              <w:jc w:val="center"/>
            </w:pPr>
            <w:r w:rsidRPr="00E52513">
              <w:t>22</w:t>
            </w:r>
          </w:p>
        </w:tc>
      </w:tr>
      <w:tr w:rsidR="00410AEE" w:rsidRPr="00E52513" w14:paraId="361689D2"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3521" w:type="dxa"/>
          </w:tcPr>
          <w:p w14:paraId="6E1ECF79" w14:textId="77777777" w:rsidR="00410AEE" w:rsidRPr="00E52513" w:rsidRDefault="00410AEE" w:rsidP="00F94729">
            <w:pPr>
              <w:spacing w:after="0"/>
              <w:jc w:val="center"/>
              <w:rPr>
                <w:b/>
              </w:rPr>
            </w:pPr>
            <w:r w:rsidRPr="00E52513">
              <w:rPr>
                <w:b/>
              </w:rPr>
              <w:t>Total</w:t>
            </w:r>
          </w:p>
        </w:tc>
        <w:tc>
          <w:tcPr>
            <w:tcW w:w="3522" w:type="dxa"/>
          </w:tcPr>
          <w:p w14:paraId="2F0A3817" w14:textId="77777777" w:rsidR="00410AEE" w:rsidRPr="00E52513" w:rsidRDefault="00410AEE" w:rsidP="00F94729">
            <w:pPr>
              <w:spacing w:after="0"/>
              <w:jc w:val="center"/>
              <w:rPr>
                <w:b/>
              </w:rPr>
            </w:pPr>
            <w:r w:rsidRPr="00E52513">
              <w:rPr>
                <w:b/>
              </w:rPr>
              <w:fldChar w:fldCharType="begin"/>
            </w:r>
            <w:r w:rsidRPr="00E52513">
              <w:rPr>
                <w:b/>
              </w:rPr>
              <w:instrText xml:space="preserve"> =SUM(ABOVE) </w:instrText>
            </w:r>
            <w:r w:rsidRPr="00E52513">
              <w:rPr>
                <w:b/>
              </w:rPr>
              <w:fldChar w:fldCharType="separate"/>
            </w:r>
            <w:r w:rsidRPr="00E52513">
              <w:rPr>
                <w:b/>
                <w:noProof/>
              </w:rPr>
              <w:t>125</w:t>
            </w:r>
            <w:r w:rsidRPr="00E52513">
              <w:rPr>
                <w:b/>
              </w:rPr>
              <w:fldChar w:fldCharType="end"/>
            </w:r>
          </w:p>
        </w:tc>
      </w:tr>
    </w:tbl>
    <w:p w14:paraId="19B2115C" w14:textId="77777777" w:rsidR="00410AEE" w:rsidRPr="00E52513" w:rsidRDefault="00410AEE" w:rsidP="00410AEE">
      <w:pPr>
        <w:ind w:left="720"/>
      </w:pPr>
    </w:p>
    <w:p w14:paraId="5F50C89E" w14:textId="77777777" w:rsidR="00410AEE" w:rsidRPr="00E52513" w:rsidRDefault="00410AEE" w:rsidP="00CF21DA">
      <w:pPr>
        <w:pStyle w:val="ListParagraph"/>
        <w:numPr>
          <w:ilvl w:val="0"/>
          <w:numId w:val="6"/>
        </w:numPr>
        <w:tabs>
          <w:tab w:val="clear" w:pos="284"/>
        </w:tabs>
        <w:spacing w:before="0"/>
        <w:rPr>
          <w:rFonts w:cs="Calibri"/>
        </w:rPr>
      </w:pPr>
      <w:r w:rsidRPr="00E52513">
        <w:rPr>
          <w:rFonts w:cs="Calibri"/>
        </w:rPr>
        <w:t>This list was provided to the evaluation team (with case ID number, incident geographic location type, client age and gender and residential postcode details only) to undertake a stratified (by geographic location and state) random sampling and select up to 24 case studies. The evaluation team used randomly generated numbers to select initial case ID numbers. To maximise efficiency of the data collection process, two or three additional cases were selected in the same or nearby residential postcodes using a judgement sampling technique. Criteria used in the judgement process, primarily to ensure diversity in the case population, included gender and age.</w:t>
      </w:r>
    </w:p>
    <w:p w14:paraId="392D3934" w14:textId="1D4FC0C3" w:rsidR="00410AEE" w:rsidRPr="00E52513" w:rsidRDefault="00410AEE" w:rsidP="00CF21DA">
      <w:pPr>
        <w:pStyle w:val="ListParagraph"/>
        <w:numPr>
          <w:ilvl w:val="0"/>
          <w:numId w:val="6"/>
        </w:numPr>
        <w:tabs>
          <w:tab w:val="clear" w:pos="284"/>
        </w:tabs>
        <w:spacing w:before="0"/>
        <w:ind w:left="714" w:hanging="357"/>
        <w:rPr>
          <w:rFonts w:cs="Calibri"/>
        </w:rPr>
      </w:pPr>
      <w:r w:rsidRPr="00E52513">
        <w:rPr>
          <w:rFonts w:cs="Calibri"/>
        </w:rPr>
        <w:t xml:space="preserve">Identified clients were then confirmed with </w:t>
      </w:r>
      <w:proofErr w:type="spellStart"/>
      <w:r w:rsidRPr="00E52513">
        <w:rPr>
          <w:rFonts w:cs="Calibri"/>
        </w:rPr>
        <w:t>Thirrili</w:t>
      </w:r>
      <w:proofErr w:type="spellEnd"/>
      <w:r w:rsidRPr="00E52513">
        <w:rPr>
          <w:rFonts w:cs="Calibri"/>
        </w:rPr>
        <w:t xml:space="preserve"> to be emotionally stable and able to participate and then the relevant CRSA was contacted to assist with the client contact and provide information to facilitate the interview process.</w:t>
      </w:r>
    </w:p>
    <w:p w14:paraId="16F857A2" w14:textId="77777777" w:rsidR="00410AEE" w:rsidRPr="00E52513" w:rsidRDefault="00410AEE" w:rsidP="00410AEE">
      <w:r w:rsidRPr="00E52513">
        <w:lastRenderedPageBreak/>
        <w:t>This method of case study recruitment attempted to find a balance between minimising on the one hand the risk of re-traumatising clients and on the other hand the risk of bias in case study selection. The case study sample population numbers are noted in Table 6 by jurisdiction:</w:t>
      </w:r>
    </w:p>
    <w:p w14:paraId="42E37AC2" w14:textId="26DDB999" w:rsidR="00410AEE" w:rsidRPr="00E52513" w:rsidRDefault="00410AEE" w:rsidP="00FB39AD">
      <w:pPr>
        <w:pStyle w:val="Caption"/>
        <w:keepNext/>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11</w:t>
      </w:r>
      <w:r w:rsidR="00D97F39">
        <w:rPr>
          <w:noProof/>
        </w:rPr>
        <w:fldChar w:fldCharType="end"/>
      </w:r>
      <w:r w:rsidRPr="00E52513">
        <w:t>: Number of cases selected through sampling method</w:t>
      </w:r>
    </w:p>
    <w:tbl>
      <w:tblPr>
        <w:tblStyle w:val="MediumGrid2-Accent6"/>
        <w:tblW w:w="0" w:type="auto"/>
        <w:jc w:val="center"/>
        <w:tblLook w:val="0420" w:firstRow="1" w:lastRow="0" w:firstColumn="0" w:lastColumn="0" w:noHBand="0" w:noVBand="1"/>
        <w:tblCaption w:val="Table - number of cases selected through sampling method"/>
        <w:tblDescription w:val="WA - 5 clients interviewed; SA - 0 clients interviewed; Qld - 8 clients interviewed; NT - 5 clients interviewed"/>
      </w:tblPr>
      <w:tblGrid>
        <w:gridCol w:w="2646"/>
        <w:gridCol w:w="3476"/>
      </w:tblGrid>
      <w:tr w:rsidR="00510A0A" w:rsidRPr="00E52513" w14:paraId="5EDDB72E"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2646" w:type="dxa"/>
          </w:tcPr>
          <w:p w14:paraId="2BE94E94" w14:textId="77777777" w:rsidR="00510A0A" w:rsidRPr="00E52513" w:rsidRDefault="00510A0A" w:rsidP="00673EB6">
            <w:pPr>
              <w:spacing w:after="0"/>
              <w:jc w:val="center"/>
            </w:pPr>
            <w:r w:rsidRPr="00E52513">
              <w:t>Evaluation jurisdiction</w:t>
            </w:r>
          </w:p>
        </w:tc>
        <w:tc>
          <w:tcPr>
            <w:tcW w:w="3476" w:type="dxa"/>
          </w:tcPr>
          <w:p w14:paraId="101709C0" w14:textId="013716D7" w:rsidR="00510A0A" w:rsidRPr="00E52513" w:rsidRDefault="00510A0A" w:rsidP="00673EB6">
            <w:pPr>
              <w:spacing w:after="0"/>
              <w:jc w:val="center"/>
            </w:pPr>
            <w:r w:rsidRPr="00E52513">
              <w:t>Number of clients interviewed</w:t>
            </w:r>
          </w:p>
        </w:tc>
      </w:tr>
      <w:tr w:rsidR="00510A0A" w:rsidRPr="00E52513" w14:paraId="3019BD3C"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2646" w:type="dxa"/>
          </w:tcPr>
          <w:p w14:paraId="7AC954E5" w14:textId="77777777" w:rsidR="00510A0A" w:rsidRPr="00E52513" w:rsidRDefault="00510A0A" w:rsidP="00673EB6">
            <w:pPr>
              <w:spacing w:after="0"/>
              <w:jc w:val="center"/>
            </w:pPr>
            <w:r w:rsidRPr="00E52513">
              <w:t>WA</w:t>
            </w:r>
          </w:p>
        </w:tc>
        <w:tc>
          <w:tcPr>
            <w:tcW w:w="3476" w:type="dxa"/>
          </w:tcPr>
          <w:p w14:paraId="38E7CFC0" w14:textId="43BEDAE3" w:rsidR="00510A0A" w:rsidRPr="00E52513" w:rsidRDefault="00510A0A" w:rsidP="00673EB6">
            <w:pPr>
              <w:spacing w:after="0"/>
              <w:jc w:val="center"/>
            </w:pPr>
            <w:r w:rsidRPr="00E52513">
              <w:t>5</w:t>
            </w:r>
          </w:p>
        </w:tc>
      </w:tr>
      <w:tr w:rsidR="00510A0A" w:rsidRPr="00E52513" w14:paraId="2E7438E3" w14:textId="77777777" w:rsidTr="00673EB6">
        <w:trPr>
          <w:jc w:val="center"/>
        </w:trPr>
        <w:tc>
          <w:tcPr>
            <w:tcW w:w="2646" w:type="dxa"/>
          </w:tcPr>
          <w:p w14:paraId="667D8162" w14:textId="77777777" w:rsidR="00510A0A" w:rsidRPr="00E52513" w:rsidRDefault="00510A0A" w:rsidP="00673EB6">
            <w:pPr>
              <w:spacing w:after="0"/>
              <w:jc w:val="center"/>
            </w:pPr>
            <w:r w:rsidRPr="00E52513">
              <w:t>SA</w:t>
            </w:r>
          </w:p>
        </w:tc>
        <w:tc>
          <w:tcPr>
            <w:tcW w:w="3476" w:type="dxa"/>
          </w:tcPr>
          <w:p w14:paraId="6DB406C2" w14:textId="77777777" w:rsidR="00510A0A" w:rsidRPr="00E52513" w:rsidRDefault="00510A0A" w:rsidP="00673EB6">
            <w:pPr>
              <w:spacing w:after="0"/>
              <w:jc w:val="center"/>
            </w:pPr>
            <w:r w:rsidRPr="00E52513">
              <w:t>-</w:t>
            </w:r>
          </w:p>
        </w:tc>
      </w:tr>
      <w:tr w:rsidR="00510A0A" w:rsidRPr="00E52513" w14:paraId="61F7F0A7"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2646" w:type="dxa"/>
          </w:tcPr>
          <w:p w14:paraId="3BB73268" w14:textId="77777777" w:rsidR="00510A0A" w:rsidRPr="00E52513" w:rsidRDefault="00510A0A" w:rsidP="00673EB6">
            <w:pPr>
              <w:spacing w:after="0"/>
              <w:jc w:val="center"/>
            </w:pPr>
            <w:r w:rsidRPr="00E52513">
              <w:t>QLD</w:t>
            </w:r>
          </w:p>
        </w:tc>
        <w:tc>
          <w:tcPr>
            <w:tcW w:w="3476" w:type="dxa"/>
          </w:tcPr>
          <w:p w14:paraId="1FAA43CE" w14:textId="29DACA3B" w:rsidR="00510A0A" w:rsidRPr="00E52513" w:rsidRDefault="00510A0A" w:rsidP="00673EB6">
            <w:pPr>
              <w:spacing w:after="0"/>
              <w:jc w:val="center"/>
            </w:pPr>
            <w:r w:rsidRPr="00E52513">
              <w:t>8</w:t>
            </w:r>
          </w:p>
        </w:tc>
      </w:tr>
      <w:tr w:rsidR="00510A0A" w:rsidRPr="00E52513" w14:paraId="362E4B0B" w14:textId="77777777" w:rsidTr="00673EB6">
        <w:trPr>
          <w:jc w:val="center"/>
        </w:trPr>
        <w:tc>
          <w:tcPr>
            <w:tcW w:w="2646" w:type="dxa"/>
          </w:tcPr>
          <w:p w14:paraId="7FD8270F" w14:textId="77777777" w:rsidR="00510A0A" w:rsidRPr="00E52513" w:rsidRDefault="00510A0A" w:rsidP="00673EB6">
            <w:pPr>
              <w:spacing w:after="0"/>
              <w:jc w:val="center"/>
            </w:pPr>
            <w:r w:rsidRPr="00E52513">
              <w:t>NT</w:t>
            </w:r>
          </w:p>
        </w:tc>
        <w:tc>
          <w:tcPr>
            <w:tcW w:w="3476" w:type="dxa"/>
          </w:tcPr>
          <w:p w14:paraId="3E71FE1C" w14:textId="2DA41883" w:rsidR="00510A0A" w:rsidRPr="00E52513" w:rsidRDefault="00510A0A" w:rsidP="00673EB6">
            <w:pPr>
              <w:spacing w:after="0"/>
              <w:jc w:val="center"/>
            </w:pPr>
            <w:r w:rsidRPr="00E52513">
              <w:t>5</w:t>
            </w:r>
          </w:p>
        </w:tc>
      </w:tr>
      <w:tr w:rsidR="00510A0A" w:rsidRPr="00E52513" w14:paraId="20963AD5" w14:textId="77777777" w:rsidTr="00673EB6">
        <w:trPr>
          <w:cnfStyle w:val="000000100000" w:firstRow="0" w:lastRow="0" w:firstColumn="0" w:lastColumn="0" w:oddVBand="0" w:evenVBand="0" w:oddHBand="1" w:evenHBand="0" w:firstRowFirstColumn="0" w:firstRowLastColumn="0" w:lastRowFirstColumn="0" w:lastRowLastColumn="0"/>
          <w:jc w:val="center"/>
        </w:trPr>
        <w:tc>
          <w:tcPr>
            <w:tcW w:w="2646" w:type="dxa"/>
          </w:tcPr>
          <w:p w14:paraId="2901BACA" w14:textId="77777777" w:rsidR="00510A0A" w:rsidRPr="00E52513" w:rsidRDefault="00510A0A" w:rsidP="00673EB6">
            <w:pPr>
              <w:spacing w:after="0"/>
              <w:jc w:val="center"/>
              <w:rPr>
                <w:b/>
              </w:rPr>
            </w:pPr>
            <w:r w:rsidRPr="00E52513">
              <w:rPr>
                <w:b/>
              </w:rPr>
              <w:t>Total</w:t>
            </w:r>
          </w:p>
        </w:tc>
        <w:tc>
          <w:tcPr>
            <w:tcW w:w="3476" w:type="dxa"/>
          </w:tcPr>
          <w:p w14:paraId="1EE70ACE" w14:textId="15C31432" w:rsidR="00510A0A" w:rsidRPr="00E52513" w:rsidRDefault="00510A0A" w:rsidP="00673EB6">
            <w:pPr>
              <w:spacing w:after="0"/>
              <w:jc w:val="center"/>
              <w:rPr>
                <w:b/>
              </w:rPr>
            </w:pPr>
            <w:r w:rsidRPr="00E52513">
              <w:rPr>
                <w:b/>
              </w:rPr>
              <w:t>18</w:t>
            </w:r>
          </w:p>
        </w:tc>
      </w:tr>
    </w:tbl>
    <w:p w14:paraId="3E5BC77C" w14:textId="77777777" w:rsidR="00410AEE" w:rsidRPr="00E52513" w:rsidRDefault="00410AEE" w:rsidP="00410AEE"/>
    <w:p w14:paraId="6200AC2C" w14:textId="77777777" w:rsidR="00410AEE" w:rsidRPr="002A580E" w:rsidRDefault="00410AEE" w:rsidP="002A580E">
      <w:pPr>
        <w:pStyle w:val="app7h3"/>
        <w:rPr>
          <w:rStyle w:val="Strong"/>
          <w:b w:val="0"/>
        </w:rPr>
      </w:pPr>
      <w:bookmarkStart w:id="135" w:name="_Toc35966371"/>
      <w:r w:rsidRPr="002A580E">
        <w:rPr>
          <w:rStyle w:val="Strong"/>
          <w:b w:val="0"/>
        </w:rPr>
        <w:t>Interviews with individuals and families supported by NICRS</w:t>
      </w:r>
      <w:bookmarkEnd w:id="135"/>
    </w:p>
    <w:p w14:paraId="498B5C5B" w14:textId="77777777" w:rsidR="00510A0A" w:rsidRPr="00E52513" w:rsidRDefault="00410AEE" w:rsidP="00410AEE">
      <w:r w:rsidRPr="00E52513">
        <w:t>A</w:t>
      </w:r>
      <w:r w:rsidR="00510A0A" w:rsidRPr="00E52513">
        <w:t xml:space="preserve"> total of 18</w:t>
      </w:r>
      <w:r w:rsidRPr="00E52513">
        <w:t xml:space="preserve"> client interviews </w:t>
      </w:r>
      <w:r w:rsidR="00510A0A" w:rsidRPr="00E52513">
        <w:t>were undertaken across three states and territories</w:t>
      </w:r>
      <w:r w:rsidRPr="00E52513">
        <w:t xml:space="preserve">. </w:t>
      </w:r>
      <w:r w:rsidR="00510A0A" w:rsidRPr="00E52513">
        <w:t>Due to the small sample size, difficulty contacting and remoteness of eligible clients in SA, interviews with clients were not pursued in this state.</w:t>
      </w:r>
    </w:p>
    <w:p w14:paraId="1CAA651E" w14:textId="0262E35B" w:rsidR="00410AEE" w:rsidRPr="00E52513" w:rsidRDefault="00410AEE" w:rsidP="00410AEE">
      <w:r w:rsidRPr="00E52513">
        <w:t>Client interview subjects tended to be the immediate family of the person who died through suicide or affected by other trauma but also included other extended family members if they were particularly close (for instance a close cousin</w:t>
      </w:r>
      <w:r w:rsidRPr="00E52513">
        <w:rPr>
          <w:rStyle w:val="FootnoteReference"/>
          <w:rFonts w:ascii="Calibri" w:eastAsiaTheme="majorEastAsia" w:hAnsi="Calibri"/>
          <w:szCs w:val="22"/>
        </w:rPr>
        <w:footnoteReference w:id="30"/>
      </w:r>
      <w:r w:rsidRPr="00E52513">
        <w:t>). Interviews with clients/families were the most sensitive and accordingly were afforded a special protocol (see Evaluation Plan; HCA, 2019).</w:t>
      </w:r>
    </w:p>
    <w:p w14:paraId="4FF5DFED" w14:textId="402A7923" w:rsidR="00410AEE" w:rsidRPr="00E52513" w:rsidRDefault="00410AEE" w:rsidP="00410AEE">
      <w:r w:rsidRPr="00E52513">
        <w:t xml:space="preserve">The evaluators approached each case through the CRSA most relevant to each selected case </w:t>
      </w:r>
      <w:r w:rsidR="0004737F" w:rsidRPr="00E52513">
        <w:t>that</w:t>
      </w:r>
      <w:r w:rsidRPr="00E52513">
        <w:t xml:space="preserve"> provided relevant background information about the client/family including the nature and course of the response, the service providers involved and the current situation of the family. The CRSA also advised on how to approach the family, whether an interpreter was required, </w:t>
      </w:r>
      <w:proofErr w:type="gramStart"/>
      <w:r w:rsidRPr="00E52513">
        <w:t>the</w:t>
      </w:r>
      <w:proofErr w:type="gramEnd"/>
      <w:r w:rsidRPr="00E52513">
        <w:t xml:space="preserve"> length of time NICRS had been supporting the family, and where appropriate, introduced the evaluators.</w:t>
      </w:r>
    </w:p>
    <w:p w14:paraId="269C717F" w14:textId="10A55BB8" w:rsidR="00410AEE" w:rsidRPr="00E52513" w:rsidRDefault="00410AEE" w:rsidP="00410AEE">
      <w:r w:rsidRPr="00E52513">
        <w:t xml:space="preserve">A semi-structured interview was conducted to seek clients’ views on how the NICRS had helped support the client’s practical needs and facilitated access to other services. Interviews were conducted face to face and arranged at a location nominated by the client to ensure they felt comfortable and safe. A schedule was used to </w:t>
      </w:r>
      <w:r w:rsidR="00214058" w:rsidRPr="00E52513">
        <w:t xml:space="preserve">guide the interviews </w:t>
      </w:r>
      <w:r w:rsidRPr="00E52513">
        <w:t>and permission sought to both record the interviews and take written notes.</w:t>
      </w:r>
    </w:p>
    <w:p w14:paraId="5ABAEC47" w14:textId="309A534C" w:rsidR="00410AEE" w:rsidRPr="002A580E" w:rsidRDefault="00410AEE" w:rsidP="002A580E">
      <w:pPr>
        <w:pStyle w:val="app7h3"/>
        <w:rPr>
          <w:rStyle w:val="Strong"/>
          <w:b w:val="0"/>
        </w:rPr>
      </w:pPr>
      <w:bookmarkStart w:id="136" w:name="_Toc35966372"/>
      <w:r w:rsidRPr="002A580E">
        <w:rPr>
          <w:rStyle w:val="Strong"/>
          <w:b w:val="0"/>
        </w:rPr>
        <w:t>Interviews with CRSAs</w:t>
      </w:r>
      <w:bookmarkEnd w:id="136"/>
      <w:r w:rsidR="00214058" w:rsidRPr="002A580E">
        <w:rPr>
          <w:rStyle w:val="Strong"/>
          <w:b w:val="0"/>
        </w:rPr>
        <w:t xml:space="preserve"> and </w:t>
      </w:r>
      <w:proofErr w:type="spellStart"/>
      <w:r w:rsidR="00214058" w:rsidRPr="002A580E">
        <w:rPr>
          <w:rStyle w:val="Strong"/>
          <w:b w:val="0"/>
        </w:rPr>
        <w:t>Thirrili</w:t>
      </w:r>
      <w:proofErr w:type="spellEnd"/>
      <w:r w:rsidR="00214058" w:rsidRPr="002A580E">
        <w:rPr>
          <w:rStyle w:val="Strong"/>
          <w:b w:val="0"/>
        </w:rPr>
        <w:t xml:space="preserve"> staff</w:t>
      </w:r>
    </w:p>
    <w:p w14:paraId="4FA210B6" w14:textId="4C8B0CCC" w:rsidR="003B61B8" w:rsidRPr="00E52513" w:rsidRDefault="00214058" w:rsidP="00214058">
      <w:r w:rsidRPr="00E52513">
        <w:t xml:space="preserve">A total of 14 interviews were conducted </w:t>
      </w:r>
      <w:r w:rsidR="004E191A" w:rsidRPr="00E52513">
        <w:t xml:space="preserve">CRSAs, Coordinators, Board members and </w:t>
      </w:r>
      <w:proofErr w:type="spellStart"/>
      <w:r w:rsidR="004E191A" w:rsidRPr="00E52513">
        <w:t>Thirrili</w:t>
      </w:r>
      <w:proofErr w:type="spellEnd"/>
      <w:r w:rsidR="004E191A" w:rsidRPr="00E52513">
        <w:t xml:space="preserve"> staff including the CEO. An overview of the number of </w:t>
      </w:r>
      <w:r w:rsidR="004C6A0B" w:rsidRPr="00E52513">
        <w:t>interviews</w:t>
      </w:r>
      <w:r w:rsidR="004E191A" w:rsidRPr="00E52513">
        <w:t xml:space="preserve"> by staffing category are provided in the table below.</w:t>
      </w:r>
    </w:p>
    <w:p w14:paraId="5E9C2122" w14:textId="33BB7D30" w:rsidR="004E191A" w:rsidRPr="00E52513" w:rsidRDefault="004E191A" w:rsidP="004E191A">
      <w:pPr>
        <w:pStyle w:val="Caption"/>
        <w:keepNext/>
      </w:pPr>
      <w:r w:rsidRPr="00E52513">
        <w:lastRenderedPageBreak/>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12</w:t>
      </w:r>
      <w:r w:rsidR="00D97F39">
        <w:rPr>
          <w:noProof/>
        </w:rPr>
        <w:fldChar w:fldCharType="end"/>
      </w:r>
      <w:r w:rsidRPr="00E52513">
        <w:t xml:space="preserve">: Number of interviews with </w:t>
      </w:r>
      <w:proofErr w:type="spellStart"/>
      <w:r w:rsidRPr="00E52513">
        <w:t>Thirrili</w:t>
      </w:r>
      <w:proofErr w:type="spellEnd"/>
      <w:r w:rsidRPr="00E52513">
        <w:t xml:space="preserve"> and NICRS staff</w:t>
      </w:r>
    </w:p>
    <w:tbl>
      <w:tblPr>
        <w:tblStyle w:val="MediumGrid2-Accent6"/>
        <w:tblW w:w="0" w:type="auto"/>
        <w:jc w:val="center"/>
        <w:tblLook w:val="0620" w:firstRow="1" w:lastRow="0" w:firstColumn="0" w:lastColumn="0" w:noHBand="1" w:noVBand="1"/>
        <w:tblCaption w:val="Table 12: Number of interviews with Thirrili and NICRS staff"/>
      </w:tblPr>
      <w:tblGrid>
        <w:gridCol w:w="6166"/>
        <w:gridCol w:w="1648"/>
      </w:tblGrid>
      <w:tr w:rsidR="00214058" w:rsidRPr="00E52513" w14:paraId="01B05633"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6166" w:type="dxa"/>
          </w:tcPr>
          <w:p w14:paraId="44DC4E91" w14:textId="64E781EC" w:rsidR="00214058" w:rsidRPr="00E52513" w:rsidRDefault="00214058" w:rsidP="003B61B8">
            <w:pPr>
              <w:spacing w:after="0"/>
              <w:rPr>
                <w:rStyle w:val="Strong"/>
                <w:b/>
                <w:bCs/>
              </w:rPr>
            </w:pPr>
            <w:r w:rsidRPr="00E52513">
              <w:rPr>
                <w:rStyle w:val="Strong"/>
                <w:b/>
                <w:bCs/>
              </w:rPr>
              <w:t>Stakeholder</w:t>
            </w:r>
          </w:p>
        </w:tc>
        <w:tc>
          <w:tcPr>
            <w:tcW w:w="1648" w:type="dxa"/>
          </w:tcPr>
          <w:p w14:paraId="52BEEDA9" w14:textId="207018B3" w:rsidR="00214058" w:rsidRPr="00E52513" w:rsidRDefault="00214058" w:rsidP="003B61B8">
            <w:pPr>
              <w:spacing w:after="0"/>
              <w:jc w:val="center"/>
              <w:rPr>
                <w:rStyle w:val="Strong"/>
                <w:b/>
                <w:bCs/>
              </w:rPr>
            </w:pPr>
            <w:r w:rsidRPr="00E52513">
              <w:rPr>
                <w:rStyle w:val="Strong"/>
                <w:b/>
                <w:bCs/>
              </w:rPr>
              <w:t>Number</w:t>
            </w:r>
          </w:p>
        </w:tc>
      </w:tr>
      <w:tr w:rsidR="00214058" w:rsidRPr="00E52513" w14:paraId="03FF9B3C" w14:textId="77777777" w:rsidTr="00673EB6">
        <w:trPr>
          <w:jc w:val="center"/>
        </w:trPr>
        <w:tc>
          <w:tcPr>
            <w:tcW w:w="6166" w:type="dxa"/>
          </w:tcPr>
          <w:p w14:paraId="556FB20E" w14:textId="33F85E84" w:rsidR="00214058" w:rsidRPr="00E52513" w:rsidRDefault="00214058" w:rsidP="003B61B8">
            <w:pPr>
              <w:spacing w:after="0"/>
              <w:rPr>
                <w:rStyle w:val="Strong"/>
                <w:b w:val="0"/>
                <w:bCs w:val="0"/>
              </w:rPr>
            </w:pPr>
            <w:r w:rsidRPr="00E52513">
              <w:rPr>
                <w:rStyle w:val="Strong"/>
                <w:b w:val="0"/>
                <w:bCs w:val="0"/>
              </w:rPr>
              <w:t>CRSAs (including two former employees) – WA, NT and QLD</w:t>
            </w:r>
          </w:p>
        </w:tc>
        <w:tc>
          <w:tcPr>
            <w:tcW w:w="1648" w:type="dxa"/>
          </w:tcPr>
          <w:p w14:paraId="390EB341" w14:textId="283BD0A8" w:rsidR="00214058" w:rsidRPr="00E52513" w:rsidRDefault="00214058" w:rsidP="003B61B8">
            <w:pPr>
              <w:spacing w:after="0"/>
              <w:jc w:val="center"/>
              <w:rPr>
                <w:rStyle w:val="Strong"/>
                <w:b w:val="0"/>
                <w:bCs w:val="0"/>
              </w:rPr>
            </w:pPr>
            <w:r w:rsidRPr="00E52513">
              <w:rPr>
                <w:rStyle w:val="Strong"/>
                <w:b w:val="0"/>
                <w:bCs w:val="0"/>
              </w:rPr>
              <w:t>9</w:t>
            </w:r>
          </w:p>
        </w:tc>
      </w:tr>
      <w:tr w:rsidR="00214058" w:rsidRPr="00E52513" w14:paraId="422BED3A" w14:textId="77777777" w:rsidTr="00673EB6">
        <w:trPr>
          <w:jc w:val="center"/>
        </w:trPr>
        <w:tc>
          <w:tcPr>
            <w:tcW w:w="6166" w:type="dxa"/>
          </w:tcPr>
          <w:p w14:paraId="4709996B" w14:textId="0F237127" w:rsidR="00214058" w:rsidRPr="00E52513" w:rsidRDefault="00214058" w:rsidP="003B61B8">
            <w:pPr>
              <w:spacing w:after="0"/>
              <w:rPr>
                <w:rStyle w:val="Strong"/>
                <w:b w:val="0"/>
                <w:bCs w:val="0"/>
              </w:rPr>
            </w:pPr>
            <w:r w:rsidRPr="00E52513">
              <w:rPr>
                <w:rStyle w:val="Strong"/>
                <w:b w:val="0"/>
                <w:bCs w:val="0"/>
              </w:rPr>
              <w:t>Cultural Adviser</w:t>
            </w:r>
          </w:p>
        </w:tc>
        <w:tc>
          <w:tcPr>
            <w:tcW w:w="1648" w:type="dxa"/>
          </w:tcPr>
          <w:p w14:paraId="564F7AEE" w14:textId="5DB8AD79" w:rsidR="00214058" w:rsidRPr="00E52513" w:rsidRDefault="00214058" w:rsidP="003B61B8">
            <w:pPr>
              <w:spacing w:after="0"/>
              <w:jc w:val="center"/>
              <w:rPr>
                <w:rStyle w:val="Strong"/>
                <w:b w:val="0"/>
                <w:bCs w:val="0"/>
              </w:rPr>
            </w:pPr>
            <w:r w:rsidRPr="00E52513">
              <w:rPr>
                <w:rStyle w:val="Strong"/>
                <w:b w:val="0"/>
                <w:bCs w:val="0"/>
              </w:rPr>
              <w:t>1</w:t>
            </w:r>
          </w:p>
        </w:tc>
      </w:tr>
      <w:tr w:rsidR="00214058" w:rsidRPr="00E52513" w14:paraId="758D19C0" w14:textId="77777777" w:rsidTr="00673EB6">
        <w:trPr>
          <w:jc w:val="center"/>
        </w:trPr>
        <w:tc>
          <w:tcPr>
            <w:tcW w:w="6166" w:type="dxa"/>
          </w:tcPr>
          <w:p w14:paraId="02E73732" w14:textId="4121C23A" w:rsidR="00214058" w:rsidRPr="00E52513" w:rsidRDefault="00214058" w:rsidP="003B61B8">
            <w:pPr>
              <w:spacing w:after="0"/>
              <w:rPr>
                <w:rStyle w:val="Strong"/>
                <w:b w:val="0"/>
                <w:bCs w:val="0"/>
              </w:rPr>
            </w:pPr>
            <w:r w:rsidRPr="00E52513">
              <w:rPr>
                <w:rStyle w:val="Strong"/>
                <w:b w:val="0"/>
                <w:bCs w:val="0"/>
              </w:rPr>
              <w:t>CEO</w:t>
            </w:r>
          </w:p>
        </w:tc>
        <w:tc>
          <w:tcPr>
            <w:tcW w:w="1648" w:type="dxa"/>
          </w:tcPr>
          <w:p w14:paraId="7B3D30FB" w14:textId="4724FF11" w:rsidR="00214058" w:rsidRPr="00E52513" w:rsidRDefault="00214058" w:rsidP="003B61B8">
            <w:pPr>
              <w:spacing w:after="0"/>
              <w:jc w:val="center"/>
              <w:rPr>
                <w:rStyle w:val="Strong"/>
                <w:b w:val="0"/>
                <w:bCs w:val="0"/>
              </w:rPr>
            </w:pPr>
            <w:r w:rsidRPr="00E52513">
              <w:rPr>
                <w:rStyle w:val="Strong"/>
                <w:b w:val="0"/>
                <w:bCs w:val="0"/>
              </w:rPr>
              <w:t>1</w:t>
            </w:r>
          </w:p>
        </w:tc>
      </w:tr>
      <w:tr w:rsidR="00214058" w:rsidRPr="00E52513" w14:paraId="48B8A3E6" w14:textId="77777777" w:rsidTr="00673EB6">
        <w:trPr>
          <w:jc w:val="center"/>
        </w:trPr>
        <w:tc>
          <w:tcPr>
            <w:tcW w:w="6166" w:type="dxa"/>
          </w:tcPr>
          <w:p w14:paraId="1C86EC6A" w14:textId="6E74973A" w:rsidR="00214058" w:rsidRPr="00E52513" w:rsidRDefault="00214058" w:rsidP="003B61B8">
            <w:pPr>
              <w:spacing w:after="0"/>
              <w:rPr>
                <w:rStyle w:val="Strong"/>
                <w:b w:val="0"/>
                <w:bCs w:val="0"/>
              </w:rPr>
            </w:pPr>
            <w:r w:rsidRPr="00E52513">
              <w:rPr>
                <w:rStyle w:val="Strong"/>
                <w:b w:val="0"/>
                <w:bCs w:val="0"/>
              </w:rPr>
              <w:t>Clinical Support Officer</w:t>
            </w:r>
          </w:p>
        </w:tc>
        <w:tc>
          <w:tcPr>
            <w:tcW w:w="1648" w:type="dxa"/>
          </w:tcPr>
          <w:p w14:paraId="7F285102" w14:textId="09DA82C3" w:rsidR="00214058" w:rsidRPr="00E52513" w:rsidRDefault="00214058" w:rsidP="003B61B8">
            <w:pPr>
              <w:spacing w:after="0"/>
              <w:jc w:val="center"/>
              <w:rPr>
                <w:rStyle w:val="Strong"/>
                <w:b w:val="0"/>
                <w:bCs w:val="0"/>
              </w:rPr>
            </w:pPr>
            <w:r w:rsidRPr="00E52513">
              <w:rPr>
                <w:rStyle w:val="Strong"/>
                <w:b w:val="0"/>
                <w:bCs w:val="0"/>
              </w:rPr>
              <w:t>1</w:t>
            </w:r>
          </w:p>
        </w:tc>
      </w:tr>
      <w:tr w:rsidR="00214058" w:rsidRPr="00E52513" w14:paraId="2E8C08B1" w14:textId="77777777" w:rsidTr="00673EB6">
        <w:trPr>
          <w:jc w:val="center"/>
        </w:trPr>
        <w:tc>
          <w:tcPr>
            <w:tcW w:w="6166" w:type="dxa"/>
          </w:tcPr>
          <w:p w14:paraId="07DEDF38" w14:textId="4D364777" w:rsidR="00214058" w:rsidRPr="00E52513" w:rsidRDefault="00214058" w:rsidP="003B61B8">
            <w:pPr>
              <w:spacing w:after="0"/>
              <w:rPr>
                <w:rStyle w:val="Strong"/>
                <w:b w:val="0"/>
                <w:bCs w:val="0"/>
              </w:rPr>
            </w:pPr>
            <w:r w:rsidRPr="00E52513">
              <w:rPr>
                <w:rStyle w:val="Strong"/>
                <w:b w:val="0"/>
                <w:bCs w:val="0"/>
              </w:rPr>
              <w:t>Board Members</w:t>
            </w:r>
          </w:p>
        </w:tc>
        <w:tc>
          <w:tcPr>
            <w:tcW w:w="1648" w:type="dxa"/>
          </w:tcPr>
          <w:p w14:paraId="0C2625FD" w14:textId="36607FEA" w:rsidR="00214058" w:rsidRPr="00E52513" w:rsidRDefault="00214058" w:rsidP="003B61B8">
            <w:pPr>
              <w:spacing w:after="0"/>
              <w:jc w:val="center"/>
              <w:rPr>
                <w:rStyle w:val="Strong"/>
                <w:b w:val="0"/>
                <w:bCs w:val="0"/>
              </w:rPr>
            </w:pPr>
            <w:r w:rsidRPr="00E52513">
              <w:rPr>
                <w:rStyle w:val="Strong"/>
                <w:b w:val="0"/>
                <w:bCs w:val="0"/>
              </w:rPr>
              <w:t>2</w:t>
            </w:r>
          </w:p>
        </w:tc>
      </w:tr>
      <w:tr w:rsidR="00214058" w:rsidRPr="00E52513" w14:paraId="27B6925F" w14:textId="77777777" w:rsidTr="00673EB6">
        <w:trPr>
          <w:jc w:val="center"/>
        </w:trPr>
        <w:tc>
          <w:tcPr>
            <w:tcW w:w="6166" w:type="dxa"/>
          </w:tcPr>
          <w:p w14:paraId="3B841DC5" w14:textId="086990B4" w:rsidR="00214058" w:rsidRPr="00E52513" w:rsidRDefault="00214058" w:rsidP="003B61B8">
            <w:pPr>
              <w:spacing w:after="0"/>
              <w:jc w:val="right"/>
              <w:rPr>
                <w:rStyle w:val="Strong"/>
                <w:bCs w:val="0"/>
              </w:rPr>
            </w:pPr>
            <w:r w:rsidRPr="00E52513">
              <w:rPr>
                <w:rStyle w:val="Strong"/>
                <w:bCs w:val="0"/>
              </w:rPr>
              <w:t>Total</w:t>
            </w:r>
          </w:p>
        </w:tc>
        <w:tc>
          <w:tcPr>
            <w:tcW w:w="1648" w:type="dxa"/>
          </w:tcPr>
          <w:p w14:paraId="5676D42C" w14:textId="3EF2EC8C" w:rsidR="00214058" w:rsidRPr="00E52513" w:rsidRDefault="00214058" w:rsidP="003B61B8">
            <w:pPr>
              <w:spacing w:after="0"/>
              <w:jc w:val="center"/>
              <w:rPr>
                <w:rStyle w:val="Strong"/>
                <w:b w:val="0"/>
                <w:bCs w:val="0"/>
              </w:rPr>
            </w:pPr>
            <w:r w:rsidRPr="00E52513">
              <w:rPr>
                <w:rStyle w:val="Strong"/>
                <w:b w:val="0"/>
                <w:bCs w:val="0"/>
              </w:rPr>
              <w:fldChar w:fldCharType="begin"/>
            </w:r>
            <w:r w:rsidRPr="00E52513">
              <w:rPr>
                <w:rStyle w:val="Strong"/>
                <w:b w:val="0"/>
                <w:bCs w:val="0"/>
              </w:rPr>
              <w:instrText xml:space="preserve"> =SUM(ABOVE) </w:instrText>
            </w:r>
            <w:r w:rsidRPr="00E52513">
              <w:rPr>
                <w:rStyle w:val="Strong"/>
                <w:b w:val="0"/>
                <w:bCs w:val="0"/>
              </w:rPr>
              <w:fldChar w:fldCharType="separate"/>
            </w:r>
            <w:r w:rsidRPr="00E52513">
              <w:rPr>
                <w:rStyle w:val="Strong"/>
                <w:b w:val="0"/>
                <w:bCs w:val="0"/>
                <w:noProof/>
              </w:rPr>
              <w:t>14</w:t>
            </w:r>
            <w:r w:rsidRPr="00E52513">
              <w:rPr>
                <w:rStyle w:val="Strong"/>
                <w:b w:val="0"/>
                <w:bCs w:val="0"/>
              </w:rPr>
              <w:fldChar w:fldCharType="end"/>
            </w:r>
          </w:p>
        </w:tc>
      </w:tr>
    </w:tbl>
    <w:p w14:paraId="41A7DD19" w14:textId="0D76ECED" w:rsidR="00410AEE" w:rsidRPr="00E52513" w:rsidRDefault="00410AEE" w:rsidP="00315C77">
      <w:pPr>
        <w:spacing w:before="240"/>
      </w:pPr>
      <w:r w:rsidRPr="00E52513">
        <w:t>A significant amount of phone contact occurred with CRSAs in WA and QLD prior to the case study site visits to prepare for the visits. Whil</w:t>
      </w:r>
      <w:r w:rsidR="00E179F6" w:rsidRPr="00E52513">
        <w:t>e</w:t>
      </w:r>
      <w:r w:rsidRPr="00E52513">
        <w:t xml:space="preserve"> on site, the opportunity for both structured and more informal conversation was </w:t>
      </w:r>
      <w:r w:rsidR="004E191A" w:rsidRPr="00E52513">
        <w:t>made available</w:t>
      </w:r>
      <w:r w:rsidRPr="00E52513">
        <w:t>. During more structured and formal discussions, a set of simple questions was used as a broad guide</w:t>
      </w:r>
      <w:r w:rsidR="004E191A" w:rsidRPr="00E52513">
        <w:t xml:space="preserve"> for interviews</w:t>
      </w:r>
      <w:r w:rsidRPr="00E52513">
        <w:t>.</w:t>
      </w:r>
    </w:p>
    <w:p w14:paraId="5FD9EF2F" w14:textId="77777777" w:rsidR="00410AEE" w:rsidRPr="002A580E" w:rsidRDefault="00410AEE" w:rsidP="002A580E">
      <w:pPr>
        <w:pStyle w:val="app7h3"/>
        <w:rPr>
          <w:rStyle w:val="Strong"/>
          <w:b w:val="0"/>
        </w:rPr>
      </w:pPr>
      <w:bookmarkStart w:id="137" w:name="_Toc35966373"/>
      <w:r w:rsidRPr="002A580E">
        <w:rPr>
          <w:rStyle w:val="Strong"/>
          <w:b w:val="0"/>
        </w:rPr>
        <w:t>Stakeholder interviews</w:t>
      </w:r>
      <w:bookmarkEnd w:id="137"/>
    </w:p>
    <w:p w14:paraId="46B9B584" w14:textId="5FC2CA2E" w:rsidR="00410AEE" w:rsidRPr="00E52513" w:rsidRDefault="00410AEE" w:rsidP="00410AEE">
      <w:pPr>
        <w:ind w:left="-5"/>
      </w:pPr>
      <w:r w:rsidRPr="00E52513">
        <w:t xml:space="preserve">A total of </w:t>
      </w:r>
      <w:r w:rsidR="004E191A" w:rsidRPr="00E52513">
        <w:t>31</w:t>
      </w:r>
      <w:r w:rsidRPr="00E52513">
        <w:t xml:space="preserve"> interviews were conducted with </w:t>
      </w:r>
      <w:r w:rsidR="00315C77" w:rsidRPr="00E52513">
        <w:t>a</w:t>
      </w:r>
      <w:r w:rsidR="003B61B8" w:rsidRPr="00E52513">
        <w:t xml:space="preserve"> broad range of stakeholders based in QLD, NT, WA and Victoria. The purpose of the interviews was </w:t>
      </w:r>
      <w:r w:rsidRPr="00E52513">
        <w:t>to understand the relationships and coordination between the service and service providers and other stakeholders</w:t>
      </w:r>
      <w:r w:rsidR="003B61B8" w:rsidRPr="00E52513">
        <w:t>. The following table provides an overview of the type and number of stakeholders.</w:t>
      </w:r>
    </w:p>
    <w:p w14:paraId="0E2A8257" w14:textId="00AA52DA" w:rsidR="00101520" w:rsidRPr="00E52513" w:rsidRDefault="00101520" w:rsidP="00FB39AD">
      <w:pPr>
        <w:pStyle w:val="Caption"/>
        <w:keepNext/>
      </w:pPr>
      <w:r w:rsidRPr="00E52513">
        <w:t xml:space="preserve">Table </w:t>
      </w:r>
      <w:r w:rsidR="00D97F39">
        <w:rPr>
          <w:noProof/>
        </w:rPr>
        <w:fldChar w:fldCharType="begin"/>
      </w:r>
      <w:r w:rsidR="00D97F39">
        <w:rPr>
          <w:noProof/>
        </w:rPr>
        <w:instrText xml:space="preserve"> SEQ Table \* ARABIC </w:instrText>
      </w:r>
      <w:r w:rsidR="00D97F39">
        <w:rPr>
          <w:noProof/>
        </w:rPr>
        <w:fldChar w:fldCharType="separate"/>
      </w:r>
      <w:r w:rsidR="009A4879">
        <w:rPr>
          <w:noProof/>
        </w:rPr>
        <w:t>13</w:t>
      </w:r>
      <w:r w:rsidR="00D97F39">
        <w:rPr>
          <w:noProof/>
        </w:rPr>
        <w:fldChar w:fldCharType="end"/>
      </w:r>
      <w:r w:rsidRPr="00E52513">
        <w:t>: Number of interviews with stakeholder groups</w:t>
      </w:r>
    </w:p>
    <w:tbl>
      <w:tblPr>
        <w:tblStyle w:val="MediumGrid2-Accent6"/>
        <w:tblW w:w="0" w:type="auto"/>
        <w:jc w:val="center"/>
        <w:tblLook w:val="0620" w:firstRow="1" w:lastRow="0" w:firstColumn="0" w:lastColumn="0" w:noHBand="1" w:noVBand="1"/>
        <w:tblCaption w:val="Table 13: Number of interviews with stakeholder groups"/>
      </w:tblPr>
      <w:tblGrid>
        <w:gridCol w:w="4981"/>
        <w:gridCol w:w="2591"/>
      </w:tblGrid>
      <w:tr w:rsidR="00101520" w:rsidRPr="00E52513" w14:paraId="36FF8A72" w14:textId="77777777" w:rsidTr="00841B5E">
        <w:trPr>
          <w:cnfStyle w:val="100000000000" w:firstRow="1" w:lastRow="0" w:firstColumn="0" w:lastColumn="0" w:oddVBand="0" w:evenVBand="0" w:oddHBand="0" w:evenHBand="0" w:firstRowFirstColumn="0" w:firstRowLastColumn="0" w:lastRowFirstColumn="0" w:lastRowLastColumn="0"/>
          <w:tblHeader/>
          <w:jc w:val="center"/>
        </w:trPr>
        <w:tc>
          <w:tcPr>
            <w:tcW w:w="4981" w:type="dxa"/>
          </w:tcPr>
          <w:p w14:paraId="7FC51AA1" w14:textId="1C197495" w:rsidR="00101520" w:rsidRPr="00E52513" w:rsidRDefault="00101520" w:rsidP="003B61B8">
            <w:pPr>
              <w:spacing w:after="0"/>
              <w:jc w:val="center"/>
            </w:pPr>
            <w:r w:rsidRPr="00E52513">
              <w:t>Stakeholder type</w:t>
            </w:r>
          </w:p>
        </w:tc>
        <w:tc>
          <w:tcPr>
            <w:tcW w:w="2591" w:type="dxa"/>
          </w:tcPr>
          <w:p w14:paraId="479B9713" w14:textId="179A3606" w:rsidR="00101520" w:rsidRPr="00E52513" w:rsidRDefault="00101520" w:rsidP="003B61B8">
            <w:pPr>
              <w:spacing w:after="0"/>
              <w:jc w:val="center"/>
            </w:pPr>
            <w:r w:rsidRPr="00E52513">
              <w:t>Number of interviews</w:t>
            </w:r>
          </w:p>
        </w:tc>
      </w:tr>
      <w:tr w:rsidR="00101520" w:rsidRPr="00E52513" w14:paraId="55E9ABA7" w14:textId="77777777" w:rsidTr="00673EB6">
        <w:trPr>
          <w:jc w:val="center"/>
        </w:trPr>
        <w:tc>
          <w:tcPr>
            <w:tcW w:w="4981" w:type="dxa"/>
          </w:tcPr>
          <w:p w14:paraId="3C824830" w14:textId="77777777" w:rsidR="00101520" w:rsidRPr="00E52513" w:rsidRDefault="00101520" w:rsidP="003B61B8">
            <w:pPr>
              <w:spacing w:after="0"/>
            </w:pPr>
            <w:r w:rsidRPr="00E52513">
              <w:t>Local Aboriginal provider (including ACCHSs/AMSs, NGOs)</w:t>
            </w:r>
          </w:p>
        </w:tc>
        <w:tc>
          <w:tcPr>
            <w:tcW w:w="2591" w:type="dxa"/>
          </w:tcPr>
          <w:p w14:paraId="6D183D04" w14:textId="77777777" w:rsidR="00101520" w:rsidRPr="00E52513" w:rsidRDefault="00101520" w:rsidP="003B61B8">
            <w:pPr>
              <w:spacing w:after="0"/>
              <w:jc w:val="center"/>
            </w:pPr>
            <w:r w:rsidRPr="00E52513">
              <w:t>13</w:t>
            </w:r>
          </w:p>
        </w:tc>
      </w:tr>
      <w:tr w:rsidR="00101520" w:rsidRPr="00E52513" w14:paraId="1B59BB8E" w14:textId="77777777" w:rsidTr="00673EB6">
        <w:trPr>
          <w:jc w:val="center"/>
        </w:trPr>
        <w:tc>
          <w:tcPr>
            <w:tcW w:w="4981" w:type="dxa"/>
          </w:tcPr>
          <w:p w14:paraId="7D7E46EA" w14:textId="0E087722" w:rsidR="00101520" w:rsidRPr="00E52513" w:rsidRDefault="00101520" w:rsidP="003B61B8">
            <w:pPr>
              <w:spacing w:after="0"/>
            </w:pPr>
            <w:r w:rsidRPr="00E52513">
              <w:t>Referral service/provider (including police, governments services, counselling services)</w:t>
            </w:r>
          </w:p>
        </w:tc>
        <w:tc>
          <w:tcPr>
            <w:tcW w:w="2591" w:type="dxa"/>
          </w:tcPr>
          <w:p w14:paraId="707388F3" w14:textId="0A850153" w:rsidR="00101520" w:rsidRPr="00E52513" w:rsidRDefault="00101520" w:rsidP="003B61B8">
            <w:pPr>
              <w:spacing w:after="0"/>
              <w:jc w:val="center"/>
            </w:pPr>
            <w:r w:rsidRPr="00E52513">
              <w:t>9</w:t>
            </w:r>
          </w:p>
        </w:tc>
      </w:tr>
      <w:tr w:rsidR="00101520" w:rsidRPr="00E52513" w14:paraId="641E9F0F" w14:textId="77777777" w:rsidTr="00673EB6">
        <w:trPr>
          <w:jc w:val="center"/>
        </w:trPr>
        <w:tc>
          <w:tcPr>
            <w:tcW w:w="4981" w:type="dxa"/>
          </w:tcPr>
          <w:p w14:paraId="031A742F" w14:textId="12F9563C" w:rsidR="00101520" w:rsidRPr="00E52513" w:rsidRDefault="00101520" w:rsidP="003B61B8">
            <w:pPr>
              <w:spacing w:after="0"/>
            </w:pPr>
            <w:r w:rsidRPr="00E52513">
              <w:t>NIAA officers</w:t>
            </w:r>
          </w:p>
        </w:tc>
        <w:tc>
          <w:tcPr>
            <w:tcW w:w="2591" w:type="dxa"/>
          </w:tcPr>
          <w:p w14:paraId="28E7EA92" w14:textId="6E5A19C0" w:rsidR="00101520" w:rsidRPr="00E52513" w:rsidRDefault="00101520" w:rsidP="003B61B8">
            <w:pPr>
              <w:spacing w:after="0"/>
              <w:jc w:val="center"/>
            </w:pPr>
            <w:r w:rsidRPr="00E52513">
              <w:t>2</w:t>
            </w:r>
          </w:p>
        </w:tc>
      </w:tr>
      <w:tr w:rsidR="00101520" w:rsidRPr="00E52513" w14:paraId="3512D754" w14:textId="77777777" w:rsidTr="00673EB6">
        <w:trPr>
          <w:jc w:val="center"/>
        </w:trPr>
        <w:tc>
          <w:tcPr>
            <w:tcW w:w="4981" w:type="dxa"/>
          </w:tcPr>
          <w:p w14:paraId="195C952A" w14:textId="163C4B61" w:rsidR="00101520" w:rsidRPr="00E52513" w:rsidRDefault="00101520" w:rsidP="003B61B8">
            <w:pPr>
              <w:spacing w:after="0"/>
            </w:pPr>
            <w:r w:rsidRPr="00E52513">
              <w:t xml:space="preserve">Government agencies and networks (PHNs, health departments, community departments) </w:t>
            </w:r>
          </w:p>
        </w:tc>
        <w:tc>
          <w:tcPr>
            <w:tcW w:w="2591" w:type="dxa"/>
          </w:tcPr>
          <w:p w14:paraId="0FD337DD" w14:textId="616FB47C" w:rsidR="00101520" w:rsidRPr="00E52513" w:rsidRDefault="00101520" w:rsidP="003B61B8">
            <w:pPr>
              <w:spacing w:after="0"/>
              <w:jc w:val="center"/>
            </w:pPr>
            <w:r w:rsidRPr="00E52513">
              <w:t>6</w:t>
            </w:r>
          </w:p>
        </w:tc>
      </w:tr>
      <w:tr w:rsidR="00101520" w:rsidRPr="00E52513" w14:paraId="5DFF9357" w14:textId="77777777" w:rsidTr="00673EB6">
        <w:trPr>
          <w:jc w:val="center"/>
        </w:trPr>
        <w:tc>
          <w:tcPr>
            <w:tcW w:w="4981" w:type="dxa"/>
          </w:tcPr>
          <w:p w14:paraId="4944C000" w14:textId="29EBDFBA" w:rsidR="00101520" w:rsidRPr="00E52513" w:rsidRDefault="00101520" w:rsidP="003B61B8">
            <w:pPr>
              <w:spacing w:after="0"/>
              <w:jc w:val="right"/>
              <w:rPr>
                <w:b/>
              </w:rPr>
            </w:pPr>
            <w:r w:rsidRPr="00E52513">
              <w:rPr>
                <w:b/>
              </w:rPr>
              <w:t>Total</w:t>
            </w:r>
          </w:p>
        </w:tc>
        <w:tc>
          <w:tcPr>
            <w:tcW w:w="2591" w:type="dxa"/>
          </w:tcPr>
          <w:p w14:paraId="6D868DEC" w14:textId="07D691BE" w:rsidR="00101520" w:rsidRPr="00E52513" w:rsidRDefault="00101520" w:rsidP="003B61B8">
            <w:pPr>
              <w:spacing w:after="0"/>
              <w:jc w:val="center"/>
            </w:pPr>
            <w:r w:rsidRPr="00E52513">
              <w:fldChar w:fldCharType="begin"/>
            </w:r>
            <w:r w:rsidRPr="00E52513">
              <w:instrText xml:space="preserve"> =SUM(ABOVE) </w:instrText>
            </w:r>
            <w:r w:rsidRPr="00E52513">
              <w:fldChar w:fldCharType="separate"/>
            </w:r>
            <w:r w:rsidRPr="00E52513">
              <w:rPr>
                <w:noProof/>
              </w:rPr>
              <w:t>30</w:t>
            </w:r>
            <w:r w:rsidRPr="00E52513">
              <w:fldChar w:fldCharType="end"/>
            </w:r>
          </w:p>
        </w:tc>
      </w:tr>
    </w:tbl>
    <w:p w14:paraId="77B55A16" w14:textId="1BFF6400" w:rsidR="00410AEE" w:rsidRPr="00E52513" w:rsidRDefault="00410AEE" w:rsidP="00315C77">
      <w:pPr>
        <w:spacing w:before="120"/>
      </w:pPr>
      <w:r w:rsidRPr="00E52513">
        <w:t>Stakeholders were identified in collaboration with the local CRSA, or through local research by the evaluation team, and contacted by the evaluation team to participate in face to face or phone interviews. Interviews were guided by an interview schedule template</w:t>
      </w:r>
      <w:r w:rsidR="003B61B8" w:rsidRPr="00E52513">
        <w:t>.</w:t>
      </w:r>
    </w:p>
    <w:p w14:paraId="75FD3B52" w14:textId="4ED32C2A" w:rsidR="00B600EF" w:rsidRPr="00E52513" w:rsidRDefault="00B600EF" w:rsidP="002A580E">
      <w:pPr>
        <w:spacing w:before="240" w:after="120"/>
        <w:outlineLvl w:val="2"/>
        <w:rPr>
          <w:color w:val="E46C0A"/>
        </w:rPr>
      </w:pPr>
      <w:bookmarkStart w:id="138" w:name="_Toc522276303"/>
      <w:bookmarkStart w:id="139" w:name="_Toc13224111"/>
      <w:bookmarkStart w:id="140" w:name="_Toc27750420"/>
      <w:r w:rsidRPr="00E52513">
        <w:rPr>
          <w:color w:val="E46C0A"/>
          <w:sz w:val="32"/>
        </w:rPr>
        <w:t>Most significant change (MSC) stories</w:t>
      </w:r>
      <w:bookmarkEnd w:id="138"/>
      <w:bookmarkEnd w:id="139"/>
      <w:bookmarkEnd w:id="140"/>
    </w:p>
    <w:p w14:paraId="0ED9B0E7" w14:textId="77777777" w:rsidR="00B600EF" w:rsidRPr="00E52513" w:rsidRDefault="00B600EF" w:rsidP="00B600EF">
      <w:bookmarkStart w:id="141" w:name="_Hlk519724068"/>
      <w:r w:rsidRPr="00E52513">
        <w:t>The MSC</w:t>
      </w:r>
      <w:r w:rsidRPr="00E52513">
        <w:rPr>
          <w:i/>
        </w:rPr>
        <w:t xml:space="preserve"> </w:t>
      </w:r>
      <w:r w:rsidRPr="00E52513">
        <w:t xml:space="preserve">technique is a form of participatory monitoring that supports internal evaluation and quality improvement processes (Dart and Davies, 2003). It helps to gather information on impact and outcomes that can be used to assess the performance of the program as a whole and guide service improvement. Application of the technique to NICRS involved (1) the ‘participant’ (a CRSA) </w:t>
      </w:r>
      <w:r w:rsidRPr="00E52513">
        <w:lastRenderedPageBreak/>
        <w:t>being interviewed for 15 minutes by the NICRS Head Office Research Officer to identify their significant change story for a client generated by their work, and (2) documentation of the story by the Research Officer, CRSAs and the National Coordinator each month to identify areas for quality improvement.</w:t>
      </w:r>
    </w:p>
    <w:p w14:paraId="506447FD" w14:textId="77777777" w:rsidR="00B600EF" w:rsidRPr="00E52513" w:rsidRDefault="00B600EF" w:rsidP="00B600EF">
      <w:r w:rsidRPr="00E52513">
        <w:t>The MSC stories are discussed at the monthly case conference meeting of CRSAs</w:t>
      </w:r>
      <w:r w:rsidRPr="00E52513">
        <w:rPr>
          <w:rStyle w:val="FootnoteReference"/>
        </w:rPr>
        <w:footnoteReference w:id="31"/>
      </w:r>
      <w:r w:rsidRPr="00E52513">
        <w:t>.</w:t>
      </w:r>
    </w:p>
    <w:p w14:paraId="322A85FC" w14:textId="77777777" w:rsidR="00B600EF" w:rsidRPr="00E52513" w:rsidRDefault="00B600EF" w:rsidP="00B600EF">
      <w:pPr>
        <w:rPr>
          <w:szCs w:val="22"/>
        </w:rPr>
      </w:pPr>
      <w:r w:rsidRPr="00E52513">
        <w:t xml:space="preserve">A total of 19 MSC stories were provided to the evaluator by NICRS and analysed </w:t>
      </w:r>
      <w:r w:rsidRPr="00E52513">
        <w:rPr>
          <w:szCs w:val="22"/>
        </w:rPr>
        <w:t>through thematic analysis. Thematic analysis focussed on developing an initial set of themes to understand:</w:t>
      </w:r>
    </w:p>
    <w:p w14:paraId="2462DC8E" w14:textId="77777777" w:rsidR="00B600EF" w:rsidRPr="00E52513" w:rsidRDefault="00B600EF" w:rsidP="00BB0C58">
      <w:pPr>
        <w:pStyle w:val="ListParagraph"/>
        <w:numPr>
          <w:ilvl w:val="0"/>
          <w:numId w:val="13"/>
        </w:numPr>
        <w:spacing w:after="120"/>
        <w:rPr>
          <w:szCs w:val="22"/>
        </w:rPr>
      </w:pPr>
      <w:r w:rsidRPr="00E52513">
        <w:rPr>
          <w:szCs w:val="22"/>
        </w:rPr>
        <w:t>the perceived impact that CRSA work has on NICRS clients</w:t>
      </w:r>
    </w:p>
    <w:p w14:paraId="7FB3FC6A" w14:textId="77777777" w:rsidR="00B600EF" w:rsidRPr="00E52513" w:rsidRDefault="00B600EF" w:rsidP="00BB0C58">
      <w:pPr>
        <w:pStyle w:val="ListParagraph"/>
        <w:numPr>
          <w:ilvl w:val="0"/>
          <w:numId w:val="13"/>
        </w:numPr>
        <w:spacing w:after="120"/>
        <w:rPr>
          <w:szCs w:val="22"/>
        </w:rPr>
      </w:pPr>
      <w:r w:rsidRPr="00E52513">
        <w:rPr>
          <w:szCs w:val="22"/>
        </w:rPr>
        <w:t>the ways that clients are being supported</w:t>
      </w:r>
    </w:p>
    <w:p w14:paraId="36E75DA1" w14:textId="77777777" w:rsidR="00B600EF" w:rsidRPr="00E52513" w:rsidRDefault="00B600EF" w:rsidP="00BB0C58">
      <w:pPr>
        <w:pStyle w:val="ListParagraph"/>
        <w:numPr>
          <w:ilvl w:val="0"/>
          <w:numId w:val="13"/>
        </w:numPr>
        <w:spacing w:after="120"/>
        <w:rPr>
          <w:szCs w:val="22"/>
        </w:rPr>
      </w:pPr>
      <w:proofErr w:type="gramStart"/>
      <w:r w:rsidRPr="00E52513">
        <w:rPr>
          <w:szCs w:val="22"/>
        </w:rPr>
        <w:t>how</w:t>
      </w:r>
      <w:proofErr w:type="gramEnd"/>
      <w:r w:rsidRPr="00E52513">
        <w:rPr>
          <w:szCs w:val="22"/>
        </w:rPr>
        <w:t xml:space="preserve"> and when change occurs as a result of their work.</w:t>
      </w:r>
    </w:p>
    <w:p w14:paraId="64FFAB59" w14:textId="77777777" w:rsidR="00B600EF" w:rsidRPr="00E52513" w:rsidRDefault="00B600EF" w:rsidP="00B600EF">
      <w:r w:rsidRPr="00E52513">
        <w:rPr>
          <w:szCs w:val="22"/>
        </w:rPr>
        <w:t>The analysis also looked at common themes across the stories to identify the common concerns or issues for which clients are being supported as well as other contextual issues such as psychosocial issues and the geographic locations of clients.</w:t>
      </w:r>
    </w:p>
    <w:p w14:paraId="65401EB7" w14:textId="48C1AF8B" w:rsidR="00E72999" w:rsidRPr="00E52513" w:rsidRDefault="00E72999" w:rsidP="002A580E">
      <w:pPr>
        <w:spacing w:before="240" w:after="120"/>
        <w:outlineLvl w:val="2"/>
        <w:rPr>
          <w:color w:val="E46C0A"/>
        </w:rPr>
      </w:pPr>
      <w:bookmarkStart w:id="142" w:name="_Ref520022124"/>
      <w:bookmarkStart w:id="143" w:name="_Toc522276304"/>
      <w:bookmarkStart w:id="144" w:name="_Toc13224112"/>
      <w:bookmarkStart w:id="145" w:name="_Toc35966374"/>
      <w:bookmarkEnd w:id="141"/>
      <w:r w:rsidRPr="00E52513">
        <w:rPr>
          <w:color w:val="E46C0A"/>
          <w:sz w:val="32"/>
        </w:rPr>
        <w:t xml:space="preserve">Online Reporting System </w:t>
      </w:r>
      <w:bookmarkEnd w:id="142"/>
      <w:bookmarkEnd w:id="143"/>
      <w:r w:rsidRPr="00E52513">
        <w:rPr>
          <w:color w:val="E46C0A"/>
          <w:sz w:val="32"/>
        </w:rPr>
        <w:t>(ORS) data</w:t>
      </w:r>
      <w:bookmarkEnd w:id="144"/>
      <w:bookmarkEnd w:id="145"/>
    </w:p>
    <w:p w14:paraId="67E73456" w14:textId="0B6DA25D" w:rsidR="00E72999" w:rsidRPr="00E52513" w:rsidRDefault="00E72999" w:rsidP="00E72999">
      <w:r w:rsidRPr="00E52513">
        <w:t xml:space="preserve">The NICRS provides monthly reports to </w:t>
      </w:r>
      <w:r w:rsidR="00A0747A" w:rsidRPr="00E52513">
        <w:t>NIAA</w:t>
      </w:r>
      <w:r w:rsidRPr="00E52513">
        <w:t xml:space="preserve"> on the NICRS notified incidence and the response to incident notifications. This data, in the ORS, can be obtained on a unit record basis. The fields or variables in the database include:</w:t>
      </w:r>
    </w:p>
    <w:p w14:paraId="2BCFA9A0" w14:textId="77777777" w:rsidR="00E72999" w:rsidRPr="00E52513" w:rsidRDefault="00E72999" w:rsidP="00CF21DA">
      <w:pPr>
        <w:numPr>
          <w:ilvl w:val="0"/>
          <w:numId w:val="5"/>
        </w:numPr>
      </w:pPr>
      <w:r w:rsidRPr="00E52513">
        <w:t>Date and Time of incident</w:t>
      </w:r>
      <w:r w:rsidRPr="00E52513">
        <w:tab/>
      </w:r>
    </w:p>
    <w:p w14:paraId="58AB258E" w14:textId="77777777" w:rsidR="00E72999" w:rsidRPr="00E52513" w:rsidRDefault="00E72999" w:rsidP="00CF21DA">
      <w:pPr>
        <w:numPr>
          <w:ilvl w:val="0"/>
          <w:numId w:val="5"/>
        </w:numPr>
      </w:pPr>
      <w:r w:rsidRPr="00E52513">
        <w:t>Date advised of incident</w:t>
      </w:r>
      <w:r w:rsidRPr="00E52513">
        <w:tab/>
      </w:r>
    </w:p>
    <w:p w14:paraId="38CCAEE6" w14:textId="77777777" w:rsidR="00E72999" w:rsidRPr="00E52513" w:rsidRDefault="00E72999" w:rsidP="00CF21DA">
      <w:pPr>
        <w:numPr>
          <w:ilvl w:val="0"/>
          <w:numId w:val="5"/>
        </w:numPr>
      </w:pPr>
      <w:r w:rsidRPr="00E52513">
        <w:t>Incident type</w:t>
      </w:r>
      <w:r w:rsidRPr="00E52513">
        <w:tab/>
      </w:r>
    </w:p>
    <w:p w14:paraId="1F5E8021" w14:textId="77777777" w:rsidR="00E72999" w:rsidRPr="00E52513" w:rsidRDefault="00E72999" w:rsidP="00CF21DA">
      <w:pPr>
        <w:numPr>
          <w:ilvl w:val="0"/>
          <w:numId w:val="5"/>
        </w:numPr>
      </w:pPr>
      <w:r w:rsidRPr="00E52513">
        <w:t>Gender of injured or deceased person</w:t>
      </w:r>
      <w:r w:rsidRPr="00E52513">
        <w:tab/>
      </w:r>
    </w:p>
    <w:p w14:paraId="07662BE9" w14:textId="77777777" w:rsidR="00E72999" w:rsidRPr="00E52513" w:rsidRDefault="00E72999" w:rsidP="00CF21DA">
      <w:pPr>
        <w:numPr>
          <w:ilvl w:val="0"/>
          <w:numId w:val="5"/>
        </w:numPr>
      </w:pPr>
      <w:r w:rsidRPr="00E52513">
        <w:t>Age of injured or deceased person</w:t>
      </w:r>
      <w:r w:rsidRPr="00E52513">
        <w:tab/>
      </w:r>
    </w:p>
    <w:p w14:paraId="75AF4CC7" w14:textId="02035C3E" w:rsidR="00E72999" w:rsidRPr="00E52513" w:rsidRDefault="00E72999" w:rsidP="00CF21DA">
      <w:pPr>
        <w:numPr>
          <w:ilvl w:val="0"/>
          <w:numId w:val="5"/>
        </w:numPr>
      </w:pPr>
      <w:r w:rsidRPr="00E52513">
        <w:t>Location of incident (by state/territory and IAS Region</w:t>
      </w:r>
      <w:r w:rsidR="00AD7328" w:rsidRPr="00E52513">
        <w:t>, now the NIAA</w:t>
      </w:r>
      <w:r w:rsidRPr="00E52513">
        <w:t>)</w:t>
      </w:r>
      <w:r w:rsidRPr="00E52513">
        <w:tab/>
      </w:r>
    </w:p>
    <w:p w14:paraId="612164E7" w14:textId="77777777" w:rsidR="00E72999" w:rsidRPr="00E52513" w:rsidRDefault="00E72999" w:rsidP="00CF21DA">
      <w:pPr>
        <w:numPr>
          <w:ilvl w:val="0"/>
          <w:numId w:val="5"/>
        </w:numPr>
      </w:pPr>
      <w:r w:rsidRPr="00E52513">
        <w:t>Individual’s home location</w:t>
      </w:r>
      <w:r w:rsidRPr="00E52513">
        <w:tab/>
      </w:r>
    </w:p>
    <w:p w14:paraId="5928E070" w14:textId="77777777" w:rsidR="00E72999" w:rsidRPr="00E52513" w:rsidRDefault="00E72999" w:rsidP="00CF21DA">
      <w:pPr>
        <w:numPr>
          <w:ilvl w:val="0"/>
          <w:numId w:val="5"/>
        </w:numPr>
      </w:pPr>
      <w:r w:rsidRPr="00E52513">
        <w:t>Advocate assistance requested</w:t>
      </w:r>
      <w:r w:rsidRPr="00E52513">
        <w:tab/>
      </w:r>
    </w:p>
    <w:p w14:paraId="1036FF75" w14:textId="31E3A561" w:rsidR="00E72999" w:rsidRPr="00E52513" w:rsidRDefault="00E72999" w:rsidP="00CF21DA">
      <w:pPr>
        <w:numPr>
          <w:ilvl w:val="0"/>
          <w:numId w:val="5"/>
        </w:numPr>
      </w:pPr>
      <w:r w:rsidRPr="00E52513">
        <w:t>Assistance requesters (family, community member, service p</w:t>
      </w:r>
      <w:r w:rsidR="00A0747A" w:rsidRPr="00E52513">
        <w:t>rovider, NIAA</w:t>
      </w:r>
      <w:r w:rsidRPr="00E52513">
        <w:t>, state government, Local Education Officer, Other)</w:t>
      </w:r>
    </w:p>
    <w:p w14:paraId="28F2EC05" w14:textId="77777777" w:rsidR="00E72999" w:rsidRPr="00E52513" w:rsidRDefault="00E72999" w:rsidP="00CF21DA">
      <w:pPr>
        <w:numPr>
          <w:ilvl w:val="0"/>
          <w:numId w:val="5"/>
        </w:numPr>
      </w:pPr>
      <w:r w:rsidRPr="00E52513">
        <w:lastRenderedPageBreak/>
        <w:t>Recipient of assistance (Direct to family, Direct to family and community, Direct to family and service providers, Direct to service providers only, Direct to others, Indirect to family, Indirect to others, No assistance provided)</w:t>
      </w:r>
    </w:p>
    <w:p w14:paraId="0A553E5B" w14:textId="77777777" w:rsidR="00E72999" w:rsidRPr="00E52513" w:rsidRDefault="00E72999" w:rsidP="00CF21DA">
      <w:pPr>
        <w:numPr>
          <w:ilvl w:val="0"/>
          <w:numId w:val="5"/>
        </w:numPr>
      </w:pPr>
      <w:r w:rsidRPr="00E52513">
        <w:t>Response type (Face to face and phone, Other)</w:t>
      </w:r>
    </w:p>
    <w:p w14:paraId="0345E7ED" w14:textId="77777777" w:rsidR="00E72999" w:rsidRPr="00E52513" w:rsidRDefault="00E72999" w:rsidP="00CF21DA">
      <w:pPr>
        <w:numPr>
          <w:ilvl w:val="0"/>
          <w:numId w:val="5"/>
        </w:numPr>
      </w:pPr>
      <w:r w:rsidRPr="00E52513">
        <w:t>Emergency relief amount provided</w:t>
      </w:r>
      <w:r w:rsidRPr="00E52513">
        <w:tab/>
      </w:r>
    </w:p>
    <w:p w14:paraId="2BDF31C9" w14:textId="77777777" w:rsidR="00E72999" w:rsidRPr="00E52513" w:rsidRDefault="00E72999" w:rsidP="00CF21DA">
      <w:pPr>
        <w:numPr>
          <w:ilvl w:val="0"/>
          <w:numId w:val="5"/>
        </w:numPr>
      </w:pPr>
      <w:r w:rsidRPr="00E52513">
        <w:t>Number of cases</w:t>
      </w:r>
      <w:r w:rsidRPr="00E52513">
        <w:tab/>
      </w:r>
    </w:p>
    <w:p w14:paraId="2C85B8D3" w14:textId="77777777" w:rsidR="00E72999" w:rsidRPr="00E52513" w:rsidRDefault="00E72999" w:rsidP="00CF21DA">
      <w:pPr>
        <w:numPr>
          <w:ilvl w:val="0"/>
          <w:numId w:val="5"/>
        </w:numPr>
      </w:pPr>
      <w:r w:rsidRPr="00E52513">
        <w:t>Number of family members being assisted</w:t>
      </w:r>
      <w:r w:rsidRPr="00E52513">
        <w:tab/>
      </w:r>
    </w:p>
    <w:p w14:paraId="2110481A" w14:textId="77777777" w:rsidR="00E72999" w:rsidRPr="00E52513" w:rsidRDefault="00E72999" w:rsidP="00CF21DA">
      <w:pPr>
        <w:numPr>
          <w:ilvl w:val="0"/>
          <w:numId w:val="5"/>
        </w:numPr>
      </w:pPr>
      <w:r w:rsidRPr="00E52513">
        <w:t>Numbers of service providers contacted by the advocate</w:t>
      </w:r>
      <w:r w:rsidRPr="00E52513">
        <w:tab/>
      </w:r>
    </w:p>
    <w:p w14:paraId="08AAD1EF" w14:textId="77777777" w:rsidR="00E72999" w:rsidRPr="00E52513" w:rsidRDefault="00E72999" w:rsidP="00CF21DA">
      <w:pPr>
        <w:numPr>
          <w:ilvl w:val="0"/>
          <w:numId w:val="5"/>
        </w:numPr>
      </w:pPr>
      <w:r w:rsidRPr="00E52513">
        <w:t>Numbers of service providers assisting the family</w:t>
      </w:r>
      <w:r w:rsidRPr="00E52513">
        <w:tab/>
      </w:r>
    </w:p>
    <w:p w14:paraId="2C8004A9" w14:textId="77777777" w:rsidR="0030210A" w:rsidRPr="00E52513" w:rsidRDefault="0030210A" w:rsidP="00CF21DA">
      <w:pPr>
        <w:numPr>
          <w:ilvl w:val="0"/>
          <w:numId w:val="5"/>
        </w:numPr>
      </w:pPr>
      <w:r w:rsidRPr="00E52513">
        <w:t>Type of service providers</w:t>
      </w:r>
      <w:r w:rsidRPr="00E52513">
        <w:tab/>
      </w:r>
    </w:p>
    <w:p w14:paraId="1C44720D" w14:textId="77777777" w:rsidR="00E72999" w:rsidRPr="00E52513" w:rsidRDefault="00E72999" w:rsidP="00CF21DA">
      <w:pPr>
        <w:numPr>
          <w:ilvl w:val="0"/>
          <w:numId w:val="5"/>
        </w:numPr>
      </w:pPr>
      <w:r w:rsidRPr="00E52513">
        <w:t>Summary of advocate action taken (provided as memo text and extracted from more detailed case notes)</w:t>
      </w:r>
      <w:r w:rsidRPr="00E52513">
        <w:tab/>
      </w:r>
    </w:p>
    <w:p w14:paraId="08D8275B" w14:textId="77777777" w:rsidR="00E72999" w:rsidRPr="00E52513" w:rsidRDefault="00E72999" w:rsidP="00CF21DA">
      <w:pPr>
        <w:numPr>
          <w:ilvl w:val="0"/>
          <w:numId w:val="5"/>
        </w:numPr>
      </w:pPr>
      <w:r w:rsidRPr="00E52513">
        <w:t>Approximate total hours committed to an incident / case</w:t>
      </w:r>
    </w:p>
    <w:p w14:paraId="1A3015B4" w14:textId="42F3DD67" w:rsidR="00B600EF" w:rsidRPr="00E52513" w:rsidRDefault="00B600EF" w:rsidP="00B600EF">
      <w:r w:rsidRPr="00E52513">
        <w:t xml:space="preserve">Data is recorded in the ORS by CRSAs and reviewed by the NICRS Project Director, before an automated report extract is generated and sent to </w:t>
      </w:r>
      <w:r w:rsidR="004C6A0B" w:rsidRPr="00E52513">
        <w:t>NIAA</w:t>
      </w:r>
      <w:r w:rsidRPr="00E52513">
        <w:t xml:space="preserve"> electronically.</w:t>
      </w:r>
      <w:r w:rsidR="005C2DA1" w:rsidRPr="00E52513">
        <w:t xml:space="preserve"> Data entry is guided by a User Manual that was produced by the vendor that constructed the ORS and the Project Manager.</w:t>
      </w:r>
    </w:p>
    <w:p w14:paraId="5293DD7E" w14:textId="39B180B4" w:rsidR="001B036E" w:rsidRPr="00E52513" w:rsidRDefault="00B600EF" w:rsidP="00B600EF">
      <w:r w:rsidRPr="00E52513">
        <w:t>The evaluation team requested de-identified unit record data for analysis. NICRS provided a data file of 393 records dating from the commencement of the service in January 2017 to 30th June 2019 with all the above fields.</w:t>
      </w:r>
      <w:r w:rsidR="005C2DA1" w:rsidRPr="00E52513">
        <w:t xml:space="preserve"> </w:t>
      </w:r>
      <w:r w:rsidR="001B036E" w:rsidRPr="00E52513">
        <w:t xml:space="preserve">Some additional fields, such as case closure and incident assessment (in or out of scope) were not included in the data file. </w:t>
      </w:r>
      <w:r w:rsidR="004C4B46" w:rsidRPr="00E52513">
        <w:t>The data extracted for analysis was similar to that of a companion study by HMA (2019) which covered the period of January 2017 to December 2019 and included 438 records, although findings in the HMA report focused mostly on 114 ‘clean’ records from the 2018 calendar year.</w:t>
      </w:r>
    </w:p>
    <w:p w14:paraId="41BD5536" w14:textId="3382737E" w:rsidR="00B600EF" w:rsidRPr="00E52513" w:rsidRDefault="005C2DA1" w:rsidP="00B600EF">
      <w:r w:rsidRPr="00E52513">
        <w:t xml:space="preserve">The data provided required extensive ‘cleaning’ to remove duplicate records, complete where possible </w:t>
      </w:r>
      <w:r w:rsidR="001B036E" w:rsidRPr="00E52513">
        <w:t xml:space="preserve">blank fields, </w:t>
      </w:r>
      <w:r w:rsidRPr="00E52513">
        <w:t xml:space="preserve">and </w:t>
      </w:r>
      <w:r w:rsidR="001B036E" w:rsidRPr="00E52513">
        <w:t xml:space="preserve">resolve </w:t>
      </w:r>
      <w:r w:rsidRPr="00E52513">
        <w:t xml:space="preserve">contradictory field entries. For </w:t>
      </w:r>
      <w:r w:rsidR="001B036E" w:rsidRPr="00E52513">
        <w:t>example,</w:t>
      </w:r>
      <w:r w:rsidRPr="00E52513">
        <w:t xml:space="preserve"> response to the field </w:t>
      </w:r>
      <w:r w:rsidR="001B036E" w:rsidRPr="00E52513">
        <w:t xml:space="preserve">‘Have services been provided’ might have a ‘No’ response, but another field, </w:t>
      </w:r>
      <w:r w:rsidR="003B61B8" w:rsidRPr="00E52513">
        <w:t>for example</w:t>
      </w:r>
      <w:r w:rsidR="001B036E" w:rsidRPr="00E52513">
        <w:t xml:space="preserve"> the ‘Amount of ERF’ might have an amount clearly indicating a response was provided. In addition, a number of calculated fields were constructed to facilitate analysis. These included constructing year and month fields from date fields, hours of service fields, and specific intervention fields.</w:t>
      </w:r>
    </w:p>
    <w:p w14:paraId="4AD20236" w14:textId="14D22572" w:rsidR="001B036E" w:rsidRPr="00E52513" w:rsidRDefault="001B036E" w:rsidP="00B600EF">
      <w:r w:rsidRPr="00E52513">
        <w:t>Despite extensive efforts to clean the data</w:t>
      </w:r>
      <w:r w:rsidR="004C4B46" w:rsidRPr="00E52513">
        <w:t>, its</w:t>
      </w:r>
      <w:r w:rsidRPr="00E52513">
        <w:t xml:space="preserve"> quality remained uncertain. </w:t>
      </w:r>
      <w:r w:rsidR="00F94729">
        <w:t xml:space="preserve">An attempt was made to improve the usability of the data </w:t>
      </w:r>
      <w:r w:rsidR="004C4B46" w:rsidRPr="00E52513">
        <w:t>by applying filters to ensure consistency, but this was not always successful. The findings accordingly in this evaluation report, where they are based on ORS data, should be interpreted with caution.</w:t>
      </w:r>
    </w:p>
    <w:p w14:paraId="3EE69F61" w14:textId="5F971317" w:rsidR="0030210A" w:rsidRPr="00E52513" w:rsidRDefault="00B600EF" w:rsidP="00B600EF">
      <w:r w:rsidRPr="00E52513">
        <w:t>ORS data was analysed using simple descriptive frequency distributions and, where possible, cross tabulations.</w:t>
      </w:r>
    </w:p>
    <w:p w14:paraId="7F223D02" w14:textId="77777777" w:rsidR="00E72999" w:rsidRPr="00E52513" w:rsidRDefault="00E72999" w:rsidP="00410AEE"/>
    <w:p w14:paraId="3BC6F71D" w14:textId="77777777" w:rsidR="00E72999" w:rsidRPr="00E52513" w:rsidRDefault="00E72999" w:rsidP="00410AEE">
      <w:pPr>
        <w:sectPr w:rsidR="00E72999" w:rsidRPr="00E52513" w:rsidSect="002A580E">
          <w:pgSz w:w="11906" w:h="16838"/>
          <w:pgMar w:top="1440" w:right="1080" w:bottom="1276" w:left="1080" w:header="709" w:footer="454" w:gutter="0"/>
          <w:cols w:space="708"/>
          <w:titlePg/>
          <w:docGrid w:linePitch="360"/>
        </w:sectPr>
      </w:pPr>
    </w:p>
    <w:p w14:paraId="7613475D" w14:textId="77777777" w:rsidR="008904F9" w:rsidRPr="00E52513" w:rsidRDefault="008904F9" w:rsidP="0001288E"/>
    <w:p w14:paraId="39E329E7" w14:textId="77777777" w:rsidR="00083B30" w:rsidRPr="00E52513" w:rsidRDefault="00083B30" w:rsidP="00A0747A"/>
    <w:sectPr w:rsidR="00083B30" w:rsidRPr="00E52513" w:rsidSect="0052038D">
      <w:headerReference w:type="default" r:id="rId64"/>
      <w:footerReference w:type="default" r:id="rId65"/>
      <w:pgSz w:w="11906" w:h="16838"/>
      <w:pgMar w:top="1440" w:right="1080" w:bottom="1440" w:left="108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FFBF7" w14:textId="77777777" w:rsidR="0013555F" w:rsidRDefault="0013555F" w:rsidP="00363333">
      <w:r>
        <w:separator/>
      </w:r>
    </w:p>
  </w:endnote>
  <w:endnote w:type="continuationSeparator" w:id="0">
    <w:p w14:paraId="54ACE757" w14:textId="77777777" w:rsidR="0013555F" w:rsidRDefault="0013555F" w:rsidP="00363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Lato Medium">
    <w:altName w:val="Calibri"/>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Lato Light">
    <w:altName w:val="Calibri"/>
    <w:charset w:val="00"/>
    <w:family w:val="swiss"/>
    <w:pitch w:val="variable"/>
    <w:sig w:usb0="00000001" w:usb1="5000ECFF" w:usb2="00000021" w:usb3="00000000" w:csb0="0000019F" w:csb1="00000000"/>
  </w:font>
  <w:font w:name="Courier">
    <w:panose1 w:val="02070409020205020404"/>
    <w:charset w:val="00"/>
    <w:family w:val="modern"/>
    <w:notTrueType/>
    <w:pitch w:val="fixed"/>
    <w:sig w:usb0="00000003" w:usb1="00000000" w:usb2="00000000" w:usb3="00000000" w:csb0="00000001" w:csb1="00000000"/>
  </w:font>
  <w:font w:name="Swis721 B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9636B" w14:textId="5961C566" w:rsidR="00121432" w:rsidRPr="0017361F" w:rsidRDefault="00121432" w:rsidP="00331C46">
    <w:pPr>
      <w:tabs>
        <w:tab w:val="center" w:pos="4513"/>
        <w:tab w:val="right" w:pos="9026"/>
      </w:tabs>
      <w:spacing w:after="0"/>
      <w:rPr>
        <w:b/>
        <w:color w:val="0050B5"/>
        <w:sz w:val="18"/>
      </w:rPr>
    </w:pPr>
    <w:r w:rsidRPr="00FE486D">
      <w:rPr>
        <w:b/>
        <w:noProof/>
        <w:color w:val="0050B5"/>
        <w:sz w:val="18"/>
        <w:lang w:eastAsia="en-AU"/>
      </w:rPr>
      <mc:AlternateContent>
        <mc:Choice Requires="wps">
          <w:drawing>
            <wp:anchor distT="45720" distB="45720" distL="114300" distR="114300" simplePos="0" relativeHeight="251657216" behindDoc="0" locked="0" layoutInCell="1" allowOverlap="1" wp14:anchorId="2C128F44" wp14:editId="33B06FEE">
              <wp:simplePos x="0" y="0"/>
              <wp:positionH relativeFrom="column">
                <wp:posOffset>2876550</wp:posOffset>
              </wp:positionH>
              <wp:positionV relativeFrom="paragraph">
                <wp:posOffset>-746125</wp:posOffset>
              </wp:positionV>
              <wp:extent cx="2850515" cy="1404620"/>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404620"/>
                      </a:xfrm>
                      <a:prstGeom prst="rect">
                        <a:avLst/>
                      </a:prstGeom>
                      <a:solidFill>
                        <a:srgbClr val="FFFFFF">
                          <a:alpha val="0"/>
                        </a:srgbClr>
                      </a:solidFill>
                      <a:ln w="9525">
                        <a:noFill/>
                        <a:miter lim="800000"/>
                        <a:headEnd/>
                        <a:tailEnd/>
                      </a:ln>
                    </wps:spPr>
                    <wps:txbx>
                      <w:txbxContent>
                        <w:p w14:paraId="083D4FF1" w14:textId="65893339" w:rsidR="00121432" w:rsidRPr="005E7FFA" w:rsidRDefault="00121432" w:rsidP="005E7FFA">
                          <w:pPr>
                            <w:tabs>
                              <w:tab w:val="center" w:pos="4513"/>
                              <w:tab w:val="right" w:pos="9026"/>
                            </w:tabs>
                            <w:spacing w:after="0"/>
                            <w:ind w:right="-113"/>
                            <w:jc w:val="right"/>
                            <w:rPr>
                              <w:bCs/>
                              <w:spacing w:val="20"/>
                              <w:sz w:val="16"/>
                              <w:szCs w:val="18"/>
                            </w:rPr>
                          </w:pPr>
                          <w:r w:rsidRPr="005E7FFA">
                            <w:rPr>
                              <w:bCs/>
                              <w:spacing w:val="20"/>
                              <w:sz w:val="16"/>
                              <w:szCs w:val="18"/>
                            </w:rPr>
                            <w:t>Human Capital Alliance (International) Pty. Ltd.</w:t>
                          </w:r>
                        </w:p>
                        <w:p w14:paraId="7CD7BC90" w14:textId="4E615D18"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ABN 82 105 375 442</w:t>
                          </w:r>
                        </w:p>
                        <w:p w14:paraId="7B69E8E7" w14:textId="77777777"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Unit 8.03 / 14 Kings Cross Road, Potts Point, NSW Australia</w:t>
                          </w:r>
                        </w:p>
                        <w:p w14:paraId="2918EB38" w14:textId="6AD995BE" w:rsidR="00121432" w:rsidRPr="005E7FFA" w:rsidRDefault="00121432" w:rsidP="005E7FFA">
                          <w:pPr>
                            <w:tabs>
                              <w:tab w:val="center" w:pos="4513"/>
                              <w:tab w:val="right" w:pos="9026"/>
                            </w:tabs>
                            <w:spacing w:after="0"/>
                            <w:ind w:right="-113"/>
                            <w:jc w:val="right"/>
                            <w:rPr>
                              <w:spacing w:val="20"/>
                              <w:sz w:val="16"/>
                              <w:szCs w:val="18"/>
                            </w:rPr>
                          </w:pPr>
                          <w:proofErr w:type="spellStart"/>
                          <w:r w:rsidRPr="005E7FFA">
                            <w:rPr>
                              <w:spacing w:val="20"/>
                              <w:sz w:val="16"/>
                              <w:szCs w:val="18"/>
                            </w:rPr>
                            <w:t>Ph</w:t>
                          </w:r>
                          <w:proofErr w:type="spellEnd"/>
                          <w:r w:rsidRPr="005E7FFA">
                            <w:rPr>
                              <w:spacing w:val="20"/>
                              <w:sz w:val="16"/>
                              <w:szCs w:val="18"/>
                            </w:rPr>
                            <w:t>: +61 2 93808003</w:t>
                          </w:r>
                        </w:p>
                        <w:p w14:paraId="5EA77DBA" w14:textId="33A42C4D"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www.humancapitalalliance.com.au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128F44" id="_x0000_t202" coordsize="21600,21600" o:spt="202" path="m,l,21600r21600,l21600,xe">
              <v:stroke joinstyle="miter"/>
              <v:path gradientshapeok="t" o:connecttype="rect"/>
            </v:shapetype>
            <v:shape id="Text Box 2" o:spid="_x0000_s1027" type="#_x0000_t202" style="position:absolute;margin-left:226.5pt;margin-top:-58.75pt;width:224.4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" stroked="f">
              <v:fill opacity="0"/>
              <v:textbox style="mso-fit-shape-to-text:t">
                <w:txbxContent>
                  <w:p w14:paraId="083D4FF1" w14:textId="65893339" w:rsidR="00121432" w:rsidRPr="005E7FFA" w:rsidRDefault="00121432" w:rsidP="005E7FFA">
                    <w:pPr>
                      <w:tabs>
                        <w:tab w:val="center" w:pos="4513"/>
                        <w:tab w:val="right" w:pos="9026"/>
                      </w:tabs>
                      <w:spacing w:after="0"/>
                      <w:ind w:right="-113"/>
                      <w:jc w:val="right"/>
                      <w:rPr>
                        <w:bCs/>
                        <w:spacing w:val="20"/>
                        <w:sz w:val="16"/>
                        <w:szCs w:val="18"/>
                      </w:rPr>
                    </w:pPr>
                    <w:r w:rsidRPr="005E7FFA">
                      <w:rPr>
                        <w:bCs/>
                        <w:spacing w:val="20"/>
                        <w:sz w:val="16"/>
                        <w:szCs w:val="18"/>
                      </w:rPr>
                      <w:t>Human Capital Alliance (International) Pty. Ltd.</w:t>
                    </w:r>
                  </w:p>
                  <w:p w14:paraId="7CD7BC90" w14:textId="4E615D18"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ABN 82 105 375 442</w:t>
                    </w:r>
                  </w:p>
                  <w:p w14:paraId="7B69E8E7" w14:textId="77777777"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Unit 8.03 / 14 Kings Cross Road, Potts Point, NSW Australia</w:t>
                    </w:r>
                  </w:p>
                  <w:p w14:paraId="2918EB38" w14:textId="6AD995BE" w:rsidR="00121432" w:rsidRPr="005E7FFA" w:rsidRDefault="00121432" w:rsidP="005E7FFA">
                    <w:pPr>
                      <w:tabs>
                        <w:tab w:val="center" w:pos="4513"/>
                        <w:tab w:val="right" w:pos="9026"/>
                      </w:tabs>
                      <w:spacing w:after="0"/>
                      <w:ind w:right="-113"/>
                      <w:jc w:val="right"/>
                      <w:rPr>
                        <w:spacing w:val="20"/>
                        <w:sz w:val="16"/>
                        <w:szCs w:val="18"/>
                      </w:rPr>
                    </w:pPr>
                    <w:proofErr w:type="spellStart"/>
                    <w:r w:rsidRPr="005E7FFA">
                      <w:rPr>
                        <w:spacing w:val="20"/>
                        <w:sz w:val="16"/>
                        <w:szCs w:val="18"/>
                      </w:rPr>
                      <w:t>Ph</w:t>
                    </w:r>
                    <w:proofErr w:type="spellEnd"/>
                    <w:r w:rsidRPr="005E7FFA">
                      <w:rPr>
                        <w:spacing w:val="20"/>
                        <w:sz w:val="16"/>
                        <w:szCs w:val="18"/>
                      </w:rPr>
                      <w:t>: +61 2 93808003</w:t>
                    </w:r>
                  </w:p>
                  <w:p w14:paraId="5EA77DBA" w14:textId="33A42C4D" w:rsidR="00121432" w:rsidRPr="005E7FFA" w:rsidRDefault="00121432" w:rsidP="005E7FFA">
                    <w:pPr>
                      <w:tabs>
                        <w:tab w:val="center" w:pos="4513"/>
                        <w:tab w:val="right" w:pos="9026"/>
                      </w:tabs>
                      <w:spacing w:after="0"/>
                      <w:ind w:right="-113"/>
                      <w:jc w:val="right"/>
                      <w:rPr>
                        <w:spacing w:val="20"/>
                        <w:sz w:val="16"/>
                        <w:szCs w:val="18"/>
                      </w:rPr>
                    </w:pPr>
                    <w:r w:rsidRPr="005E7FFA">
                      <w:rPr>
                        <w:spacing w:val="20"/>
                        <w:sz w:val="16"/>
                        <w:szCs w:val="18"/>
                      </w:rPr>
                      <w:t>www.humancapitalalliance.com.au</w:t>
                    </w:r>
                  </w:p>
                </w:txbxContent>
              </v:textbox>
              <w10:wrap type="square"/>
            </v:shape>
          </w:pict>
        </mc:Fallback>
      </mc:AlternateContent>
    </w:r>
    <w:r w:rsidRPr="0017361F">
      <w:rPr>
        <w:noProof/>
        <w:sz w:val="20"/>
        <w:lang w:eastAsia="en-AU"/>
      </w:rPr>
      <w:drawing>
        <wp:anchor distT="0" distB="0" distL="114300" distR="114300" simplePos="0" relativeHeight="251651072" behindDoc="0" locked="0" layoutInCell="1" allowOverlap="1" wp14:anchorId="377FBC77" wp14:editId="20F1C464">
          <wp:simplePos x="0" y="0"/>
          <wp:positionH relativeFrom="column">
            <wp:posOffset>3107055</wp:posOffset>
          </wp:positionH>
          <wp:positionV relativeFrom="paragraph">
            <wp:posOffset>-1870710</wp:posOffset>
          </wp:positionV>
          <wp:extent cx="2623820" cy="647700"/>
          <wp:effectExtent l="0" t="0" r="5080" b="0"/>
          <wp:wrapNone/>
          <wp:docPr id="43" name="Picture 43" title="HumanCapital Alliance Craeting workforce solu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8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86D">
      <w:rPr>
        <w:b/>
        <w:noProof/>
        <w:color w:val="0050B5"/>
        <w:sz w:val="18"/>
        <w:lang w:eastAsia="en-AU"/>
      </w:rPr>
      <mc:AlternateContent>
        <mc:Choice Requires="wps">
          <w:drawing>
            <wp:anchor distT="45720" distB="45720" distL="114300" distR="114300" simplePos="0" relativeHeight="251653120" behindDoc="0" locked="0" layoutInCell="1" allowOverlap="1" wp14:anchorId="0A302CA8" wp14:editId="34406588">
              <wp:simplePos x="0" y="0"/>
              <wp:positionH relativeFrom="column">
                <wp:posOffset>-9525</wp:posOffset>
              </wp:positionH>
              <wp:positionV relativeFrom="paragraph">
                <wp:posOffset>-1993900</wp:posOffset>
              </wp:positionV>
              <wp:extent cx="2609850" cy="1504950"/>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504950"/>
                      </a:xfrm>
                      <a:prstGeom prst="rect">
                        <a:avLst/>
                      </a:prstGeom>
                      <a:solidFill>
                        <a:srgbClr val="FFFFFF">
                          <a:alpha val="0"/>
                        </a:srgbClr>
                      </a:solidFill>
                      <a:ln w="9525">
                        <a:noFill/>
                        <a:miter lim="800000"/>
                        <a:headEnd/>
                        <a:tailEnd/>
                      </a:ln>
                    </wps:spPr>
                    <wps:txbx>
                      <w:txbxContent>
                        <w:p w14:paraId="724C8E67" w14:textId="4F75CFB8" w:rsidR="00121432" w:rsidRPr="00FE486D" w:rsidRDefault="00121432" w:rsidP="005E7FFA">
                          <w:pPr>
                            <w:ind w:left="-113"/>
                            <w:rPr>
                              <w:rFonts w:cs="Garamond"/>
                              <w:b/>
                              <w:color w:val="984806" w:themeColor="accent6" w:themeShade="80"/>
                              <w:sz w:val="20"/>
                              <w:szCs w:val="18"/>
                            </w:rPr>
                          </w:pPr>
                          <w:r w:rsidRPr="00FE486D">
                            <w:rPr>
                              <w:rFonts w:cs="Garamond"/>
                              <w:b/>
                              <w:color w:val="984806" w:themeColor="accent6" w:themeShade="80"/>
                              <w:sz w:val="20"/>
                              <w:szCs w:val="18"/>
                            </w:rPr>
                            <w:t>Suggested citation:</w:t>
                          </w:r>
                        </w:p>
                        <w:p w14:paraId="7DFFF00A" w14:textId="77777777" w:rsidR="00121432" w:rsidRPr="00FE486D" w:rsidRDefault="00121432" w:rsidP="005E7FFA">
                          <w:pPr>
                            <w:ind w:left="-113"/>
                            <w:rPr>
                              <w:sz w:val="20"/>
                              <w:szCs w:val="18"/>
                            </w:rPr>
                          </w:pPr>
                          <w:proofErr w:type="spellStart"/>
                          <w:r w:rsidRPr="00FE486D">
                            <w:rPr>
                              <w:sz w:val="20"/>
                              <w:szCs w:val="18"/>
                            </w:rPr>
                            <w:t>Ridoutt</w:t>
                          </w:r>
                          <w:proofErr w:type="spellEnd"/>
                          <w:r w:rsidRPr="00FE486D">
                            <w:rPr>
                              <w:sz w:val="20"/>
                              <w:szCs w:val="18"/>
                            </w:rPr>
                            <w:t xml:space="preserve">, L., Cowles, C., Noel, J., Kelleher, K., Stanford, D., Williams, M. and Daley, D. (2020). </w:t>
                          </w:r>
                          <w:r w:rsidRPr="00FE486D">
                            <w:rPr>
                              <w:i/>
                              <w:sz w:val="20"/>
                              <w:szCs w:val="18"/>
                            </w:rPr>
                            <w:t>FINAL REPORT: Evaluation of the National Indigenous Critical Response Service</w:t>
                          </w:r>
                          <w:r w:rsidRPr="00FE486D">
                            <w:rPr>
                              <w:sz w:val="20"/>
                              <w:szCs w:val="18"/>
                            </w:rPr>
                            <w:t>. Human Capital Alliance: Sydney.</w:t>
                          </w:r>
                        </w:p>
                        <w:p w14:paraId="67960FF0" w14:textId="689C4E54" w:rsidR="00121432" w:rsidRPr="00FE486D" w:rsidRDefault="00121432" w:rsidP="005E7FFA">
                          <w:pPr>
                            <w:ind w:left="-113"/>
                            <w:rPr>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02CA8" id="_x0000_s1028" type="#_x0000_t202" style="position:absolute;margin-left:-.75pt;margin-top:-157pt;width:205.5pt;height:11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" stroked="f">
              <v:fill opacity="0"/>
              <v:textbox>
                <w:txbxContent>
                  <w:p w14:paraId="724C8E67" w14:textId="4F75CFB8" w:rsidR="00121432" w:rsidRPr="00FE486D" w:rsidRDefault="00121432" w:rsidP="005E7FFA">
                    <w:pPr>
                      <w:ind w:left="-113"/>
                      <w:rPr>
                        <w:rFonts w:cs="Garamond"/>
                        <w:b/>
                        <w:color w:val="984806" w:themeColor="accent6" w:themeShade="80"/>
                        <w:sz w:val="20"/>
                        <w:szCs w:val="18"/>
                      </w:rPr>
                    </w:pPr>
                    <w:r w:rsidRPr="00FE486D">
                      <w:rPr>
                        <w:rFonts w:cs="Garamond"/>
                        <w:b/>
                        <w:color w:val="984806" w:themeColor="accent6" w:themeShade="80"/>
                        <w:sz w:val="20"/>
                        <w:szCs w:val="18"/>
                      </w:rPr>
                      <w:t>Suggested citation:</w:t>
                    </w:r>
                  </w:p>
                  <w:p w14:paraId="7DFFF00A" w14:textId="77777777" w:rsidR="00121432" w:rsidRPr="00FE486D" w:rsidRDefault="00121432" w:rsidP="005E7FFA">
                    <w:pPr>
                      <w:ind w:left="-113"/>
                      <w:rPr>
                        <w:sz w:val="20"/>
                        <w:szCs w:val="18"/>
                      </w:rPr>
                    </w:pPr>
                    <w:proofErr w:type="spellStart"/>
                    <w:r w:rsidRPr="00FE486D">
                      <w:rPr>
                        <w:sz w:val="20"/>
                        <w:szCs w:val="18"/>
                      </w:rPr>
                      <w:t>Ridoutt</w:t>
                    </w:r>
                    <w:proofErr w:type="spellEnd"/>
                    <w:r w:rsidRPr="00FE486D">
                      <w:rPr>
                        <w:sz w:val="20"/>
                        <w:szCs w:val="18"/>
                      </w:rPr>
                      <w:t xml:space="preserve">, L., Cowles, C., Noel, J., Kelleher, K., Stanford, D., Williams, M. and Daley, D. (2020). </w:t>
                    </w:r>
                    <w:r w:rsidRPr="00FE486D">
                      <w:rPr>
                        <w:i/>
                        <w:sz w:val="20"/>
                        <w:szCs w:val="18"/>
                      </w:rPr>
                      <w:t>FINAL REPORT: Evaluation of the National Indigenous Critical Response Service</w:t>
                    </w:r>
                    <w:r w:rsidRPr="00FE486D">
                      <w:rPr>
                        <w:sz w:val="20"/>
                        <w:szCs w:val="18"/>
                      </w:rPr>
                      <w:t>. Human Capital Alliance: Sydney.</w:t>
                    </w:r>
                  </w:p>
                  <w:p w14:paraId="67960FF0" w14:textId="689C4E54" w:rsidR="00121432" w:rsidRPr="00FE486D" w:rsidRDefault="00121432" w:rsidP="005E7FFA">
                    <w:pPr>
                      <w:ind w:left="-113"/>
                      <w:rPr>
                        <w:sz w:val="20"/>
                        <w:szCs w:val="18"/>
                      </w:rPr>
                    </w:pPr>
                  </w:p>
                </w:txbxContent>
              </v:textbox>
              <w10:wrap type="square"/>
            </v:shape>
          </w:pict>
        </mc:Fallback>
      </mc:AlternateContent>
    </w:r>
    <w:r>
      <w:rPr>
        <w:noProof/>
        <w:sz w:val="20"/>
        <w:lang w:eastAsia="en-AU"/>
      </w:rPr>
      <mc:AlternateContent>
        <mc:Choice Requires="wps">
          <w:drawing>
            <wp:anchor distT="0" distB="0" distL="114300" distR="114300" simplePos="0" relativeHeight="251650048" behindDoc="1" locked="0" layoutInCell="1" allowOverlap="1" wp14:anchorId="3B4478DE" wp14:editId="40AD4B1A">
              <wp:simplePos x="0" y="0"/>
              <wp:positionH relativeFrom="column">
                <wp:posOffset>-981075</wp:posOffset>
              </wp:positionH>
              <wp:positionV relativeFrom="paragraph">
                <wp:posOffset>-2204720</wp:posOffset>
              </wp:positionV>
              <wp:extent cx="7667625" cy="3381375"/>
              <wp:effectExtent l="0" t="0" r="9525" b="9525"/>
              <wp:wrapNone/>
              <wp:docPr id="32" name="Rectangle 32"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7625" cy="33813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67D07F" id="Rectangle 32" o:spid="_x0000_s1026" alt="Title: decorative" style="position:absolute;margin-left:-77.25pt;margin-top:-173.6pt;width:603.75pt;height:26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" fillcolor="#f2f2f2 [3052]"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41468306" w:displacedByCustomXml="next"/>
  <w:bookmarkStart w:id="3" w:name="_Hlk41468305" w:displacedByCustomXml="next"/>
  <w:sdt>
    <w:sdtPr>
      <w:rPr>
        <w:sz w:val="20"/>
      </w:rPr>
      <w:id w:val="1648471617"/>
      <w:docPartObj>
        <w:docPartGallery w:val="Page Numbers (Bottom of Page)"/>
        <w:docPartUnique/>
      </w:docPartObj>
    </w:sdtPr>
    <w:sdtEndPr>
      <w:rPr>
        <w:color w:val="7F7F7F" w:themeColor="background1" w:themeShade="7F"/>
        <w:spacing w:val="60"/>
      </w:rPr>
    </w:sdtEndPr>
    <w:sdtContent>
      <w:p w14:paraId="25FC241F" w14:textId="012EF775" w:rsidR="00121432" w:rsidRPr="00083B30" w:rsidRDefault="00121432" w:rsidP="005E7FFA">
        <w:pPr>
          <w:pStyle w:val="Footer"/>
          <w:rPr>
            <w:sz w:val="20"/>
          </w:rPr>
        </w:pPr>
        <w:r w:rsidRPr="005E7FFA">
          <w:rPr>
            <w:b/>
            <w:bCs/>
            <w:iCs/>
            <w:color w:val="984806" w:themeColor="accent6" w:themeShade="80"/>
            <w:sz w:val="20"/>
          </w:rPr>
          <w:t>HUMAN CAPITAL ALLIANCE</w:t>
        </w:r>
        <w:r w:rsidRPr="009038FE">
          <w:rPr>
            <w:sz w:val="20"/>
          </w:rPr>
          <w:tab/>
        </w:r>
        <w:r w:rsidRPr="009038FE">
          <w:rPr>
            <w:sz w:val="20"/>
          </w:rPr>
          <w:tab/>
        </w:r>
        <w:r w:rsidRPr="005E7FFA">
          <w:rPr>
            <w:spacing w:val="20"/>
            <w:sz w:val="20"/>
          </w:rPr>
          <w:t>PAGE</w:t>
        </w:r>
        <w:r>
          <w:rPr>
            <w:sz w:val="20"/>
          </w:rPr>
          <w:t xml:space="preserve"> </w:t>
        </w:r>
        <w:r>
          <w:rPr>
            <w:sz w:val="20"/>
          </w:rPr>
          <w:tab/>
        </w:r>
        <w:r w:rsidRPr="009038FE">
          <w:rPr>
            <w:sz w:val="20"/>
          </w:rPr>
          <w:fldChar w:fldCharType="begin"/>
        </w:r>
        <w:r w:rsidRPr="009038FE">
          <w:rPr>
            <w:sz w:val="20"/>
          </w:rPr>
          <w:instrText xml:space="preserve"> PAGE   \* MERGEFORMAT </w:instrText>
        </w:r>
        <w:r w:rsidRPr="009038FE">
          <w:rPr>
            <w:sz w:val="20"/>
          </w:rPr>
          <w:fldChar w:fldCharType="separate"/>
        </w:r>
        <w:r w:rsidR="0063533D">
          <w:rPr>
            <w:noProof/>
            <w:sz w:val="20"/>
          </w:rPr>
          <w:t>3</w:t>
        </w:r>
        <w:r w:rsidRPr="009038FE">
          <w:rPr>
            <w:noProof/>
            <w:sz w:val="20"/>
          </w:rPr>
          <w:fldChar w:fldCharType="end"/>
        </w:r>
      </w:p>
    </w:sdtContent>
  </w:sdt>
  <w:bookmarkEnd w:id="2" w:displacedByCustomXml="prev"/>
  <w:bookmarkEnd w:id="3" w:displacedByCustomXml="prev"/>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1508B" w14:textId="7A946790" w:rsidR="00121432" w:rsidRDefault="00121432" w:rsidP="00BD6F5C">
    <w:pPr>
      <w:pStyle w:val="Footer"/>
      <w:ind w:left="-1080"/>
      <w:rPr>
        <w:noProof/>
        <w:lang w:eastAsia="en-AU"/>
      </w:rPr>
    </w:pPr>
    <w:r>
      <w:rPr>
        <w:noProof/>
        <w:lang w:eastAsia="en-AU"/>
      </w:rPr>
      <w:drawing>
        <wp:inline distT="0" distB="0" distL="0" distR="0" wp14:anchorId="66F8B87A" wp14:editId="5A968EA1">
          <wp:extent cx="7826400" cy="1011600"/>
          <wp:effectExtent l="0" t="0" r="3175" b="0"/>
          <wp:docPr id="54" name="Picture 54" title="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stanford\AppData\Local\Microsoft\Windows\Temporary Internet Files\Content.Word\Screen Shot 2020-04-09 at 10.36.26 am.png"/>
                  <pic:cNvPicPr>
                    <a:picLocks noChangeAspect="1" noChangeArrowheads="1"/>
                  </pic:cNvPicPr>
                </pic:nvPicPr>
                <pic:blipFill rotWithShape="1">
                  <a:blip r:embed="rId1">
                    <a:extLst>
                      <a:ext uri="{28A0092B-C50C-407E-A947-70E740481C1C}">
                        <a14:useLocalDpi xmlns:a14="http://schemas.microsoft.com/office/drawing/2010/main" val="0"/>
                      </a:ext>
                    </a:extLst>
                  </a:blip>
                  <a:srcRect b="41645"/>
                  <a:stretch/>
                </pic:blipFill>
                <pic:spPr bwMode="auto">
                  <a:xfrm>
                    <a:off x="0" y="0"/>
                    <a:ext cx="7826400" cy="1011600"/>
                  </a:xfrm>
                  <a:prstGeom prst="rect">
                    <a:avLst/>
                  </a:prstGeom>
                  <a:noFill/>
                  <a:ln>
                    <a:noFill/>
                  </a:ln>
                  <a:extLst>
                    <a:ext uri="{53640926-AAD7-44D8-BBD7-CCE9431645EC}">
                      <a14:shadowObscured xmlns:a14="http://schemas.microsoft.com/office/drawing/2010/main"/>
                    </a:ext>
                  </a:extLst>
                </pic:spPr>
              </pic:pic>
            </a:graphicData>
          </a:graphic>
        </wp:inline>
      </w:drawing>
    </w:r>
  </w:p>
  <w:p w14:paraId="3C38D231" w14:textId="34715346" w:rsidR="00121432" w:rsidRPr="004C2311" w:rsidRDefault="00121432" w:rsidP="004C23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4353677"/>
      <w:docPartObj>
        <w:docPartGallery w:val="Page Numbers (Bottom of Page)"/>
        <w:docPartUnique/>
      </w:docPartObj>
    </w:sdtPr>
    <w:sdtEndPr>
      <w:rPr>
        <w:color w:val="7F7F7F" w:themeColor="background1" w:themeShade="7F"/>
        <w:spacing w:val="60"/>
      </w:rPr>
    </w:sdtEndPr>
    <w:sdtContent>
      <w:p w14:paraId="053D6024" w14:textId="09C8A7B5" w:rsidR="00121432" w:rsidRPr="005E7FFA" w:rsidRDefault="00121432" w:rsidP="005E7FFA">
        <w:pPr>
          <w:pStyle w:val="Footer"/>
          <w:rPr>
            <w:sz w:val="20"/>
          </w:rPr>
        </w:pPr>
        <w:r w:rsidRPr="005E7FFA">
          <w:rPr>
            <w:b/>
            <w:bCs/>
            <w:iCs/>
            <w:color w:val="984806" w:themeColor="accent6" w:themeShade="80"/>
            <w:sz w:val="20"/>
          </w:rPr>
          <w:t>HUMAN CAPITAL ALLIANCE</w:t>
        </w:r>
        <w:r w:rsidRPr="009038FE">
          <w:rPr>
            <w:sz w:val="20"/>
          </w:rPr>
          <w:tab/>
        </w:r>
        <w:r w:rsidRPr="009038FE">
          <w:rPr>
            <w:sz w:val="20"/>
          </w:rPr>
          <w:tab/>
        </w:r>
        <w:r w:rsidRPr="005E7FFA">
          <w:rPr>
            <w:spacing w:val="20"/>
            <w:sz w:val="20"/>
          </w:rPr>
          <w:t>PAGE</w:t>
        </w:r>
        <w:r>
          <w:rPr>
            <w:sz w:val="20"/>
          </w:rPr>
          <w:t xml:space="preserve"> </w:t>
        </w:r>
        <w:r>
          <w:rPr>
            <w:sz w:val="20"/>
          </w:rPr>
          <w:tab/>
        </w:r>
        <w:r w:rsidRPr="009038FE">
          <w:rPr>
            <w:sz w:val="20"/>
          </w:rPr>
          <w:fldChar w:fldCharType="begin"/>
        </w:r>
        <w:r w:rsidRPr="009038FE">
          <w:rPr>
            <w:sz w:val="20"/>
          </w:rPr>
          <w:instrText xml:space="preserve"> PAGE   \* MERGEFORMAT </w:instrText>
        </w:r>
        <w:r w:rsidRPr="009038FE">
          <w:rPr>
            <w:sz w:val="20"/>
          </w:rPr>
          <w:fldChar w:fldCharType="separate"/>
        </w:r>
        <w:r w:rsidR="0063533D">
          <w:rPr>
            <w:noProof/>
            <w:sz w:val="20"/>
          </w:rPr>
          <w:t>98</w:t>
        </w:r>
        <w:r w:rsidRPr="009038FE">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55835884"/>
      <w:docPartObj>
        <w:docPartGallery w:val="Page Numbers (Bottom of Page)"/>
        <w:docPartUnique/>
      </w:docPartObj>
    </w:sdtPr>
    <w:sdtEndPr>
      <w:rPr>
        <w:color w:val="7F7F7F" w:themeColor="background1" w:themeShade="7F"/>
        <w:spacing w:val="60"/>
      </w:rPr>
    </w:sdtEndPr>
    <w:sdtContent>
      <w:p w14:paraId="56A92627" w14:textId="5608529F" w:rsidR="00121432" w:rsidRPr="005E7FFA" w:rsidRDefault="00121432" w:rsidP="00734CC4">
        <w:pPr>
          <w:pStyle w:val="Footer"/>
          <w:tabs>
            <w:tab w:val="clear" w:pos="4513"/>
            <w:tab w:val="clear" w:pos="9026"/>
            <w:tab w:val="center" w:pos="12333"/>
          </w:tabs>
          <w:rPr>
            <w:sz w:val="20"/>
          </w:rPr>
        </w:pPr>
        <w:r w:rsidRPr="005E7FFA">
          <w:rPr>
            <w:b/>
            <w:bCs/>
            <w:iCs/>
            <w:color w:val="984806" w:themeColor="accent6" w:themeShade="80"/>
            <w:sz w:val="20"/>
          </w:rPr>
          <w:t>HUMAN CAPITAL ALLIANCE</w:t>
        </w:r>
        <w:r>
          <w:rPr>
            <w:sz w:val="20"/>
          </w:rPr>
          <w:tab/>
        </w:r>
        <w:r w:rsidRPr="005E7FFA">
          <w:rPr>
            <w:spacing w:val="20"/>
            <w:sz w:val="20"/>
          </w:rPr>
          <w:t>PAGE</w:t>
        </w:r>
        <w:r>
          <w:rPr>
            <w:sz w:val="20"/>
          </w:rPr>
          <w:t xml:space="preserve"> </w:t>
        </w:r>
        <w:r>
          <w:rPr>
            <w:sz w:val="20"/>
          </w:rPr>
          <w:tab/>
        </w:r>
        <w:r w:rsidRPr="009038FE">
          <w:rPr>
            <w:sz w:val="20"/>
          </w:rPr>
          <w:fldChar w:fldCharType="begin"/>
        </w:r>
        <w:r w:rsidRPr="009038FE">
          <w:rPr>
            <w:sz w:val="20"/>
          </w:rPr>
          <w:instrText xml:space="preserve"> PAGE   \* MERGEFORMAT </w:instrText>
        </w:r>
        <w:r w:rsidRPr="009038FE">
          <w:rPr>
            <w:sz w:val="20"/>
          </w:rPr>
          <w:fldChar w:fldCharType="separate"/>
        </w:r>
        <w:r w:rsidR="0063533D">
          <w:rPr>
            <w:noProof/>
            <w:sz w:val="20"/>
          </w:rPr>
          <w:t>100</w:t>
        </w:r>
        <w:r w:rsidRPr="009038FE">
          <w:rPr>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51054985"/>
      <w:docPartObj>
        <w:docPartGallery w:val="Page Numbers (Bottom of Page)"/>
        <w:docPartUnique/>
      </w:docPartObj>
    </w:sdtPr>
    <w:sdtEndPr>
      <w:rPr>
        <w:color w:val="7F7F7F" w:themeColor="background1" w:themeShade="7F"/>
        <w:spacing w:val="60"/>
      </w:rPr>
    </w:sdtEndPr>
    <w:sdtContent>
      <w:p w14:paraId="48E81033" w14:textId="1CEE7D03" w:rsidR="00121432" w:rsidRPr="00F94729" w:rsidRDefault="00121432" w:rsidP="00F94729">
        <w:pPr>
          <w:pStyle w:val="Footer"/>
          <w:rPr>
            <w:sz w:val="20"/>
          </w:rPr>
        </w:pPr>
        <w:r w:rsidRPr="005E7FFA">
          <w:rPr>
            <w:b/>
            <w:bCs/>
            <w:iCs/>
            <w:color w:val="984806" w:themeColor="accent6" w:themeShade="80"/>
            <w:sz w:val="20"/>
          </w:rPr>
          <w:t>HUMAN CAPITAL ALLIANCE</w:t>
        </w:r>
        <w:r w:rsidRPr="009038FE">
          <w:rPr>
            <w:sz w:val="20"/>
          </w:rPr>
          <w:tab/>
        </w:r>
        <w:r w:rsidRPr="009038FE">
          <w:rPr>
            <w:sz w:val="20"/>
          </w:rPr>
          <w:tab/>
        </w:r>
        <w:r w:rsidRPr="005E7FFA">
          <w:rPr>
            <w:spacing w:val="20"/>
            <w:sz w:val="20"/>
          </w:rPr>
          <w:t>PAGE</w:t>
        </w:r>
        <w:r>
          <w:rPr>
            <w:sz w:val="20"/>
          </w:rPr>
          <w:t xml:space="preserve"> </w:t>
        </w:r>
        <w:r>
          <w:rPr>
            <w:sz w:val="20"/>
          </w:rPr>
          <w:tab/>
        </w:r>
        <w:r w:rsidRPr="009038FE">
          <w:rPr>
            <w:sz w:val="20"/>
          </w:rPr>
          <w:fldChar w:fldCharType="begin"/>
        </w:r>
        <w:r w:rsidRPr="009038FE">
          <w:rPr>
            <w:sz w:val="20"/>
          </w:rPr>
          <w:instrText xml:space="preserve"> PAGE   \* MERGEFORMAT </w:instrText>
        </w:r>
        <w:r w:rsidRPr="009038FE">
          <w:rPr>
            <w:sz w:val="20"/>
          </w:rPr>
          <w:fldChar w:fldCharType="separate"/>
        </w:r>
        <w:r w:rsidR="0063533D">
          <w:rPr>
            <w:noProof/>
            <w:sz w:val="20"/>
          </w:rPr>
          <w:t>117</w:t>
        </w:r>
        <w:r w:rsidRPr="009038FE">
          <w:rPr>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7C8BE" w14:textId="77777777" w:rsidR="00121432" w:rsidRDefault="00121432" w:rsidP="00AD0FCB">
    <w:pPr>
      <w:tabs>
        <w:tab w:val="center" w:pos="4513"/>
        <w:tab w:val="right" w:pos="9026"/>
      </w:tabs>
      <w:autoSpaceDE w:val="0"/>
      <w:autoSpaceDN w:val="0"/>
      <w:adjustRightInd w:val="0"/>
      <w:spacing w:before="600" w:line="259" w:lineRule="auto"/>
      <w:jc w:val="center"/>
      <w:rPr>
        <w:rFonts w:ascii="Lato Light" w:eastAsia="Calibri" w:hAnsi="Lato Light" w:cs="Calibri"/>
        <w:i/>
        <w:color w:val="009CDA"/>
        <w:sz w:val="18"/>
        <w:szCs w:val="22"/>
      </w:rPr>
    </w:pPr>
    <w:r w:rsidRPr="0000117F">
      <w:rPr>
        <w:rFonts w:ascii="Lato Light" w:eastAsia="Calibri" w:hAnsi="Lato Light" w:cs="Calibri"/>
        <w:i/>
        <w:noProof/>
        <w:color w:val="009CDA"/>
        <w:sz w:val="18"/>
        <w:szCs w:val="22"/>
        <w:lang w:eastAsia="en-AU"/>
      </w:rPr>
      <w:drawing>
        <wp:inline distT="0" distB="0" distL="0" distR="0" wp14:anchorId="239E7F60" wp14:editId="40109B1F">
          <wp:extent cx="2550783" cy="648000"/>
          <wp:effectExtent l="0" t="0" r="2540" b="0"/>
          <wp:docPr id="148" name="Picture 148" title="Human Capital Alliance Creating workforc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Colour Logo.jpg"/>
                  <pic:cNvPicPr/>
                </pic:nvPicPr>
                <pic:blipFill>
                  <a:blip r:embed="rId1">
                    <a:extLst>
                      <a:ext uri="{28A0092B-C50C-407E-A947-70E740481C1C}">
                        <a14:useLocalDpi xmlns:a14="http://schemas.microsoft.com/office/drawing/2010/main" val="0"/>
                      </a:ext>
                    </a:extLst>
                  </a:blip>
                  <a:stretch>
                    <a:fillRect/>
                  </a:stretch>
                </pic:blipFill>
                <pic:spPr>
                  <a:xfrm>
                    <a:off x="0" y="0"/>
                    <a:ext cx="2550783" cy="648000"/>
                  </a:xfrm>
                  <a:prstGeom prst="rect">
                    <a:avLst/>
                  </a:prstGeom>
                </pic:spPr>
              </pic:pic>
            </a:graphicData>
          </a:graphic>
        </wp:inline>
      </w:drawing>
    </w:r>
  </w:p>
  <w:p w14:paraId="27CCDF4A" w14:textId="3212DAF8" w:rsidR="00121432" w:rsidRPr="00FD4A0E" w:rsidRDefault="00121432" w:rsidP="00AD0FCB">
    <w:pPr>
      <w:tabs>
        <w:tab w:val="center" w:pos="4513"/>
        <w:tab w:val="right" w:pos="9026"/>
      </w:tabs>
      <w:autoSpaceDE w:val="0"/>
      <w:autoSpaceDN w:val="0"/>
      <w:adjustRightInd w:val="0"/>
      <w:spacing w:before="600" w:line="259" w:lineRule="auto"/>
      <w:jc w:val="center"/>
      <w:rPr>
        <w:rFonts w:ascii="Lato Light" w:eastAsia="Calibri" w:hAnsi="Lato Light" w:cs="Calibri"/>
        <w:b/>
        <w:color w:val="984806" w:themeColor="accent6" w:themeShade="80"/>
        <w:sz w:val="28"/>
        <w:szCs w:val="22"/>
      </w:rPr>
    </w:pPr>
    <w:r>
      <w:rPr>
        <w:rFonts w:ascii="Lato Light" w:eastAsia="Calibri" w:hAnsi="Lato Light" w:cs="Calibri"/>
        <w:b/>
        <w:color w:val="984806" w:themeColor="accent6" w:themeShade="80"/>
        <w:sz w:val="28"/>
        <w:szCs w:val="22"/>
      </w:rPr>
      <w:t>May</w:t>
    </w:r>
    <w:r w:rsidRPr="00FD4A0E">
      <w:rPr>
        <w:rFonts w:ascii="Lato Light" w:eastAsia="Calibri" w:hAnsi="Lato Light" w:cs="Calibri"/>
        <w:b/>
        <w:color w:val="984806" w:themeColor="accent6" w:themeShade="80"/>
        <w:sz w:val="28"/>
        <w:szCs w:val="22"/>
      </w:rPr>
      <w:t xml:space="preserve"> 2020</w:t>
    </w:r>
  </w:p>
  <w:p w14:paraId="799EF18C" w14:textId="77777777" w:rsidR="00121432" w:rsidRDefault="00121432" w:rsidP="00AD0FCB">
    <w:pPr>
      <w:tabs>
        <w:tab w:val="center" w:pos="4513"/>
        <w:tab w:val="right" w:pos="9026"/>
      </w:tabs>
      <w:autoSpaceDE w:val="0"/>
      <w:autoSpaceDN w:val="0"/>
      <w:adjustRightInd w:val="0"/>
      <w:spacing w:before="600" w:line="259" w:lineRule="auto"/>
      <w:jc w:val="center"/>
      <w:rPr>
        <w:rFonts w:ascii="Lato Light" w:eastAsia="Calibri" w:hAnsi="Lato Light" w:cs="Calibri"/>
        <w:b/>
        <w:color w:val="009CDA"/>
        <w:sz w:val="28"/>
        <w:szCs w:val="22"/>
      </w:rPr>
    </w:pPr>
  </w:p>
  <w:p w14:paraId="61A575A1" w14:textId="77777777" w:rsidR="00121432" w:rsidRPr="005E44BB" w:rsidRDefault="00121432" w:rsidP="00AD0FCB">
    <w:pPr>
      <w:tabs>
        <w:tab w:val="center" w:pos="4513"/>
        <w:tab w:val="right" w:pos="9026"/>
      </w:tabs>
      <w:autoSpaceDE w:val="0"/>
      <w:autoSpaceDN w:val="0"/>
      <w:adjustRightInd w:val="0"/>
      <w:spacing w:before="600" w:line="259" w:lineRule="auto"/>
      <w:jc w:val="center"/>
      <w:rPr>
        <w:rFonts w:ascii="Lato Light" w:eastAsiaTheme="minorHAnsi" w:hAnsi="Lato Light" w:cs="Calibri"/>
        <w:b/>
        <w:color w:val="009CDA"/>
        <w:sz w:val="2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53F63" w14:textId="77777777" w:rsidR="0013555F" w:rsidRDefault="0013555F" w:rsidP="00363333">
      <w:r>
        <w:separator/>
      </w:r>
    </w:p>
  </w:footnote>
  <w:footnote w:type="continuationSeparator" w:id="0">
    <w:p w14:paraId="2567DBC9" w14:textId="77777777" w:rsidR="0013555F" w:rsidRDefault="0013555F" w:rsidP="00363333">
      <w:r>
        <w:continuationSeparator/>
      </w:r>
    </w:p>
  </w:footnote>
  <w:footnote w:id="1">
    <w:p w14:paraId="215C0E0B" w14:textId="5D40EA1E" w:rsidR="00121432" w:rsidRPr="00F105D2" w:rsidRDefault="00121432" w:rsidP="00F105D2">
      <w:pPr>
        <w:spacing w:before="240" w:after="120"/>
        <w:rPr>
          <w:rFonts w:eastAsia="Calibri"/>
        </w:rPr>
      </w:pPr>
      <w:r>
        <w:rPr>
          <w:rStyle w:val="FootnoteReference"/>
        </w:rPr>
        <w:footnoteRef/>
      </w:r>
      <w:r>
        <w:t xml:space="preserve"> </w:t>
      </w:r>
      <w:r w:rsidRPr="00B00682">
        <w:rPr>
          <w:rFonts w:eastAsia="Calibri"/>
          <w:sz w:val="20"/>
        </w:rPr>
        <w:t xml:space="preserve">Although the primary focus of the NICRS is on Indicated interventions, its scope also includes selective identification of those who have been bereaved after an incident and may therefore require </w:t>
      </w:r>
      <w:proofErr w:type="spellStart"/>
      <w:r w:rsidRPr="00B00682">
        <w:rPr>
          <w:rFonts w:eastAsia="Calibri"/>
          <w:sz w:val="20"/>
        </w:rPr>
        <w:t>postvention</w:t>
      </w:r>
      <w:proofErr w:type="spellEnd"/>
      <w:r w:rsidRPr="00B00682">
        <w:rPr>
          <w:rFonts w:eastAsia="Calibri"/>
          <w:sz w:val="20"/>
        </w:rPr>
        <w:t xml:space="preserve"> support, as well as contributing to local and national efforts to address risk factors (such as through promoting the benefits of connection to culture for strength and healing)</w:t>
      </w:r>
      <w:r>
        <w:rPr>
          <w:rFonts w:eastAsia="Calibri"/>
          <w:sz w:val="20"/>
        </w:rPr>
        <w:t>, promoting coordination</w:t>
      </w:r>
      <w:r w:rsidRPr="00B00682">
        <w:rPr>
          <w:rFonts w:eastAsia="Calibri"/>
          <w:sz w:val="20"/>
        </w:rPr>
        <w:t xml:space="preserve"> and raising community awareness of suicide prevention strategies through its work in communities.</w:t>
      </w:r>
    </w:p>
  </w:footnote>
  <w:footnote w:id="2">
    <w:p w14:paraId="6612753B" w14:textId="77777777" w:rsidR="00121432" w:rsidRDefault="00121432" w:rsidP="00F32216">
      <w:pPr>
        <w:pStyle w:val="FootnoteText"/>
      </w:pPr>
      <w:r>
        <w:rPr>
          <w:rStyle w:val="FootnoteReference"/>
        </w:rPr>
        <w:footnoteRef/>
      </w:r>
      <w:r>
        <w:t xml:space="preserve"> The term ‘</w:t>
      </w:r>
      <w:proofErr w:type="spellStart"/>
      <w:r>
        <w:t>throughcare</w:t>
      </w:r>
      <w:proofErr w:type="spellEnd"/>
      <w:r>
        <w:t>’ is most widely used in the prisoner release context, but has been adapted to the purposes of the NICRS program.</w:t>
      </w:r>
    </w:p>
  </w:footnote>
  <w:footnote w:id="3">
    <w:p w14:paraId="0D74B5D4" w14:textId="6600015C" w:rsidR="00121432" w:rsidRDefault="00121432">
      <w:pPr>
        <w:pStyle w:val="FootnoteText"/>
      </w:pPr>
      <w:r>
        <w:rPr>
          <w:rStyle w:val="FootnoteReference"/>
        </w:rPr>
        <w:footnoteRef/>
      </w:r>
      <w:r>
        <w:t xml:space="preserve"> The GRAMS service does not have a CRSA-centred response to a traumatic incident. The response is instead quite idiosyncratic and is more akin to the community capacity building actions of the NICRS ‘Stream two’. </w:t>
      </w:r>
    </w:p>
  </w:footnote>
  <w:footnote w:id="4">
    <w:p w14:paraId="36305CEF" w14:textId="77777777" w:rsidR="00121432" w:rsidRPr="00E4783B" w:rsidRDefault="00121432" w:rsidP="00DB2BEB">
      <w:pPr>
        <w:pStyle w:val="FootnoteText"/>
        <w:spacing w:after="0"/>
        <w:rPr>
          <w:lang w:val="en-US"/>
        </w:rPr>
      </w:pPr>
      <w:r>
        <w:rPr>
          <w:rStyle w:val="FootnoteReference"/>
          <w:rFonts w:eastAsiaTheme="majorEastAsia"/>
        </w:rPr>
        <w:footnoteRef/>
      </w:r>
      <w:r>
        <w:t xml:space="preserve"> For instance, in one</w:t>
      </w:r>
      <w:r w:rsidRPr="00F002BD">
        <w:t xml:space="preserve"> incident </w:t>
      </w:r>
      <w:r>
        <w:t>from the past involving</w:t>
      </w:r>
      <w:r w:rsidRPr="00F002BD">
        <w:t xml:space="preserve"> 8 children, the family of the paternal side had reached out for support from the NICRS</w:t>
      </w:r>
      <w:r>
        <w:t xml:space="preserve"> soon after it was formed</w:t>
      </w:r>
      <w:r w:rsidRPr="00F002BD">
        <w:t xml:space="preserve">. </w:t>
      </w:r>
      <w:r>
        <w:t>That incident</w:t>
      </w:r>
      <w:r w:rsidRPr="00F002BD">
        <w:t xml:space="preserve"> was taken on in recognition of the significant impact that th</w:t>
      </w:r>
      <w:r>
        <w:t xml:space="preserve">e incident </w:t>
      </w:r>
      <w:r w:rsidRPr="00F002BD">
        <w:t>still ha</w:t>
      </w:r>
      <w:r>
        <w:t>d</w:t>
      </w:r>
      <w:r w:rsidRPr="00F002BD">
        <w:t xml:space="preserve"> on the family and the local community</w:t>
      </w:r>
      <w:r>
        <w:t>.</w:t>
      </w:r>
    </w:p>
  </w:footnote>
  <w:footnote w:id="5">
    <w:p w14:paraId="26766281" w14:textId="23BEB8F4" w:rsidR="00121432" w:rsidRDefault="00121432">
      <w:pPr>
        <w:pStyle w:val="FootnoteText"/>
      </w:pPr>
      <w:r>
        <w:rPr>
          <w:rStyle w:val="FootnoteReference"/>
        </w:rPr>
        <w:footnoteRef/>
      </w:r>
      <w:r>
        <w:t xml:space="preserve"> The HMA report analysed ORS data from a similar time frame (2017 to September 2019) focussing on some (but not all) of the same activity variables. The report also collected original data through a survey of CRSA activity and collated data from the NICRS accounts.</w:t>
      </w:r>
    </w:p>
  </w:footnote>
  <w:footnote w:id="6">
    <w:p w14:paraId="786A05E0" w14:textId="77777777" w:rsidR="00121432" w:rsidRPr="00BC6781" w:rsidRDefault="00121432" w:rsidP="00540458">
      <w:pPr>
        <w:pStyle w:val="FootnoteText"/>
        <w:rPr>
          <w:lang w:val="en-US"/>
        </w:rPr>
      </w:pPr>
      <w:r>
        <w:rPr>
          <w:rStyle w:val="FootnoteReference"/>
          <w:rFonts w:eastAsiaTheme="majorEastAsia"/>
        </w:rPr>
        <w:footnoteRef/>
      </w:r>
      <w:r>
        <w:t xml:space="preserve"> </w:t>
      </w:r>
      <w:r>
        <w:rPr>
          <w:lang w:val="en-US"/>
        </w:rPr>
        <w:t xml:space="preserve">After allowing for missing values, this finding is similar to the </w:t>
      </w:r>
      <w:r w:rsidRPr="005D23B6">
        <w:rPr>
          <w:lang w:val="en-US"/>
        </w:rPr>
        <w:t>results found by HMA (20</w:t>
      </w:r>
      <w:r w:rsidRPr="00420DA9">
        <w:rPr>
          <w:lang w:val="en-US"/>
        </w:rPr>
        <w:t>20</w:t>
      </w:r>
      <w:r w:rsidRPr="005D23B6">
        <w:rPr>
          <w:lang w:val="en-US"/>
        </w:rPr>
        <w:t>).</w:t>
      </w:r>
    </w:p>
  </w:footnote>
  <w:footnote w:id="7">
    <w:p w14:paraId="16706667" w14:textId="63234532" w:rsidR="00121432" w:rsidRDefault="00121432" w:rsidP="00540458">
      <w:pPr>
        <w:pStyle w:val="FootnoteText"/>
        <w:rPr>
          <w:lang w:val="en-US"/>
        </w:rPr>
      </w:pPr>
      <w:r>
        <w:rPr>
          <w:rStyle w:val="FootnoteReference"/>
          <w:rFonts w:eastAsiaTheme="majorEastAsia"/>
        </w:rPr>
        <w:footnoteRef/>
      </w:r>
      <w:r>
        <w:t xml:space="preserve"> </w:t>
      </w:r>
      <w:r>
        <w:rPr>
          <w:lang w:val="en-US"/>
        </w:rPr>
        <w:t>The place of the incident did not always coincide with the State/Territory of residence of the person involved in the incident.</w:t>
      </w:r>
    </w:p>
  </w:footnote>
  <w:footnote w:id="8">
    <w:p w14:paraId="1136EAE0" w14:textId="661C5B24" w:rsidR="00121432" w:rsidRDefault="00121432">
      <w:pPr>
        <w:pStyle w:val="FootnoteText"/>
      </w:pPr>
      <w:r>
        <w:rPr>
          <w:rStyle w:val="FootnoteReference"/>
        </w:rPr>
        <w:footnoteRef/>
      </w:r>
      <w:r>
        <w:t xml:space="preserve"> </w:t>
      </w:r>
      <w:r w:rsidRPr="00C63DDF">
        <w:t>The NICRS ORS Manual defines ‘Non-Fatal Trauma’ as ‘someone who has attempted suicide and is on life support or involved in a serious traumatic incident e.g. has been seriously injured in a traffic incident.</w:t>
      </w:r>
      <w:r>
        <w:t xml:space="preserve"> </w:t>
      </w:r>
    </w:p>
  </w:footnote>
  <w:footnote w:id="9">
    <w:p w14:paraId="0DF6F5C6" w14:textId="437C3AE4" w:rsidR="00121432" w:rsidRDefault="00121432">
      <w:pPr>
        <w:pStyle w:val="FootnoteText"/>
      </w:pPr>
      <w:r>
        <w:rPr>
          <w:rStyle w:val="FootnoteReference"/>
        </w:rPr>
        <w:footnoteRef/>
      </w:r>
      <w:r>
        <w:t xml:space="preserve"> </w:t>
      </w:r>
      <w:r>
        <w:rPr>
          <w:lang w:val="en-US"/>
        </w:rPr>
        <w:t>Note that the ORS data provided to HCA did not include a field that designated the scope detail, rather a field which designated whether a service had been provided or not was included in the data set.</w:t>
      </w:r>
    </w:p>
  </w:footnote>
  <w:footnote w:id="10">
    <w:p w14:paraId="481F96C3" w14:textId="77777777" w:rsidR="00121432" w:rsidRPr="00E4783B" w:rsidRDefault="00121432" w:rsidP="00540458">
      <w:pPr>
        <w:pStyle w:val="FootnoteText"/>
        <w:rPr>
          <w:lang w:val="en-US"/>
        </w:rPr>
      </w:pPr>
      <w:r>
        <w:rPr>
          <w:rStyle w:val="FootnoteReference"/>
          <w:rFonts w:eastAsiaTheme="majorEastAsia"/>
        </w:rPr>
        <w:footnoteRef/>
      </w:r>
      <w:r>
        <w:t xml:space="preserve"> NICRS management advised that </w:t>
      </w:r>
      <w:r w:rsidRPr="00016E18">
        <w:t xml:space="preserve">the Online Record System was developed in 2 stages, and it was not until August 2018 that CRSAs </w:t>
      </w:r>
      <w:r>
        <w:t>began</w:t>
      </w:r>
      <w:r w:rsidRPr="00016E18">
        <w:t xml:space="preserve"> using the case capacity</w:t>
      </w:r>
      <w:r>
        <w:t>. If only post August 2018 records are analysed, the number of cases with missing values for case numbers only drops to 18%, suggesting recording of case data is still problematic.</w:t>
      </w:r>
    </w:p>
  </w:footnote>
  <w:footnote w:id="11">
    <w:p w14:paraId="225922EB" w14:textId="77777777" w:rsidR="00121432" w:rsidRPr="00380139" w:rsidRDefault="00121432" w:rsidP="004275D2">
      <w:pPr>
        <w:pStyle w:val="FootnoteText"/>
        <w:rPr>
          <w:lang w:val="en-US"/>
        </w:rPr>
      </w:pPr>
      <w:r>
        <w:rPr>
          <w:rStyle w:val="FootnoteReference"/>
        </w:rPr>
        <w:footnoteRef/>
      </w:r>
      <w:r>
        <w:t xml:space="preserve"> </w:t>
      </w:r>
      <w:r>
        <w:rPr>
          <w:lang w:val="en-US"/>
        </w:rPr>
        <w:t>Coronial data has long been understood to underestimate deaths by suicide, but it provides the most meaningful benchmark.</w:t>
      </w:r>
    </w:p>
  </w:footnote>
  <w:footnote w:id="12">
    <w:p w14:paraId="509D678A" w14:textId="5328B144" w:rsidR="00121432" w:rsidRPr="00E4783B" w:rsidRDefault="00121432" w:rsidP="004275D2">
      <w:pPr>
        <w:pStyle w:val="FootnoteText"/>
        <w:rPr>
          <w:lang w:val="en-US"/>
        </w:rPr>
      </w:pPr>
      <w:r>
        <w:rPr>
          <w:rStyle w:val="FootnoteReference"/>
        </w:rPr>
        <w:footnoteRef/>
      </w:r>
      <w:r>
        <w:t xml:space="preserve"> </w:t>
      </w:r>
      <w:r>
        <w:rPr>
          <w:lang w:val="en-US"/>
        </w:rPr>
        <w:t>Difficult to explain a greater than 100% reach, but it could be because Coronial figures were wrong and/or because some non-Indigenous clients were included in the notifications, the result of the close association in the NT between NICRS and Stand-up.</w:t>
      </w:r>
    </w:p>
  </w:footnote>
  <w:footnote w:id="13">
    <w:p w14:paraId="4D43BD38" w14:textId="63C79E27" w:rsidR="00121432" w:rsidRDefault="00121432" w:rsidP="008D50E4">
      <w:pPr>
        <w:pStyle w:val="FootnoteText"/>
      </w:pPr>
      <w:r>
        <w:rPr>
          <w:rStyle w:val="FootnoteReference"/>
        </w:rPr>
        <w:footnoteRef/>
      </w:r>
      <w:r>
        <w:t xml:space="preserve"> The distant location of CRSAs from the point of service, given the vast areas they are required to cover, to some extent obviates against any significant ‘local’ networking. It was noted that originally the NICRS had been intended to set up in more specific regions, but agreement on selection of the regions could not be obtained and so a broader jurisdiction level brief eventuated. A review of this approach, perhaps with a focus on ‘hot spots’, would be appropriate.</w:t>
      </w:r>
    </w:p>
  </w:footnote>
  <w:footnote w:id="14">
    <w:p w14:paraId="085A826B" w14:textId="77777777" w:rsidR="00121432" w:rsidRDefault="00121432" w:rsidP="00617AB3">
      <w:pPr>
        <w:pStyle w:val="FootnoteText"/>
      </w:pPr>
      <w:r w:rsidRPr="00AD7328">
        <w:rPr>
          <w:rStyle w:val="FootnoteReference"/>
        </w:rPr>
        <w:footnoteRef/>
      </w:r>
      <w:r w:rsidRPr="00AD7328">
        <w:t xml:space="preserve"> This is not meant to be a primary NICRS intervention. This issue is discussed later.</w:t>
      </w:r>
    </w:p>
  </w:footnote>
  <w:footnote w:id="15">
    <w:p w14:paraId="4E20F564" w14:textId="77777777" w:rsidR="00121432" w:rsidRDefault="00121432" w:rsidP="00B61EC4">
      <w:pPr>
        <w:pStyle w:val="FootnoteText"/>
      </w:pPr>
      <w:r>
        <w:rPr>
          <w:rStyle w:val="FootnoteReference"/>
        </w:rPr>
        <w:footnoteRef/>
      </w:r>
      <w:r>
        <w:t xml:space="preserve"> This term is not particularly suitable for the services provided by NICRS, but the concepts still apply.</w:t>
      </w:r>
    </w:p>
  </w:footnote>
  <w:footnote w:id="16">
    <w:p w14:paraId="6D8141F2" w14:textId="1BE3B8F9" w:rsidR="00121432" w:rsidRDefault="00121432" w:rsidP="00BD59E8">
      <w:pPr>
        <w:pStyle w:val="FootnoteText"/>
      </w:pPr>
      <w:r>
        <w:rPr>
          <w:rStyle w:val="FootnoteReference"/>
        </w:rPr>
        <w:footnoteRef/>
      </w:r>
      <w:r>
        <w:t xml:space="preserve"> A</w:t>
      </w:r>
      <w:r w:rsidRPr="00923F16">
        <w:t xml:space="preserve">n </w:t>
      </w:r>
      <w:r>
        <w:t>‘</w:t>
      </w:r>
      <w:hyperlink r:id="rId1" w:history="1">
        <w:r w:rsidRPr="00841B5E">
          <w:rPr>
            <w:rStyle w:val="Hyperlink"/>
          </w:rPr>
          <w:t>Accidental Counsellor</w:t>
        </w:r>
      </w:hyperlink>
      <w:r>
        <w:t>’</w:t>
      </w:r>
      <w:r w:rsidRPr="00923F16">
        <w:t xml:space="preserve"> can be anyone who is not employed as a trained counsellor, but often finds themselves placed in a counselling role by accident. Accidental Counsell</w:t>
      </w:r>
      <w:r>
        <w:t xml:space="preserve">ing is most common for those in the role of </w:t>
      </w:r>
      <w:r w:rsidRPr="00923F16">
        <w:t>teacher, youth worker, team leader, aged care professional, chaplain or complementary health practitione</w:t>
      </w:r>
      <w:r>
        <w:t>r. Definition adapted from one provided by ACWA.</w:t>
      </w:r>
    </w:p>
  </w:footnote>
  <w:footnote w:id="17">
    <w:p w14:paraId="12CBDAC0" w14:textId="0590C930" w:rsidR="00121432" w:rsidRDefault="00121432" w:rsidP="00BD59E8">
      <w:pPr>
        <w:pStyle w:val="FootnoteText"/>
      </w:pPr>
      <w:r>
        <w:rPr>
          <w:rStyle w:val="FootnoteReference"/>
        </w:rPr>
        <w:footnoteRef/>
      </w:r>
      <w:r>
        <w:t xml:space="preserve"> It is accepted that this data, based as it is on a summary, may not be completely accurate. However, some attempt was made to analyse the service inputs to cases in lieu of recorded data.</w:t>
      </w:r>
    </w:p>
  </w:footnote>
  <w:footnote w:id="18">
    <w:p w14:paraId="361845AD" w14:textId="77777777" w:rsidR="00121432" w:rsidRDefault="00121432" w:rsidP="004128AE">
      <w:pPr>
        <w:pStyle w:val="FootnoteText"/>
      </w:pPr>
      <w:r>
        <w:rPr>
          <w:rStyle w:val="FootnoteReference"/>
        </w:rPr>
        <w:footnoteRef/>
      </w:r>
      <w:r>
        <w:t xml:space="preserve"> It is assumed that time is spent ‘researching’ a decision to respond to a request or not.</w:t>
      </w:r>
    </w:p>
  </w:footnote>
  <w:footnote w:id="19">
    <w:p w14:paraId="5C35D54A" w14:textId="77777777" w:rsidR="00121432" w:rsidRDefault="00121432" w:rsidP="004128AE">
      <w:pPr>
        <w:pStyle w:val="FootnoteText"/>
      </w:pPr>
      <w:r>
        <w:rPr>
          <w:rStyle w:val="FootnoteReference"/>
        </w:rPr>
        <w:footnoteRef/>
      </w:r>
      <w:r>
        <w:t xml:space="preserve"> As noted above, a number of incidents have more than one associated case. For some of these cases the time spent is not split between cases but duplicated and so in the calculation duplicates were removed.</w:t>
      </w:r>
    </w:p>
  </w:footnote>
  <w:footnote w:id="20">
    <w:p w14:paraId="246EA101" w14:textId="77777777" w:rsidR="00121432" w:rsidRDefault="00121432" w:rsidP="00B35DC4">
      <w:pPr>
        <w:pStyle w:val="FootnoteText"/>
      </w:pPr>
      <w:r>
        <w:rPr>
          <w:rStyle w:val="FootnoteReference"/>
        </w:rPr>
        <w:footnoteRef/>
      </w:r>
      <w:r>
        <w:t xml:space="preserve"> Travel time to get to face to face conversations is not included in this figure.</w:t>
      </w:r>
    </w:p>
  </w:footnote>
  <w:footnote w:id="21">
    <w:p w14:paraId="30E76EDF" w14:textId="471B2A26" w:rsidR="00121432" w:rsidRPr="00E671B9" w:rsidRDefault="00121432">
      <w:pPr>
        <w:pStyle w:val="FootnoteText"/>
        <w:rPr>
          <w:lang w:val="en-US"/>
        </w:rPr>
      </w:pPr>
      <w:r>
        <w:rPr>
          <w:rStyle w:val="FootnoteReference"/>
        </w:rPr>
        <w:footnoteRef/>
      </w:r>
      <w:r>
        <w:t xml:space="preserve"> This allows for </w:t>
      </w:r>
      <w:r>
        <w:rPr>
          <w:lang w:val="en-US"/>
        </w:rPr>
        <w:t>several positions being vacant for periods of time.</w:t>
      </w:r>
    </w:p>
  </w:footnote>
  <w:footnote w:id="22">
    <w:p w14:paraId="208D04C8" w14:textId="4E4C0E0A" w:rsidR="00121432" w:rsidRDefault="00121432">
      <w:pPr>
        <w:pStyle w:val="FootnoteText"/>
      </w:pPr>
      <w:r>
        <w:rPr>
          <w:rStyle w:val="FootnoteReference"/>
        </w:rPr>
        <w:footnoteRef/>
      </w:r>
      <w:r>
        <w:t xml:space="preserve"> It is unclear if this data includes or excludes CRSA time spent handling the emergency telephone number.</w:t>
      </w:r>
    </w:p>
  </w:footnote>
  <w:footnote w:id="23">
    <w:p w14:paraId="10DA1B85" w14:textId="65A2702D" w:rsidR="00121432" w:rsidRDefault="00121432">
      <w:pPr>
        <w:pStyle w:val="FootnoteText"/>
      </w:pPr>
      <w:r>
        <w:rPr>
          <w:rStyle w:val="FootnoteReference"/>
        </w:rPr>
        <w:footnoteRef/>
      </w:r>
      <w:r>
        <w:t xml:space="preserve"> This term, given the nature of the CRSA role, is used here instead of the term ‘clinical’ supervision. </w:t>
      </w:r>
    </w:p>
  </w:footnote>
  <w:footnote w:id="24">
    <w:p w14:paraId="72DAB8B4" w14:textId="023A1F99" w:rsidR="00121432" w:rsidRDefault="00121432">
      <w:pPr>
        <w:pStyle w:val="FootnoteText"/>
      </w:pPr>
      <w:r>
        <w:rPr>
          <w:rStyle w:val="FootnoteReference"/>
        </w:rPr>
        <w:footnoteRef/>
      </w:r>
      <w:r>
        <w:t xml:space="preserve"> In an earlier section (5.4) it was noted that in just less than one quarter of cases where a service was provided ‘accidental counselling’ was employed as </w:t>
      </w:r>
      <w:proofErr w:type="gramStart"/>
      <w:r>
        <w:t>an</w:t>
      </w:r>
      <w:proofErr w:type="gramEnd"/>
      <w:r>
        <w:t xml:space="preserve"> intervention. As noted in that section the interviews with CRSAs seemed to indicate the practice was higher.</w:t>
      </w:r>
    </w:p>
  </w:footnote>
  <w:footnote w:id="25">
    <w:p w14:paraId="11B76F89" w14:textId="77777777" w:rsidR="00121432" w:rsidRDefault="00121432" w:rsidP="00391503">
      <w:pPr>
        <w:pStyle w:val="FootnoteText"/>
      </w:pPr>
      <w:r>
        <w:rPr>
          <w:rStyle w:val="FootnoteReference"/>
        </w:rPr>
        <w:footnoteRef/>
      </w:r>
      <w:r>
        <w:t xml:space="preserve"> Most of the findings for this section are based on data in a companion study undertaken by HMA (2020)</w:t>
      </w:r>
    </w:p>
  </w:footnote>
  <w:footnote w:id="26">
    <w:p w14:paraId="44823FE0" w14:textId="77777777" w:rsidR="00121432" w:rsidRDefault="00121432" w:rsidP="0052038D">
      <w:pPr>
        <w:pStyle w:val="FootnoteText"/>
      </w:pPr>
      <w:r w:rsidRPr="00E77B79">
        <w:rPr>
          <w:rStyle w:val="FootnoteReference"/>
          <w:rFonts w:asciiTheme="minorHAnsi" w:eastAsiaTheme="majorEastAsia" w:hAnsiTheme="minorHAnsi" w:cs="Calibri"/>
          <w:sz w:val="18"/>
          <w:szCs w:val="18"/>
        </w:rPr>
        <w:footnoteRef/>
      </w:r>
      <w:r w:rsidRPr="00E77B79">
        <w:rPr>
          <w:rFonts w:asciiTheme="minorHAnsi" w:hAnsiTheme="minorHAnsi" w:cs="Calibri"/>
          <w:sz w:val="18"/>
          <w:szCs w:val="18"/>
        </w:rPr>
        <w:t xml:space="preserve"> https://www.procurepoint.nsw.gov.au/policies/nsw-government-procurement-information/statement-value-money</w:t>
      </w:r>
    </w:p>
  </w:footnote>
  <w:footnote w:id="27">
    <w:p w14:paraId="76473F58" w14:textId="77777777" w:rsidR="00121432" w:rsidRDefault="00121432" w:rsidP="00355EBF">
      <w:pPr>
        <w:pStyle w:val="FootnoteText"/>
      </w:pPr>
      <w:r>
        <w:rPr>
          <w:rStyle w:val="FootnoteReference"/>
        </w:rPr>
        <w:footnoteRef/>
      </w:r>
      <w:r>
        <w:t xml:space="preserve"> Appendix 2 of the ORS Manual provides a simple template for development of a ‘</w:t>
      </w:r>
      <w:r w:rsidRPr="006F5512">
        <w:t>Case Management Plan</w:t>
      </w:r>
      <w:r>
        <w:t xml:space="preserve">’. This is probably inadequate for proper </w:t>
      </w:r>
      <w:proofErr w:type="spellStart"/>
      <w:r>
        <w:t>throughcare</w:t>
      </w:r>
      <w:proofErr w:type="spellEnd"/>
      <w:r>
        <w:t xml:space="preserve"> planning.</w:t>
      </w:r>
    </w:p>
  </w:footnote>
  <w:footnote w:id="28">
    <w:p w14:paraId="14BD7B9F" w14:textId="77777777" w:rsidR="00121432" w:rsidRDefault="00121432" w:rsidP="00D53A1D">
      <w:pPr>
        <w:pStyle w:val="FootnoteText"/>
      </w:pPr>
      <w:r>
        <w:rPr>
          <w:rStyle w:val="FootnoteReference"/>
          <w:rFonts w:eastAsiaTheme="majorEastAsia"/>
        </w:rPr>
        <w:footnoteRef/>
      </w:r>
      <w:r>
        <w:t xml:space="preserve"> A decision would need to be made whether to focus on locations with the highest absolute numbers of incidents (efficiency) or the highest proportion of incidents (equity).</w:t>
      </w:r>
    </w:p>
  </w:footnote>
  <w:footnote w:id="29">
    <w:p w14:paraId="18DB7766" w14:textId="352023C3" w:rsidR="00121432" w:rsidRDefault="00121432" w:rsidP="00ED179C">
      <w:pPr>
        <w:pStyle w:val="FootnoteText"/>
        <w:rPr>
          <w:lang w:val="en-US"/>
        </w:rPr>
      </w:pPr>
      <w:r>
        <w:rPr>
          <w:rStyle w:val="FootnoteReference"/>
        </w:rPr>
        <w:footnoteRef/>
      </w:r>
      <w:r>
        <w:t xml:space="preserve"> </w:t>
      </w:r>
      <w:r>
        <w:rPr>
          <w:lang w:val="en-US"/>
        </w:rPr>
        <w:t xml:space="preserve">This tool has never been validated for a clinical setting. It is described in </w:t>
      </w:r>
      <w:r w:rsidRPr="00841B5E">
        <w:rPr>
          <w:lang w:val="en-US"/>
        </w:rPr>
        <w:t xml:space="preserve">Menzies School of Health Research </w:t>
      </w:r>
      <w:hyperlink r:id="rId2" w:history="1">
        <w:r w:rsidRPr="00841B5E">
          <w:rPr>
            <w:rStyle w:val="Hyperlink"/>
            <w:lang w:val="en-US"/>
          </w:rPr>
          <w:t>Strong souls assessment tool</w:t>
        </w:r>
      </w:hyperlink>
    </w:p>
    <w:p w14:paraId="368046D1" w14:textId="540BBE91" w:rsidR="00121432" w:rsidRPr="00C27B0F" w:rsidRDefault="00121432" w:rsidP="00ED179C">
      <w:pPr>
        <w:pStyle w:val="FootnoteText"/>
        <w:rPr>
          <w:lang w:val="en-US"/>
        </w:rPr>
      </w:pPr>
    </w:p>
  </w:footnote>
  <w:footnote w:id="30">
    <w:p w14:paraId="088FC77F" w14:textId="77777777" w:rsidR="00121432" w:rsidRPr="00083DD5" w:rsidRDefault="00121432" w:rsidP="00410AEE">
      <w:pPr>
        <w:pStyle w:val="FootnoteText"/>
      </w:pPr>
      <w:r>
        <w:rPr>
          <w:rStyle w:val="FootnoteReference"/>
          <w:rFonts w:eastAsiaTheme="majorEastAsia"/>
        </w:rPr>
        <w:footnoteRef/>
      </w:r>
      <w:r>
        <w:t xml:space="preserve"> </w:t>
      </w:r>
      <w:r w:rsidRPr="00083DD5">
        <w:t>A trauma event de</w:t>
      </w:r>
      <w:r>
        <w:t xml:space="preserve">pending on the age of the individual can affect more than the immediate or even extended family. Fellow members of a football team or workplace can also be impacted. The NICRS service though tends to focus only on the immediate family to provide support. </w:t>
      </w:r>
    </w:p>
  </w:footnote>
  <w:footnote w:id="31">
    <w:p w14:paraId="3F5D6892" w14:textId="28FBAA29" w:rsidR="00121432" w:rsidRPr="00E4783B" w:rsidRDefault="00121432" w:rsidP="00B600EF">
      <w:pPr>
        <w:pStyle w:val="FootnoteText"/>
        <w:rPr>
          <w:lang w:val="en-US"/>
        </w:rPr>
      </w:pPr>
      <w:r>
        <w:rPr>
          <w:rStyle w:val="FootnoteReference"/>
        </w:rPr>
        <w:footnoteRef/>
      </w:r>
      <w:r>
        <w:t xml:space="preserve"> </w:t>
      </w:r>
      <w:r>
        <w:rPr>
          <w:lang w:val="en-US"/>
        </w:rPr>
        <w:t xml:space="preserve">The MSC technique was introduced to the NICRS after the first evaluation undertaken by Clear Horizons. </w:t>
      </w:r>
      <w:r w:rsidRPr="002078BD">
        <w:rPr>
          <w:lang w:val="en-US"/>
        </w:rPr>
        <w:t xml:space="preserve">The </w:t>
      </w:r>
      <w:r>
        <w:rPr>
          <w:lang w:val="en-US"/>
        </w:rPr>
        <w:t xml:space="preserve">technique ideally gathers stories from a range of stakeholders (including possibly clients and service providers) and the </w:t>
      </w:r>
      <w:r w:rsidRPr="002078BD">
        <w:rPr>
          <w:lang w:val="en-US"/>
        </w:rPr>
        <w:t xml:space="preserve">more significant of the stories </w:t>
      </w:r>
      <w:r>
        <w:rPr>
          <w:lang w:val="en-US"/>
        </w:rPr>
        <w:t xml:space="preserve">[based on the </w:t>
      </w:r>
      <w:r w:rsidRPr="002078BD">
        <w:rPr>
          <w:lang w:val="en-US"/>
        </w:rPr>
        <w:t>effects on the lives of the beneficiaries</w:t>
      </w:r>
      <w:r>
        <w:rPr>
          <w:lang w:val="en-US"/>
        </w:rPr>
        <w:t>]</w:t>
      </w:r>
      <w:r w:rsidRPr="002078BD">
        <w:rPr>
          <w:lang w:val="en-US"/>
        </w:rPr>
        <w:t xml:space="preserve"> are selected by </w:t>
      </w:r>
      <w:r>
        <w:rPr>
          <w:lang w:val="en-US"/>
        </w:rPr>
        <w:t xml:space="preserve">(all) </w:t>
      </w:r>
      <w:r w:rsidRPr="002078BD">
        <w:rPr>
          <w:lang w:val="en-US"/>
        </w:rPr>
        <w:t>the stakeholders and in</w:t>
      </w:r>
      <w:r>
        <w:rPr>
          <w:lang w:val="en-US"/>
        </w:rPr>
        <w:t>-</w:t>
      </w:r>
      <w:r w:rsidRPr="002078BD">
        <w:rPr>
          <w:lang w:val="en-US"/>
        </w:rPr>
        <w:t>depth discussions of these stories take</w:t>
      </w:r>
      <w:r>
        <w:rPr>
          <w:lang w:val="en-US"/>
        </w:rPr>
        <w:t>s</w:t>
      </w:r>
      <w:r w:rsidRPr="002078BD">
        <w:rPr>
          <w:lang w:val="en-US"/>
        </w:rPr>
        <w:t xml:space="preserve"> place. </w:t>
      </w:r>
      <w:r>
        <w:rPr>
          <w:lang w:val="en-US"/>
        </w:rPr>
        <w:t xml:space="preserve">It is not clear how stories were selected and / or the extent to which stories are discussed by stakeholders, even those internal to the NICRS.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BC0C3" w14:textId="3AA2C138" w:rsidR="00121432" w:rsidRPr="00BF0EDC" w:rsidRDefault="00121432" w:rsidP="004E0FBE">
    <w:pPr>
      <w:pStyle w:val="Header"/>
      <w:spacing w:after="0"/>
    </w:pPr>
    <w:r>
      <w:rPr>
        <w:noProof/>
        <w:lang w:eastAsia="en-AU"/>
      </w:rPr>
      <mc:AlternateContent>
        <mc:Choice Requires="wps">
          <w:drawing>
            <wp:anchor distT="0" distB="0" distL="114300" distR="114300" simplePos="0" relativeHeight="251667456" behindDoc="0" locked="0" layoutInCell="1" allowOverlap="1" wp14:anchorId="10DB4AED" wp14:editId="6347EEB5">
              <wp:simplePos x="0" y="0"/>
              <wp:positionH relativeFrom="column">
                <wp:posOffset>-1143000</wp:posOffset>
              </wp:positionH>
              <wp:positionV relativeFrom="paragraph">
                <wp:posOffset>-450215</wp:posOffset>
              </wp:positionV>
              <wp:extent cx="7596000" cy="532800"/>
              <wp:effectExtent l="0" t="0" r="5080" b="635"/>
              <wp:wrapTopAndBottom/>
              <wp:docPr id="64" name="Rectangle 64"/>
              <wp:cNvGraphicFramePr/>
              <a:graphic xmlns:a="http://schemas.openxmlformats.org/drawingml/2006/main">
                <a:graphicData uri="http://schemas.microsoft.com/office/word/2010/wordprocessingShape">
                  <wps:wsp>
                    <wps:cNvSpPr/>
                    <wps:spPr>
                      <a:xfrm>
                        <a:off x="0" y="0"/>
                        <a:ext cx="9922510" cy="53276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48804" w14:textId="77777777" w:rsidR="00121432" w:rsidRPr="00DB2BEB" w:rsidRDefault="00121432" w:rsidP="00FA0B57">
                          <w:pPr>
                            <w:pStyle w:val="Header"/>
                            <w:spacing w:after="0"/>
                            <w:ind w:right="1077"/>
                            <w:jc w:val="right"/>
                            <w:rPr>
                              <w:color w:val="000000" w:themeColor="text1"/>
                            </w:rPr>
                          </w:pPr>
                          <w:r w:rsidRPr="00DB2BEB">
                            <w:rPr>
                              <w:i/>
                              <w:color w:val="000000" w:themeColor="text1"/>
                              <w:sz w:val="20"/>
                            </w:rPr>
                            <w:t>FINAL REPORT: Summative Evaluation of the National Indigenous Crisis Response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B4AED" id="Rectangle 64" o:spid="_x0000_s1026" style="position:absolute;margin-left:-90pt;margin-top:-35.45pt;width:598.1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" fillcolor="#f79646 [3209]" stroked="f" strokeweight="1pt">
              <v:textbox>
                <w:txbxContent>
                  <w:p w14:paraId="1CC48804" w14:textId="77777777" w:rsidR="00121432" w:rsidRPr="00DB2BEB" w:rsidRDefault="00121432" w:rsidP="00FA0B57">
                    <w:pPr>
                      <w:pStyle w:val="Header"/>
                      <w:spacing w:after="0"/>
                      <w:ind w:right="1077"/>
                      <w:jc w:val="right"/>
                      <w:rPr>
                        <w:color w:val="000000" w:themeColor="text1"/>
                      </w:rPr>
                    </w:pPr>
                    <w:r w:rsidRPr="00DB2BEB">
                      <w:rPr>
                        <w:i/>
                        <w:color w:val="000000" w:themeColor="text1"/>
                        <w:sz w:val="20"/>
                      </w:rPr>
                      <w:t>FINAL REPORT: Summative Evaluation of the National Indigenous Crisis Response Service</w:t>
                    </w:r>
                  </w:p>
                </w:txbxContent>
              </v:textbox>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C4BB9" w14:textId="77777777" w:rsidR="00121432" w:rsidRPr="00BF0EDC" w:rsidRDefault="00121432" w:rsidP="004E0FBE">
    <w:pPr>
      <w:pStyle w:val="Header"/>
      <w:spacing w:after="0"/>
    </w:pPr>
    <w:r>
      <w:rPr>
        <w:noProof/>
        <w:lang w:eastAsia="en-AU"/>
      </w:rPr>
      <mc:AlternateContent>
        <mc:Choice Requires="wps">
          <w:drawing>
            <wp:anchor distT="0" distB="0" distL="114300" distR="114300" simplePos="0" relativeHeight="251661312" behindDoc="0" locked="0" layoutInCell="1" allowOverlap="1" wp14:anchorId="1381B487" wp14:editId="22793797">
              <wp:simplePos x="0" y="0"/>
              <wp:positionH relativeFrom="column">
                <wp:posOffset>-685800</wp:posOffset>
              </wp:positionH>
              <wp:positionV relativeFrom="paragraph">
                <wp:posOffset>-450215</wp:posOffset>
              </wp:positionV>
              <wp:extent cx="10687050" cy="532765"/>
              <wp:effectExtent l="0" t="0" r="0" b="635"/>
              <wp:wrapTopAndBottom/>
              <wp:docPr id="166" name="Rectangle 166"/>
              <wp:cNvGraphicFramePr/>
              <a:graphic xmlns:a="http://schemas.openxmlformats.org/drawingml/2006/main">
                <a:graphicData uri="http://schemas.microsoft.com/office/word/2010/wordprocessingShape">
                  <wps:wsp>
                    <wps:cNvSpPr/>
                    <wps:spPr>
                      <a:xfrm>
                        <a:off x="0" y="0"/>
                        <a:ext cx="10687050" cy="53276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22F2E" w14:textId="77777777" w:rsidR="00121432" w:rsidRPr="000257D4" w:rsidRDefault="00121432" w:rsidP="00B41C3B">
                          <w:pPr>
                            <w:pStyle w:val="Header"/>
                            <w:spacing w:after="0"/>
                            <w:ind w:right="1077"/>
                            <w:jc w:val="right"/>
                            <w:rPr>
                              <w:color w:val="000000" w:themeColor="text1"/>
                            </w:rPr>
                          </w:pPr>
                          <w:r w:rsidRPr="000257D4">
                            <w:rPr>
                              <w:i/>
                              <w:color w:val="000000" w:themeColor="text1"/>
                              <w:sz w:val="20"/>
                            </w:rPr>
                            <w:t>FINAL REPORT: Summative Evaluation of the National Indigenous Crisis Response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1B487" id="Rectangle 166" o:spid="_x0000_s1029" style="position:absolute;margin-left:-54pt;margin-top:-35.45pt;width:841.5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" fillcolor="#f79646 [3209]" stroked="f" strokeweight="1pt">
              <v:textbox>
                <w:txbxContent>
                  <w:p w14:paraId="5E222F2E" w14:textId="77777777" w:rsidR="00121432" w:rsidRPr="000257D4" w:rsidRDefault="00121432" w:rsidP="00B41C3B">
                    <w:pPr>
                      <w:pStyle w:val="Header"/>
                      <w:spacing w:after="0"/>
                      <w:ind w:right="1077"/>
                      <w:jc w:val="right"/>
                      <w:rPr>
                        <w:color w:val="000000" w:themeColor="text1"/>
                      </w:rPr>
                    </w:pPr>
                    <w:r w:rsidRPr="000257D4">
                      <w:rPr>
                        <w:i/>
                        <w:color w:val="000000" w:themeColor="text1"/>
                        <w:sz w:val="20"/>
                      </w:rPr>
                      <w:t>FINAL REPORT: Summative Evaluation of the National Indigenous Crisis Response Service</w:t>
                    </w:r>
                  </w:p>
                </w:txbxContent>
              </v:textbox>
              <w10:wrap type="topAndBotto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091C2" w14:textId="77777777" w:rsidR="00121432" w:rsidRPr="00BF0EDC" w:rsidRDefault="00121432" w:rsidP="004E0FBE">
    <w:pPr>
      <w:pStyle w:val="Header"/>
      <w:spacing w:after="0"/>
    </w:pPr>
    <w:r>
      <w:rPr>
        <w:noProof/>
        <w:lang w:eastAsia="en-AU"/>
      </w:rPr>
      <mc:AlternateContent>
        <mc:Choice Requires="wps">
          <w:drawing>
            <wp:inline distT="0" distB="0" distL="0" distR="0" wp14:anchorId="40070A92" wp14:editId="2ADB66DC">
              <wp:extent cx="7596000" cy="532800"/>
              <wp:effectExtent l="0" t="0" r="5080" b="635"/>
              <wp:docPr id="169" name="Rectangle 169"/>
              <wp:cNvGraphicFramePr/>
              <a:graphic xmlns:a="http://schemas.openxmlformats.org/drawingml/2006/main">
                <a:graphicData uri="http://schemas.microsoft.com/office/word/2010/wordprocessingShape">
                  <wps:wsp>
                    <wps:cNvSpPr/>
                    <wps:spPr>
                      <a:xfrm>
                        <a:off x="0" y="0"/>
                        <a:ext cx="7596000" cy="532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A13DD" w14:textId="77777777" w:rsidR="00121432" w:rsidRPr="00EC4DB5" w:rsidRDefault="00121432" w:rsidP="00B41C3B">
                          <w:pPr>
                            <w:pStyle w:val="Header"/>
                            <w:spacing w:after="0"/>
                            <w:ind w:right="1077"/>
                            <w:jc w:val="right"/>
                            <w:rPr>
                              <w:color w:val="000000" w:themeColor="text1"/>
                            </w:rPr>
                          </w:pPr>
                          <w:r w:rsidRPr="00EC4DB5">
                            <w:rPr>
                              <w:i/>
                              <w:color w:val="000000" w:themeColor="text1"/>
                              <w:sz w:val="20"/>
                            </w:rPr>
                            <w:t>FINAL REPORT: Summative Evaluation of the National Indigenous Crisis Response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070A92" id="Rectangle 169" o:spid="_x0000_s1030" style="width:598.1pt;height:4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" fillcolor="#f79646 [3209]" stroked="f" strokeweight="1pt">
              <v:textbox>
                <w:txbxContent>
                  <w:p w14:paraId="1D1A13DD" w14:textId="77777777" w:rsidR="00121432" w:rsidRPr="00EC4DB5" w:rsidRDefault="00121432" w:rsidP="00B41C3B">
                    <w:pPr>
                      <w:pStyle w:val="Header"/>
                      <w:spacing w:after="0"/>
                      <w:ind w:right="1077"/>
                      <w:jc w:val="right"/>
                      <w:rPr>
                        <w:color w:val="000000" w:themeColor="text1"/>
                      </w:rPr>
                    </w:pPr>
                    <w:r w:rsidRPr="00EC4DB5">
                      <w:rPr>
                        <w:i/>
                        <w:color w:val="000000" w:themeColor="text1"/>
                        <w:sz w:val="20"/>
                      </w:rPr>
                      <w:t>FINAL REPORT: Summative Evaluation of the National Indigenous Crisis Response Service</w:t>
                    </w:r>
                  </w:p>
                </w:txbxContent>
              </v:textbox>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141B3" w14:textId="276A3479" w:rsidR="00121432" w:rsidRPr="00F1623D" w:rsidRDefault="00121432" w:rsidP="002243EF">
    <w:pPr>
      <w:pStyle w:val="Header"/>
      <w:jc w:val="right"/>
      <w:rPr>
        <w:i/>
        <w:color w:val="A6A6A6" w:themeColor="background1" w:themeShade="A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77E"/>
    <w:multiLevelType w:val="hybridMultilevel"/>
    <w:tmpl w:val="25D24282"/>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0F575F"/>
    <w:multiLevelType w:val="multilevel"/>
    <w:tmpl w:val="E7228820"/>
    <w:styleLink w:val="TableBullets"/>
    <w:lvl w:ilvl="0">
      <w:start w:val="1"/>
      <w:numFmt w:val="bullet"/>
      <w:pStyle w:val="TableBullets1"/>
      <w:lvlText w:val="•"/>
      <w:lvlJc w:val="left"/>
      <w:pPr>
        <w:ind w:left="227" w:hanging="170"/>
      </w:pPr>
      <w:rPr>
        <w:rFonts w:ascii="Garamond" w:hAnsi="Garamond" w:hint="default"/>
        <w:color w:val="000000" w:themeColor="text1"/>
        <w:sz w:val="22"/>
      </w:rPr>
    </w:lvl>
    <w:lvl w:ilvl="1">
      <w:start w:val="1"/>
      <w:numFmt w:val="bullet"/>
      <w:pStyle w:val="TableBullets2"/>
      <w:lvlText w:val="–"/>
      <w:lvlJc w:val="left"/>
      <w:pPr>
        <w:ind w:left="454" w:hanging="227"/>
      </w:pPr>
      <w:rPr>
        <w:rFonts w:ascii="Garamond" w:hAnsi="Garamond" w:hint="default"/>
        <w:color w:val="1F497D" w:themeColor="text2"/>
      </w:rPr>
    </w:lvl>
    <w:lvl w:ilvl="2">
      <w:start w:val="1"/>
      <w:numFmt w:val="bullet"/>
      <w:lvlText w:val="–"/>
      <w:lvlJc w:val="left"/>
      <w:pPr>
        <w:ind w:left="624" w:hanging="170"/>
      </w:pPr>
      <w:rPr>
        <w:rFonts w:ascii="Garamond" w:hAnsi="Garamond" w:hint="default"/>
        <w:color w:val="1F497D" w:themeColor="text2"/>
      </w:rPr>
    </w:lvl>
    <w:lvl w:ilvl="3">
      <w:start w:val="1"/>
      <w:numFmt w:val="bullet"/>
      <w:lvlText w:val="-"/>
      <w:lvlJc w:val="left"/>
      <w:pPr>
        <w:ind w:left="765" w:hanging="141"/>
      </w:pPr>
      <w:rPr>
        <w:rFonts w:ascii="Garamond" w:hAnsi="Garamond" w:hint="default"/>
        <w:color w:val="1F497D" w:themeColor="text2"/>
      </w:rPr>
    </w:lvl>
    <w:lvl w:ilvl="4">
      <w:start w:val="1"/>
      <w:numFmt w:val="bullet"/>
      <w:pStyle w:val="TableBulletssmall1"/>
      <w:lvlText w:val="•"/>
      <w:lvlJc w:val="left"/>
      <w:pPr>
        <w:ind w:left="227" w:hanging="170"/>
      </w:pPr>
      <w:rPr>
        <w:rFonts w:ascii="Garamond" w:hAnsi="Garamond" w:hint="default"/>
        <w:color w:val="000000" w:themeColor="text1"/>
      </w:rPr>
    </w:lvl>
    <w:lvl w:ilvl="5">
      <w:start w:val="1"/>
      <w:numFmt w:val="bullet"/>
      <w:pStyle w:val="TableBulletssmall2"/>
      <w:lvlText w:val="–"/>
      <w:lvlJc w:val="left"/>
      <w:pPr>
        <w:ind w:left="454" w:hanging="227"/>
      </w:pPr>
      <w:rPr>
        <w:rFonts w:ascii="Garamond" w:hAnsi="Garamond" w:hint="default"/>
        <w:color w:val="1F497D" w:themeColor="text2"/>
      </w:rPr>
    </w:lvl>
    <w:lvl w:ilvl="6">
      <w:start w:val="1"/>
      <w:numFmt w:val="bullet"/>
      <w:lvlText w:val="–"/>
      <w:lvlJc w:val="left"/>
      <w:pPr>
        <w:ind w:left="624" w:hanging="170"/>
      </w:pPr>
      <w:rPr>
        <w:rFonts w:ascii="Garamond" w:hAnsi="Garamond" w:hint="default"/>
        <w:color w:val="1F497D" w:themeColor="text2"/>
      </w:rPr>
    </w:lvl>
    <w:lvl w:ilvl="7">
      <w:start w:val="1"/>
      <w:numFmt w:val="bullet"/>
      <w:lvlText w:val="-"/>
      <w:lvlJc w:val="left"/>
      <w:pPr>
        <w:ind w:left="765" w:hanging="141"/>
      </w:pPr>
      <w:rPr>
        <w:rFonts w:ascii="Garamond" w:hAnsi="Garamond" w:hint="default"/>
        <w:color w:val="1F497D" w:themeColor="text2"/>
      </w:rPr>
    </w:lvl>
    <w:lvl w:ilvl="8">
      <w:start w:val="1"/>
      <w:numFmt w:val="bullet"/>
      <w:lvlText w:val="•"/>
      <w:lvlJc w:val="left"/>
      <w:pPr>
        <w:ind w:left="170" w:hanging="170"/>
      </w:pPr>
      <w:rPr>
        <w:rFonts w:ascii="Garamond" w:hAnsi="Garamond" w:hint="default"/>
        <w:color w:val="000000" w:themeColor="text1"/>
      </w:rPr>
    </w:lvl>
  </w:abstractNum>
  <w:abstractNum w:abstractNumId="2" w15:restartNumberingAfterBreak="0">
    <w:nsid w:val="01233D5A"/>
    <w:multiLevelType w:val="hybridMultilevel"/>
    <w:tmpl w:val="C2F494A8"/>
    <w:lvl w:ilvl="0" w:tplc="0C09000F">
      <w:start w:val="1"/>
      <w:numFmt w:val="decimal"/>
      <w:lvlText w:val="%1."/>
      <w:lvlJc w:val="left"/>
      <w:pPr>
        <w:ind w:left="720" w:hanging="360"/>
      </w:pPr>
      <w:rPr>
        <w:rFonts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03C4B"/>
    <w:multiLevelType w:val="hybridMultilevel"/>
    <w:tmpl w:val="8F9606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903AA1"/>
    <w:multiLevelType w:val="hybridMultilevel"/>
    <w:tmpl w:val="E4D69C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9F5400"/>
    <w:multiLevelType w:val="hybridMultilevel"/>
    <w:tmpl w:val="516C2922"/>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56D88"/>
    <w:multiLevelType w:val="hybridMultilevel"/>
    <w:tmpl w:val="D4F44B16"/>
    <w:lvl w:ilvl="0" w:tplc="8B00E9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08752E"/>
    <w:multiLevelType w:val="hybridMultilevel"/>
    <w:tmpl w:val="66AC64E0"/>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5A5E93"/>
    <w:multiLevelType w:val="multilevel"/>
    <w:tmpl w:val="8A88FDE0"/>
    <w:numStyleLink w:val="Bullets"/>
  </w:abstractNum>
  <w:abstractNum w:abstractNumId="9" w15:restartNumberingAfterBreak="0">
    <w:nsid w:val="0F0C77D2"/>
    <w:multiLevelType w:val="hybridMultilevel"/>
    <w:tmpl w:val="1C508D08"/>
    <w:lvl w:ilvl="0" w:tplc="00000001">
      <w:start w:val="1"/>
      <w:numFmt w:val="bullet"/>
      <w:lvlText w:val="•"/>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0177FEC"/>
    <w:multiLevelType w:val="hybridMultilevel"/>
    <w:tmpl w:val="C6FE7BFE"/>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3B6C95"/>
    <w:multiLevelType w:val="multilevel"/>
    <w:tmpl w:val="8A88FDE0"/>
    <w:styleLink w:val="Bullets"/>
    <w:lvl w:ilvl="0">
      <w:start w:val="1"/>
      <w:numFmt w:val="bullet"/>
      <w:pStyle w:val="Bullets1"/>
      <w:lvlText w:val="•"/>
      <w:lvlJc w:val="left"/>
      <w:pPr>
        <w:tabs>
          <w:tab w:val="num" w:pos="170"/>
        </w:tabs>
        <w:ind w:left="170" w:hanging="170"/>
      </w:pPr>
      <w:rPr>
        <w:rFonts w:ascii="Garamond" w:hAnsi="Garamond" w:hint="default"/>
        <w:color w:val="000000" w:themeColor="text1"/>
        <w:sz w:val="22"/>
      </w:rPr>
    </w:lvl>
    <w:lvl w:ilvl="1">
      <w:start w:val="1"/>
      <w:numFmt w:val="bullet"/>
      <w:pStyle w:val="Bullets2"/>
      <w:lvlText w:val="–"/>
      <w:lvlJc w:val="left"/>
      <w:pPr>
        <w:tabs>
          <w:tab w:val="num" w:pos="397"/>
        </w:tabs>
        <w:ind w:left="397" w:hanging="227"/>
      </w:pPr>
      <w:rPr>
        <w:rFonts w:ascii="Garamond" w:hAnsi="Garamond" w:hint="default"/>
        <w:color w:val="1F497D" w:themeColor="text2"/>
      </w:rPr>
    </w:lvl>
    <w:lvl w:ilvl="2">
      <w:start w:val="1"/>
      <w:numFmt w:val="bullet"/>
      <w:pStyle w:val="Bullets3"/>
      <w:lvlText w:val="–"/>
      <w:lvlJc w:val="left"/>
      <w:pPr>
        <w:tabs>
          <w:tab w:val="num" w:pos="567"/>
        </w:tabs>
        <w:ind w:left="567" w:hanging="170"/>
      </w:pPr>
      <w:rPr>
        <w:rFonts w:ascii="Garamond" w:hAnsi="Garamond" w:hint="default"/>
        <w:color w:val="1F497D" w:themeColor="text2"/>
      </w:rPr>
    </w:lvl>
    <w:lvl w:ilvl="3">
      <w:start w:val="1"/>
      <w:numFmt w:val="bullet"/>
      <w:pStyle w:val="Bullets4"/>
      <w:lvlText w:val="-"/>
      <w:lvlJc w:val="left"/>
      <w:pPr>
        <w:tabs>
          <w:tab w:val="num" w:pos="709"/>
        </w:tabs>
        <w:ind w:left="709" w:hanging="142"/>
      </w:pPr>
      <w:rPr>
        <w:rFonts w:ascii="Garamond" w:hAnsi="Garamond" w:hint="default"/>
        <w:color w:val="1F497D" w:themeColor="text2"/>
      </w:rPr>
    </w:lvl>
    <w:lvl w:ilvl="4">
      <w:start w:val="1"/>
      <w:numFmt w:val="bullet"/>
      <w:lvlText w:val="•"/>
      <w:lvlJc w:val="left"/>
      <w:pPr>
        <w:tabs>
          <w:tab w:val="num" w:pos="170"/>
        </w:tabs>
        <w:ind w:left="170" w:hanging="170"/>
      </w:pPr>
      <w:rPr>
        <w:rFonts w:ascii="Garamond" w:hAnsi="Garamond" w:hint="default"/>
        <w:color w:val="000000" w:themeColor="text1"/>
      </w:rPr>
    </w:lvl>
    <w:lvl w:ilvl="5">
      <w:start w:val="1"/>
      <w:numFmt w:val="bullet"/>
      <w:lvlText w:val="–"/>
      <w:lvlJc w:val="left"/>
      <w:pPr>
        <w:tabs>
          <w:tab w:val="num" w:pos="397"/>
        </w:tabs>
        <w:ind w:left="397" w:hanging="227"/>
      </w:pPr>
      <w:rPr>
        <w:rFonts w:ascii="Garamond" w:hAnsi="Garamond" w:hint="default"/>
        <w:color w:val="1F497D" w:themeColor="text2"/>
      </w:rPr>
    </w:lvl>
    <w:lvl w:ilvl="6">
      <w:start w:val="1"/>
      <w:numFmt w:val="bullet"/>
      <w:lvlText w:val="–"/>
      <w:lvlJc w:val="left"/>
      <w:pPr>
        <w:tabs>
          <w:tab w:val="num" w:pos="567"/>
        </w:tabs>
        <w:ind w:left="567" w:hanging="170"/>
      </w:pPr>
      <w:rPr>
        <w:rFonts w:ascii="Garamond" w:hAnsi="Garamond" w:hint="default"/>
        <w:color w:val="1F497D" w:themeColor="text2"/>
      </w:rPr>
    </w:lvl>
    <w:lvl w:ilvl="7">
      <w:start w:val="1"/>
      <w:numFmt w:val="bullet"/>
      <w:lvlText w:val="-"/>
      <w:lvlJc w:val="left"/>
      <w:pPr>
        <w:tabs>
          <w:tab w:val="num" w:pos="709"/>
        </w:tabs>
        <w:ind w:left="709" w:hanging="142"/>
      </w:pPr>
      <w:rPr>
        <w:rFonts w:ascii="Garamond" w:hAnsi="Garamond" w:hint="default"/>
        <w:color w:val="1F497D" w:themeColor="text2"/>
      </w:rPr>
    </w:lvl>
    <w:lvl w:ilvl="8">
      <w:start w:val="1"/>
      <w:numFmt w:val="bullet"/>
      <w:lvlText w:val="•"/>
      <w:lvlJc w:val="left"/>
      <w:pPr>
        <w:tabs>
          <w:tab w:val="num" w:pos="170"/>
        </w:tabs>
        <w:ind w:left="170" w:hanging="170"/>
      </w:pPr>
      <w:rPr>
        <w:rFonts w:ascii="Garamond" w:hAnsi="Garamond" w:hint="default"/>
        <w:color w:val="000000" w:themeColor="text1"/>
      </w:rPr>
    </w:lvl>
  </w:abstractNum>
  <w:abstractNum w:abstractNumId="12" w15:restartNumberingAfterBreak="0">
    <w:nsid w:val="22072026"/>
    <w:multiLevelType w:val="hybridMultilevel"/>
    <w:tmpl w:val="3758A5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8F0320"/>
    <w:multiLevelType w:val="hybridMultilevel"/>
    <w:tmpl w:val="3814C9AE"/>
    <w:lvl w:ilvl="0" w:tplc="0C090001">
      <w:start w:val="1"/>
      <w:numFmt w:val="bullet"/>
      <w:lvlText w:val=""/>
      <w:lvlJc w:val="left"/>
      <w:pPr>
        <w:ind w:left="730" w:hanging="720"/>
      </w:pPr>
      <w:rPr>
        <w:rFonts w:ascii="Symbol" w:hAnsi="Symbol"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abstractNum w:abstractNumId="14" w15:restartNumberingAfterBreak="0">
    <w:nsid w:val="23035DC9"/>
    <w:multiLevelType w:val="hybridMultilevel"/>
    <w:tmpl w:val="999219B8"/>
    <w:lvl w:ilvl="0" w:tplc="4F922696">
      <w:start w:val="1"/>
      <w:numFmt w:val="bullet"/>
      <w:pStyle w:val="ListParagraph"/>
      <w:lvlText w:val=""/>
      <w:lvlJc w:val="left"/>
      <w:pPr>
        <w:ind w:left="720" w:hanging="360"/>
      </w:pPr>
      <w:rPr>
        <w:rFonts w:ascii="Wingdings" w:hAnsi="Wingdings" w:hint="default"/>
        <w:color w:val="000000" w:themeColor="text1"/>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CA7D21"/>
    <w:multiLevelType w:val="hybridMultilevel"/>
    <w:tmpl w:val="838E6150"/>
    <w:lvl w:ilvl="0" w:tplc="0C09000F">
      <w:start w:val="1"/>
      <w:numFmt w:val="decimal"/>
      <w:lvlText w:val="%1."/>
      <w:lvlJc w:val="left"/>
      <w:pPr>
        <w:ind w:left="720" w:hanging="360"/>
      </w:pPr>
    </w:lvl>
    <w:lvl w:ilvl="1" w:tplc="84729034">
      <w:start w:val="1"/>
      <w:numFmt w:val="bullet"/>
      <w:lvlText w:val=""/>
      <w:lvlJc w:val="left"/>
      <w:pPr>
        <w:ind w:left="1440" w:hanging="360"/>
      </w:pPr>
      <w:rPr>
        <w:rFonts w:ascii="Wingdings" w:hAnsi="Wingdings" w:hint="default"/>
        <w:color w:val="auto"/>
        <w:sz w:val="2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AE2267"/>
    <w:multiLevelType w:val="hybridMultilevel"/>
    <w:tmpl w:val="690C6110"/>
    <w:lvl w:ilvl="0" w:tplc="AD2624C6">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044D6F"/>
    <w:multiLevelType w:val="hybridMultilevel"/>
    <w:tmpl w:val="39A01E9E"/>
    <w:lvl w:ilvl="0" w:tplc="8062CCDC">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1850AD0"/>
    <w:multiLevelType w:val="hybridMultilevel"/>
    <w:tmpl w:val="23028F2E"/>
    <w:lvl w:ilvl="0" w:tplc="0D48EE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1D40A5"/>
    <w:multiLevelType w:val="hybridMultilevel"/>
    <w:tmpl w:val="31E80D24"/>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CD2735"/>
    <w:multiLevelType w:val="hybridMultilevel"/>
    <w:tmpl w:val="FE42AF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153169"/>
    <w:multiLevelType w:val="hybridMultilevel"/>
    <w:tmpl w:val="A7B688CA"/>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8875E4"/>
    <w:multiLevelType w:val="hybridMultilevel"/>
    <w:tmpl w:val="FE58348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006830"/>
    <w:multiLevelType w:val="hybridMultilevel"/>
    <w:tmpl w:val="AF6A044A"/>
    <w:lvl w:ilvl="0" w:tplc="0C09000F">
      <w:start w:val="1"/>
      <w:numFmt w:val="decimal"/>
      <w:lvlText w:val="%1."/>
      <w:lvlJc w:val="left"/>
      <w:pPr>
        <w:ind w:left="644" w:hanging="360"/>
      </w:pPr>
      <w:rPr>
        <w:color w:val="000000" w:themeColor="text1"/>
        <w:sz w:val="20"/>
        <w:szCs w:val="20"/>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start w:val="1"/>
      <w:numFmt w:val="lowerLetter"/>
      <w:lvlText w:val="%8."/>
      <w:lvlJc w:val="left"/>
      <w:pPr>
        <w:ind w:left="5684" w:hanging="360"/>
      </w:pPr>
    </w:lvl>
    <w:lvl w:ilvl="8" w:tplc="0C09001B">
      <w:start w:val="1"/>
      <w:numFmt w:val="lowerRoman"/>
      <w:lvlText w:val="%9."/>
      <w:lvlJc w:val="right"/>
      <w:pPr>
        <w:ind w:left="6404" w:hanging="180"/>
      </w:pPr>
    </w:lvl>
  </w:abstractNum>
  <w:abstractNum w:abstractNumId="24" w15:restartNumberingAfterBreak="0">
    <w:nsid w:val="3F696D2C"/>
    <w:multiLevelType w:val="hybridMultilevel"/>
    <w:tmpl w:val="AB22B5A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3FB263CF"/>
    <w:multiLevelType w:val="hybridMultilevel"/>
    <w:tmpl w:val="108AFC68"/>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E839AB"/>
    <w:multiLevelType w:val="hybridMultilevel"/>
    <w:tmpl w:val="608C79B0"/>
    <w:lvl w:ilvl="0" w:tplc="84729034">
      <w:start w:val="1"/>
      <w:numFmt w:val="bullet"/>
      <w:lvlText w:val=""/>
      <w:lvlJc w:val="left"/>
      <w:pPr>
        <w:ind w:left="720" w:hanging="360"/>
      </w:pPr>
      <w:rPr>
        <w:rFonts w:ascii="Wingdings" w:hAnsi="Wingdings"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C566B3"/>
    <w:multiLevelType w:val="hybridMultilevel"/>
    <w:tmpl w:val="3A3EE8D8"/>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323A7B"/>
    <w:multiLevelType w:val="hybridMultilevel"/>
    <w:tmpl w:val="94DC487E"/>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C925DC"/>
    <w:multiLevelType w:val="hybridMultilevel"/>
    <w:tmpl w:val="96920604"/>
    <w:lvl w:ilvl="0" w:tplc="AD2624C6">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BF4207D"/>
    <w:multiLevelType w:val="hybridMultilevel"/>
    <w:tmpl w:val="0A1627E0"/>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923D18"/>
    <w:multiLevelType w:val="hybridMultilevel"/>
    <w:tmpl w:val="732602B2"/>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705B39"/>
    <w:multiLevelType w:val="multilevel"/>
    <w:tmpl w:val="C7A49452"/>
    <w:lvl w:ilvl="0">
      <w:start w:val="1"/>
      <w:numFmt w:val="decimal"/>
      <w:pStyle w:val="Heading1"/>
      <w:lvlText w:val="%1"/>
      <w:lvlJc w:val="left"/>
      <w:pPr>
        <w:ind w:left="432" w:hanging="432"/>
      </w:pPr>
    </w:lvl>
    <w:lvl w:ilvl="1">
      <w:start w:val="1"/>
      <w:numFmt w:val="decimal"/>
      <w:pStyle w:val="Heading2"/>
      <w:lvlText w:val="%1.%2"/>
      <w:lvlJc w:val="left"/>
      <w:pPr>
        <w:ind w:left="823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624713B"/>
    <w:multiLevelType w:val="hybridMultilevel"/>
    <w:tmpl w:val="5EB81DFC"/>
    <w:lvl w:ilvl="0" w:tplc="4A2627A4">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046CD2"/>
    <w:multiLevelType w:val="hybridMultilevel"/>
    <w:tmpl w:val="754455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F243F"/>
    <w:multiLevelType w:val="hybridMultilevel"/>
    <w:tmpl w:val="BDEA4646"/>
    <w:lvl w:ilvl="0" w:tplc="AD2624C6">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DC75EE4"/>
    <w:multiLevelType w:val="hybridMultilevel"/>
    <w:tmpl w:val="06D20DE2"/>
    <w:lvl w:ilvl="0" w:tplc="84729034">
      <w:start w:val="1"/>
      <w:numFmt w:val="bullet"/>
      <w:lvlText w:val=""/>
      <w:lvlJc w:val="left"/>
      <w:pPr>
        <w:ind w:left="720" w:hanging="360"/>
      </w:pPr>
      <w:rPr>
        <w:rFonts w:ascii="Wingdings" w:hAnsi="Wingdings"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297C50"/>
    <w:multiLevelType w:val="hybridMultilevel"/>
    <w:tmpl w:val="C7FA3C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B81296"/>
    <w:multiLevelType w:val="hybridMultilevel"/>
    <w:tmpl w:val="50568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8C778EC"/>
    <w:multiLevelType w:val="hybridMultilevel"/>
    <w:tmpl w:val="10784024"/>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BC7436"/>
    <w:multiLevelType w:val="hybridMultilevel"/>
    <w:tmpl w:val="F070AC3C"/>
    <w:lvl w:ilvl="0" w:tplc="AD2624C6">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0610AD"/>
    <w:multiLevelType w:val="hybridMultilevel"/>
    <w:tmpl w:val="B7DE752E"/>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095E01"/>
    <w:multiLevelType w:val="hybridMultilevel"/>
    <w:tmpl w:val="7B4EE59E"/>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E03F17"/>
    <w:multiLevelType w:val="hybridMultilevel"/>
    <w:tmpl w:val="56962E78"/>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2176A9"/>
    <w:multiLevelType w:val="hybridMultilevel"/>
    <w:tmpl w:val="F32A1A60"/>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2775D3"/>
    <w:multiLevelType w:val="hybridMultilevel"/>
    <w:tmpl w:val="25D83DC0"/>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BD402D"/>
    <w:multiLevelType w:val="multilevel"/>
    <w:tmpl w:val="979A8E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79063194"/>
    <w:multiLevelType w:val="hybridMultilevel"/>
    <w:tmpl w:val="AF0034E6"/>
    <w:lvl w:ilvl="0" w:tplc="AD2624C6">
      <w:start w:val="1"/>
      <w:numFmt w:val="bullet"/>
      <w:lvlText w:val=""/>
      <w:lvlJc w:val="left"/>
      <w:pPr>
        <w:ind w:left="720" w:hanging="360"/>
      </w:pPr>
      <w:rPr>
        <w:rFonts w:ascii="Wingdings" w:hAnsi="Wingdings" w:hint="default"/>
        <w:color w:val="000000" w:themeColor="text1"/>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531B85"/>
    <w:multiLevelType w:val="hybridMultilevel"/>
    <w:tmpl w:val="F7004F66"/>
    <w:lvl w:ilvl="0" w:tplc="8062CCDC">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0B02F3"/>
    <w:multiLevelType w:val="hybridMultilevel"/>
    <w:tmpl w:val="460CC9CC"/>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851915"/>
    <w:multiLevelType w:val="hybridMultilevel"/>
    <w:tmpl w:val="D9284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043A9A"/>
    <w:multiLevelType w:val="hybridMultilevel"/>
    <w:tmpl w:val="A08A72B6"/>
    <w:lvl w:ilvl="0" w:tplc="AD2624C6">
      <w:start w:val="1"/>
      <w:numFmt w:val="bullet"/>
      <w:lvlText w:val=""/>
      <w:lvlJc w:val="left"/>
      <w:pPr>
        <w:ind w:left="720" w:hanging="360"/>
      </w:pPr>
      <w:rPr>
        <w:rFonts w:ascii="Wingdings" w:hAnsi="Wingdings"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7"/>
  </w:num>
  <w:num w:numId="4">
    <w:abstractNumId w:val="36"/>
  </w:num>
  <w:num w:numId="5">
    <w:abstractNumId w:val="2"/>
  </w:num>
  <w:num w:numId="6">
    <w:abstractNumId w:val="15"/>
  </w:num>
  <w:num w:numId="7">
    <w:abstractNumId w:val="24"/>
  </w:num>
  <w:num w:numId="8">
    <w:abstractNumId w:val="26"/>
  </w:num>
  <w:num w:numId="9">
    <w:abstractNumId w:val="1"/>
  </w:num>
  <w:num w:numId="10">
    <w:abstractNumId w:val="48"/>
  </w:num>
  <w:num w:numId="11">
    <w:abstractNumId w:val="29"/>
  </w:num>
  <w:num w:numId="12">
    <w:abstractNumId w:val="51"/>
  </w:num>
  <w:num w:numId="13">
    <w:abstractNumId w:val="16"/>
  </w:num>
  <w:num w:numId="14">
    <w:abstractNumId w:val="42"/>
  </w:num>
  <w:num w:numId="15">
    <w:abstractNumId w:val="10"/>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2"/>
  </w:num>
  <w:num w:numId="19">
    <w:abstractNumId w:val="11"/>
  </w:num>
  <w:num w:numId="20">
    <w:abstractNumId w:val="12"/>
  </w:num>
  <w:num w:numId="21">
    <w:abstractNumId w:val="46"/>
  </w:num>
  <w:num w:numId="22">
    <w:abstractNumId w:val="3"/>
  </w:num>
  <w:num w:numId="23">
    <w:abstractNumId w:val="13"/>
  </w:num>
  <w:num w:numId="24">
    <w:abstractNumId w:val="21"/>
  </w:num>
  <w:num w:numId="25">
    <w:abstractNumId w:val="20"/>
  </w:num>
  <w:num w:numId="26">
    <w:abstractNumId w:val="38"/>
  </w:num>
  <w:num w:numId="27">
    <w:abstractNumId w:val="31"/>
  </w:num>
  <w:num w:numId="28">
    <w:abstractNumId w:val="2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49"/>
  </w:num>
  <w:num w:numId="32">
    <w:abstractNumId w:val="8"/>
  </w:num>
  <w:num w:numId="33">
    <w:abstractNumId w:val="30"/>
  </w:num>
  <w:num w:numId="34">
    <w:abstractNumId w:val="43"/>
  </w:num>
  <w:num w:numId="35">
    <w:abstractNumId w:val="44"/>
  </w:num>
  <w:num w:numId="36">
    <w:abstractNumId w:val="19"/>
  </w:num>
  <w:num w:numId="37">
    <w:abstractNumId w:val="41"/>
  </w:num>
  <w:num w:numId="38">
    <w:abstractNumId w:val="40"/>
  </w:num>
  <w:num w:numId="39">
    <w:abstractNumId w:val="45"/>
  </w:num>
  <w:num w:numId="40">
    <w:abstractNumId w:val="0"/>
  </w:num>
  <w:num w:numId="41">
    <w:abstractNumId w:val="27"/>
  </w:num>
  <w:num w:numId="42">
    <w:abstractNumId w:val="47"/>
  </w:num>
  <w:num w:numId="43">
    <w:abstractNumId w:val="25"/>
  </w:num>
  <w:num w:numId="44">
    <w:abstractNumId w:val="6"/>
  </w:num>
  <w:num w:numId="45">
    <w:abstractNumId w:val="35"/>
  </w:num>
  <w:num w:numId="46">
    <w:abstractNumId w:val="7"/>
  </w:num>
  <w:num w:numId="47">
    <w:abstractNumId w:val="5"/>
  </w:num>
  <w:num w:numId="48">
    <w:abstractNumId w:val="50"/>
  </w:num>
  <w:num w:numId="49">
    <w:abstractNumId w:val="34"/>
  </w:num>
  <w:num w:numId="50">
    <w:abstractNumId w:val="4"/>
  </w:num>
  <w:num w:numId="51">
    <w:abstractNumId w:val="33"/>
  </w:num>
  <w:num w:numId="52">
    <w:abstractNumId w:val="3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29"/>
    <w:rsid w:val="0000019F"/>
    <w:rsid w:val="00000C48"/>
    <w:rsid w:val="0000117F"/>
    <w:rsid w:val="0000193E"/>
    <w:rsid w:val="00002F90"/>
    <w:rsid w:val="0000362E"/>
    <w:rsid w:val="000039A1"/>
    <w:rsid w:val="00005089"/>
    <w:rsid w:val="0000509B"/>
    <w:rsid w:val="00005300"/>
    <w:rsid w:val="0000541B"/>
    <w:rsid w:val="00006BD4"/>
    <w:rsid w:val="000071A1"/>
    <w:rsid w:val="00007ABA"/>
    <w:rsid w:val="00007BA4"/>
    <w:rsid w:val="00007F30"/>
    <w:rsid w:val="00010298"/>
    <w:rsid w:val="000127B9"/>
    <w:rsid w:val="0001288E"/>
    <w:rsid w:val="00013233"/>
    <w:rsid w:val="000132D3"/>
    <w:rsid w:val="0001341E"/>
    <w:rsid w:val="00014257"/>
    <w:rsid w:val="0001542E"/>
    <w:rsid w:val="000166F5"/>
    <w:rsid w:val="00016E18"/>
    <w:rsid w:val="0002056D"/>
    <w:rsid w:val="00021F7A"/>
    <w:rsid w:val="0002310D"/>
    <w:rsid w:val="0002374D"/>
    <w:rsid w:val="000256E7"/>
    <w:rsid w:val="000257D4"/>
    <w:rsid w:val="00025C12"/>
    <w:rsid w:val="0002640E"/>
    <w:rsid w:val="00030940"/>
    <w:rsid w:val="0003107E"/>
    <w:rsid w:val="00031459"/>
    <w:rsid w:val="000344D4"/>
    <w:rsid w:val="00034C03"/>
    <w:rsid w:val="00035D9A"/>
    <w:rsid w:val="000363C4"/>
    <w:rsid w:val="00036C59"/>
    <w:rsid w:val="000370DB"/>
    <w:rsid w:val="000409F4"/>
    <w:rsid w:val="000411B5"/>
    <w:rsid w:val="00041827"/>
    <w:rsid w:val="00042B3B"/>
    <w:rsid w:val="00043DDC"/>
    <w:rsid w:val="000444B6"/>
    <w:rsid w:val="00044CAB"/>
    <w:rsid w:val="00045289"/>
    <w:rsid w:val="00045329"/>
    <w:rsid w:val="000461C6"/>
    <w:rsid w:val="00046612"/>
    <w:rsid w:val="0004737F"/>
    <w:rsid w:val="0005046A"/>
    <w:rsid w:val="00050D4B"/>
    <w:rsid w:val="00050D8B"/>
    <w:rsid w:val="0005135B"/>
    <w:rsid w:val="00051945"/>
    <w:rsid w:val="00052298"/>
    <w:rsid w:val="000524F1"/>
    <w:rsid w:val="000527DE"/>
    <w:rsid w:val="00053C59"/>
    <w:rsid w:val="000543D2"/>
    <w:rsid w:val="00054949"/>
    <w:rsid w:val="00054B25"/>
    <w:rsid w:val="00054CE7"/>
    <w:rsid w:val="00055B62"/>
    <w:rsid w:val="000568B7"/>
    <w:rsid w:val="0005723D"/>
    <w:rsid w:val="000573B7"/>
    <w:rsid w:val="0006270E"/>
    <w:rsid w:val="00063254"/>
    <w:rsid w:val="0006383D"/>
    <w:rsid w:val="00063D1E"/>
    <w:rsid w:val="00063F63"/>
    <w:rsid w:val="00064D1F"/>
    <w:rsid w:val="00066801"/>
    <w:rsid w:val="000675B5"/>
    <w:rsid w:val="000678BE"/>
    <w:rsid w:val="00067E4E"/>
    <w:rsid w:val="000704AE"/>
    <w:rsid w:val="000704B4"/>
    <w:rsid w:val="00071486"/>
    <w:rsid w:val="00071E07"/>
    <w:rsid w:val="00071F74"/>
    <w:rsid w:val="00072B09"/>
    <w:rsid w:val="0007658C"/>
    <w:rsid w:val="000767B4"/>
    <w:rsid w:val="000771F6"/>
    <w:rsid w:val="00077824"/>
    <w:rsid w:val="00080DEB"/>
    <w:rsid w:val="00081ED0"/>
    <w:rsid w:val="000837AE"/>
    <w:rsid w:val="00083B30"/>
    <w:rsid w:val="00084A62"/>
    <w:rsid w:val="00084E66"/>
    <w:rsid w:val="00084F4E"/>
    <w:rsid w:val="000852EB"/>
    <w:rsid w:val="000902F2"/>
    <w:rsid w:val="00090A52"/>
    <w:rsid w:val="000921E4"/>
    <w:rsid w:val="00092336"/>
    <w:rsid w:val="00092381"/>
    <w:rsid w:val="00092B6D"/>
    <w:rsid w:val="000941BD"/>
    <w:rsid w:val="00094207"/>
    <w:rsid w:val="00095A03"/>
    <w:rsid w:val="000A12F2"/>
    <w:rsid w:val="000A3AC7"/>
    <w:rsid w:val="000A4EF0"/>
    <w:rsid w:val="000A5904"/>
    <w:rsid w:val="000A5964"/>
    <w:rsid w:val="000A66E3"/>
    <w:rsid w:val="000A73F8"/>
    <w:rsid w:val="000B0283"/>
    <w:rsid w:val="000B0361"/>
    <w:rsid w:val="000B067E"/>
    <w:rsid w:val="000B105E"/>
    <w:rsid w:val="000B11CA"/>
    <w:rsid w:val="000B207C"/>
    <w:rsid w:val="000B442C"/>
    <w:rsid w:val="000B7DB8"/>
    <w:rsid w:val="000C1451"/>
    <w:rsid w:val="000C2382"/>
    <w:rsid w:val="000C2458"/>
    <w:rsid w:val="000C301D"/>
    <w:rsid w:val="000C35FA"/>
    <w:rsid w:val="000C5960"/>
    <w:rsid w:val="000C64FC"/>
    <w:rsid w:val="000C7018"/>
    <w:rsid w:val="000D101F"/>
    <w:rsid w:val="000D1243"/>
    <w:rsid w:val="000D36A5"/>
    <w:rsid w:val="000D423C"/>
    <w:rsid w:val="000D4559"/>
    <w:rsid w:val="000D58A6"/>
    <w:rsid w:val="000D6681"/>
    <w:rsid w:val="000E026F"/>
    <w:rsid w:val="000E0600"/>
    <w:rsid w:val="000E17AA"/>
    <w:rsid w:val="000E24A9"/>
    <w:rsid w:val="000E24AC"/>
    <w:rsid w:val="000E2B68"/>
    <w:rsid w:val="000E39A3"/>
    <w:rsid w:val="000E41B2"/>
    <w:rsid w:val="000E49F8"/>
    <w:rsid w:val="000E6BCA"/>
    <w:rsid w:val="000E750E"/>
    <w:rsid w:val="000E76B3"/>
    <w:rsid w:val="000E796A"/>
    <w:rsid w:val="000F008C"/>
    <w:rsid w:val="000F2AA8"/>
    <w:rsid w:val="000F3858"/>
    <w:rsid w:val="000F3E5E"/>
    <w:rsid w:val="000F429A"/>
    <w:rsid w:val="000F4D59"/>
    <w:rsid w:val="000F53D9"/>
    <w:rsid w:val="000F5458"/>
    <w:rsid w:val="000F66D0"/>
    <w:rsid w:val="000F68CF"/>
    <w:rsid w:val="000F6EF8"/>
    <w:rsid w:val="000F70A0"/>
    <w:rsid w:val="000F777F"/>
    <w:rsid w:val="000F7B70"/>
    <w:rsid w:val="00101520"/>
    <w:rsid w:val="0010168D"/>
    <w:rsid w:val="00101B28"/>
    <w:rsid w:val="00101E2C"/>
    <w:rsid w:val="00101F33"/>
    <w:rsid w:val="00102874"/>
    <w:rsid w:val="00104142"/>
    <w:rsid w:val="00104A01"/>
    <w:rsid w:val="0010547C"/>
    <w:rsid w:val="00107A29"/>
    <w:rsid w:val="00110706"/>
    <w:rsid w:val="00110B2C"/>
    <w:rsid w:val="00110ECA"/>
    <w:rsid w:val="001115C0"/>
    <w:rsid w:val="001129C1"/>
    <w:rsid w:val="00112C45"/>
    <w:rsid w:val="001157BA"/>
    <w:rsid w:val="001208BC"/>
    <w:rsid w:val="00121432"/>
    <w:rsid w:val="00121F86"/>
    <w:rsid w:val="0012697E"/>
    <w:rsid w:val="001273ED"/>
    <w:rsid w:val="0012786A"/>
    <w:rsid w:val="001310D9"/>
    <w:rsid w:val="00131399"/>
    <w:rsid w:val="001320BB"/>
    <w:rsid w:val="00132CD3"/>
    <w:rsid w:val="0013389E"/>
    <w:rsid w:val="0013555F"/>
    <w:rsid w:val="0013563A"/>
    <w:rsid w:val="001356FB"/>
    <w:rsid w:val="001358B6"/>
    <w:rsid w:val="00140507"/>
    <w:rsid w:val="0014088D"/>
    <w:rsid w:val="00140F8F"/>
    <w:rsid w:val="00144097"/>
    <w:rsid w:val="00144316"/>
    <w:rsid w:val="0014496A"/>
    <w:rsid w:val="00144F93"/>
    <w:rsid w:val="001457D8"/>
    <w:rsid w:val="0014650C"/>
    <w:rsid w:val="00146A1B"/>
    <w:rsid w:val="00146F8E"/>
    <w:rsid w:val="0014796B"/>
    <w:rsid w:val="001508D3"/>
    <w:rsid w:val="00151B91"/>
    <w:rsid w:val="001522CA"/>
    <w:rsid w:val="001523BA"/>
    <w:rsid w:val="0015250F"/>
    <w:rsid w:val="00152634"/>
    <w:rsid w:val="00152A64"/>
    <w:rsid w:val="00152AC6"/>
    <w:rsid w:val="00153864"/>
    <w:rsid w:val="001546D6"/>
    <w:rsid w:val="0015499A"/>
    <w:rsid w:val="001551C0"/>
    <w:rsid w:val="00155E68"/>
    <w:rsid w:val="00156F04"/>
    <w:rsid w:val="00157117"/>
    <w:rsid w:val="00157FD1"/>
    <w:rsid w:val="00160756"/>
    <w:rsid w:val="00161104"/>
    <w:rsid w:val="00161913"/>
    <w:rsid w:val="00161C49"/>
    <w:rsid w:val="0016306D"/>
    <w:rsid w:val="00163875"/>
    <w:rsid w:val="00163A6F"/>
    <w:rsid w:val="00163C21"/>
    <w:rsid w:val="00163D19"/>
    <w:rsid w:val="0016494F"/>
    <w:rsid w:val="00165454"/>
    <w:rsid w:val="0016549E"/>
    <w:rsid w:val="00165A08"/>
    <w:rsid w:val="00166513"/>
    <w:rsid w:val="00166679"/>
    <w:rsid w:val="001670B9"/>
    <w:rsid w:val="00167506"/>
    <w:rsid w:val="0016759A"/>
    <w:rsid w:val="00167930"/>
    <w:rsid w:val="00167F29"/>
    <w:rsid w:val="00167F4D"/>
    <w:rsid w:val="0017012E"/>
    <w:rsid w:val="00171165"/>
    <w:rsid w:val="0017204D"/>
    <w:rsid w:val="001724A3"/>
    <w:rsid w:val="001727B1"/>
    <w:rsid w:val="001730CC"/>
    <w:rsid w:val="00173A20"/>
    <w:rsid w:val="0017403B"/>
    <w:rsid w:val="001745D0"/>
    <w:rsid w:val="00174923"/>
    <w:rsid w:val="00174CFB"/>
    <w:rsid w:val="00174E0A"/>
    <w:rsid w:val="00174F29"/>
    <w:rsid w:val="001757E4"/>
    <w:rsid w:val="00176815"/>
    <w:rsid w:val="00176910"/>
    <w:rsid w:val="0017747A"/>
    <w:rsid w:val="00177679"/>
    <w:rsid w:val="001806EC"/>
    <w:rsid w:val="00182E45"/>
    <w:rsid w:val="00183541"/>
    <w:rsid w:val="00183E7B"/>
    <w:rsid w:val="0018426A"/>
    <w:rsid w:val="00185081"/>
    <w:rsid w:val="00186C2A"/>
    <w:rsid w:val="0018732F"/>
    <w:rsid w:val="00187E0C"/>
    <w:rsid w:val="001901A4"/>
    <w:rsid w:val="00190EDA"/>
    <w:rsid w:val="001912BD"/>
    <w:rsid w:val="001919B2"/>
    <w:rsid w:val="00191A27"/>
    <w:rsid w:val="00191D63"/>
    <w:rsid w:val="00192B59"/>
    <w:rsid w:val="00193036"/>
    <w:rsid w:val="00193CBE"/>
    <w:rsid w:val="00193E1A"/>
    <w:rsid w:val="00194CCB"/>
    <w:rsid w:val="00195396"/>
    <w:rsid w:val="00195CF9"/>
    <w:rsid w:val="001A06B4"/>
    <w:rsid w:val="001A28C6"/>
    <w:rsid w:val="001A2D74"/>
    <w:rsid w:val="001A2F60"/>
    <w:rsid w:val="001A38E7"/>
    <w:rsid w:val="001A4271"/>
    <w:rsid w:val="001A47F3"/>
    <w:rsid w:val="001A57AC"/>
    <w:rsid w:val="001A5B3C"/>
    <w:rsid w:val="001A603E"/>
    <w:rsid w:val="001A78B0"/>
    <w:rsid w:val="001B036E"/>
    <w:rsid w:val="001B1359"/>
    <w:rsid w:val="001B20F0"/>
    <w:rsid w:val="001B37BB"/>
    <w:rsid w:val="001B40CC"/>
    <w:rsid w:val="001B4E22"/>
    <w:rsid w:val="001B5400"/>
    <w:rsid w:val="001B58A9"/>
    <w:rsid w:val="001B58BD"/>
    <w:rsid w:val="001B658E"/>
    <w:rsid w:val="001B6C88"/>
    <w:rsid w:val="001B725E"/>
    <w:rsid w:val="001B7654"/>
    <w:rsid w:val="001C06E9"/>
    <w:rsid w:val="001C1DBB"/>
    <w:rsid w:val="001C23A8"/>
    <w:rsid w:val="001C4664"/>
    <w:rsid w:val="001C504C"/>
    <w:rsid w:val="001C517F"/>
    <w:rsid w:val="001C5269"/>
    <w:rsid w:val="001C5A28"/>
    <w:rsid w:val="001C5BAC"/>
    <w:rsid w:val="001C5D73"/>
    <w:rsid w:val="001C5E7C"/>
    <w:rsid w:val="001C6350"/>
    <w:rsid w:val="001C6F3C"/>
    <w:rsid w:val="001C7719"/>
    <w:rsid w:val="001D0638"/>
    <w:rsid w:val="001D18D2"/>
    <w:rsid w:val="001D1F91"/>
    <w:rsid w:val="001D229A"/>
    <w:rsid w:val="001D277E"/>
    <w:rsid w:val="001D3238"/>
    <w:rsid w:val="001D5745"/>
    <w:rsid w:val="001E0F90"/>
    <w:rsid w:val="001E37D1"/>
    <w:rsid w:val="001E3B69"/>
    <w:rsid w:val="001E3B8E"/>
    <w:rsid w:val="001E41E3"/>
    <w:rsid w:val="001E4573"/>
    <w:rsid w:val="001E47E1"/>
    <w:rsid w:val="001E49A0"/>
    <w:rsid w:val="001E5CBE"/>
    <w:rsid w:val="001E62B9"/>
    <w:rsid w:val="001E641C"/>
    <w:rsid w:val="001E66FC"/>
    <w:rsid w:val="001E73A1"/>
    <w:rsid w:val="001F1D3E"/>
    <w:rsid w:val="001F1E17"/>
    <w:rsid w:val="001F27B6"/>
    <w:rsid w:val="001F44D2"/>
    <w:rsid w:val="001F4848"/>
    <w:rsid w:val="001F61E6"/>
    <w:rsid w:val="001F77D4"/>
    <w:rsid w:val="001F7841"/>
    <w:rsid w:val="00200002"/>
    <w:rsid w:val="00200F1C"/>
    <w:rsid w:val="00201057"/>
    <w:rsid w:val="002029AF"/>
    <w:rsid w:val="00203373"/>
    <w:rsid w:val="00203421"/>
    <w:rsid w:val="00204C91"/>
    <w:rsid w:val="002054AE"/>
    <w:rsid w:val="0020701C"/>
    <w:rsid w:val="002078BD"/>
    <w:rsid w:val="002105F2"/>
    <w:rsid w:val="00210A67"/>
    <w:rsid w:val="00210B99"/>
    <w:rsid w:val="00211275"/>
    <w:rsid w:val="002113B7"/>
    <w:rsid w:val="00212247"/>
    <w:rsid w:val="00212ED7"/>
    <w:rsid w:val="00214014"/>
    <w:rsid w:val="00214058"/>
    <w:rsid w:val="002145F7"/>
    <w:rsid w:val="00214BE9"/>
    <w:rsid w:val="00215032"/>
    <w:rsid w:val="00216906"/>
    <w:rsid w:val="00216B02"/>
    <w:rsid w:val="00216C46"/>
    <w:rsid w:val="0021704A"/>
    <w:rsid w:val="00217932"/>
    <w:rsid w:val="00221ADC"/>
    <w:rsid w:val="002223A9"/>
    <w:rsid w:val="002233A0"/>
    <w:rsid w:val="002243EF"/>
    <w:rsid w:val="0022605B"/>
    <w:rsid w:val="002263E9"/>
    <w:rsid w:val="00226D61"/>
    <w:rsid w:val="002272F3"/>
    <w:rsid w:val="00227F13"/>
    <w:rsid w:val="002300C7"/>
    <w:rsid w:val="002301AF"/>
    <w:rsid w:val="0023049E"/>
    <w:rsid w:val="00232E79"/>
    <w:rsid w:val="00233242"/>
    <w:rsid w:val="00233B16"/>
    <w:rsid w:val="002341A2"/>
    <w:rsid w:val="00234F11"/>
    <w:rsid w:val="0023512A"/>
    <w:rsid w:val="002375E6"/>
    <w:rsid w:val="00237B0A"/>
    <w:rsid w:val="00241351"/>
    <w:rsid w:val="002419D2"/>
    <w:rsid w:val="002434B3"/>
    <w:rsid w:val="002446EE"/>
    <w:rsid w:val="00244C04"/>
    <w:rsid w:val="00246A7B"/>
    <w:rsid w:val="00247E98"/>
    <w:rsid w:val="00247EA6"/>
    <w:rsid w:val="002509FC"/>
    <w:rsid w:val="0025141C"/>
    <w:rsid w:val="00251A9C"/>
    <w:rsid w:val="00252DDB"/>
    <w:rsid w:val="00253229"/>
    <w:rsid w:val="00253446"/>
    <w:rsid w:val="00253F47"/>
    <w:rsid w:val="00256769"/>
    <w:rsid w:val="00256A74"/>
    <w:rsid w:val="00256E4D"/>
    <w:rsid w:val="00260E7F"/>
    <w:rsid w:val="00263757"/>
    <w:rsid w:val="00263B8C"/>
    <w:rsid w:val="00264EC1"/>
    <w:rsid w:val="0026648B"/>
    <w:rsid w:val="002665E8"/>
    <w:rsid w:val="00267E4A"/>
    <w:rsid w:val="00271C54"/>
    <w:rsid w:val="00272ACE"/>
    <w:rsid w:val="00273319"/>
    <w:rsid w:val="002737CD"/>
    <w:rsid w:val="002746EC"/>
    <w:rsid w:val="00274B86"/>
    <w:rsid w:val="0027509E"/>
    <w:rsid w:val="00275D77"/>
    <w:rsid w:val="00276199"/>
    <w:rsid w:val="002763A7"/>
    <w:rsid w:val="00276664"/>
    <w:rsid w:val="00276FC5"/>
    <w:rsid w:val="00280CEB"/>
    <w:rsid w:val="00281CAB"/>
    <w:rsid w:val="00283434"/>
    <w:rsid w:val="0028506A"/>
    <w:rsid w:val="0028583B"/>
    <w:rsid w:val="00285E8A"/>
    <w:rsid w:val="00290730"/>
    <w:rsid w:val="00290CA5"/>
    <w:rsid w:val="00290E10"/>
    <w:rsid w:val="0029125E"/>
    <w:rsid w:val="00291305"/>
    <w:rsid w:val="0029162C"/>
    <w:rsid w:val="002922E4"/>
    <w:rsid w:val="00292757"/>
    <w:rsid w:val="0029290C"/>
    <w:rsid w:val="00293AEA"/>
    <w:rsid w:val="00295654"/>
    <w:rsid w:val="002958FB"/>
    <w:rsid w:val="00296434"/>
    <w:rsid w:val="00296C01"/>
    <w:rsid w:val="00297BFD"/>
    <w:rsid w:val="00297CF7"/>
    <w:rsid w:val="002A1FC7"/>
    <w:rsid w:val="002A2934"/>
    <w:rsid w:val="002A4F50"/>
    <w:rsid w:val="002A580E"/>
    <w:rsid w:val="002A5FFD"/>
    <w:rsid w:val="002B0BC7"/>
    <w:rsid w:val="002B0D1D"/>
    <w:rsid w:val="002B1AFD"/>
    <w:rsid w:val="002B23C4"/>
    <w:rsid w:val="002B24E6"/>
    <w:rsid w:val="002B2DE3"/>
    <w:rsid w:val="002B5171"/>
    <w:rsid w:val="002B5561"/>
    <w:rsid w:val="002B65B8"/>
    <w:rsid w:val="002B6B4B"/>
    <w:rsid w:val="002B7007"/>
    <w:rsid w:val="002B707C"/>
    <w:rsid w:val="002B783A"/>
    <w:rsid w:val="002B78EC"/>
    <w:rsid w:val="002B7E90"/>
    <w:rsid w:val="002C011D"/>
    <w:rsid w:val="002C01CF"/>
    <w:rsid w:val="002C341C"/>
    <w:rsid w:val="002C5554"/>
    <w:rsid w:val="002C6B98"/>
    <w:rsid w:val="002C73CA"/>
    <w:rsid w:val="002C7563"/>
    <w:rsid w:val="002C77E9"/>
    <w:rsid w:val="002D1256"/>
    <w:rsid w:val="002D2793"/>
    <w:rsid w:val="002D2C89"/>
    <w:rsid w:val="002D33EE"/>
    <w:rsid w:val="002D3B04"/>
    <w:rsid w:val="002D42B8"/>
    <w:rsid w:val="002D48F2"/>
    <w:rsid w:val="002D4EEE"/>
    <w:rsid w:val="002D53F1"/>
    <w:rsid w:val="002D578B"/>
    <w:rsid w:val="002D58F4"/>
    <w:rsid w:val="002E00F0"/>
    <w:rsid w:val="002E096A"/>
    <w:rsid w:val="002E1A7D"/>
    <w:rsid w:val="002E23CB"/>
    <w:rsid w:val="002E2D82"/>
    <w:rsid w:val="002E3598"/>
    <w:rsid w:val="002E445F"/>
    <w:rsid w:val="002E4E1E"/>
    <w:rsid w:val="002E52BC"/>
    <w:rsid w:val="002E6141"/>
    <w:rsid w:val="002E6AEC"/>
    <w:rsid w:val="002E6BAB"/>
    <w:rsid w:val="002E6D68"/>
    <w:rsid w:val="002F032C"/>
    <w:rsid w:val="002F0753"/>
    <w:rsid w:val="002F1095"/>
    <w:rsid w:val="002F126C"/>
    <w:rsid w:val="002F1B6E"/>
    <w:rsid w:val="002F1D8D"/>
    <w:rsid w:val="002F25FE"/>
    <w:rsid w:val="002F2CD1"/>
    <w:rsid w:val="002F33C7"/>
    <w:rsid w:val="002F361D"/>
    <w:rsid w:val="002F374E"/>
    <w:rsid w:val="002F3929"/>
    <w:rsid w:val="002F4AD6"/>
    <w:rsid w:val="002F4F51"/>
    <w:rsid w:val="002F5454"/>
    <w:rsid w:val="002F63BC"/>
    <w:rsid w:val="002F6936"/>
    <w:rsid w:val="00300444"/>
    <w:rsid w:val="00300A25"/>
    <w:rsid w:val="00300D28"/>
    <w:rsid w:val="00300FAC"/>
    <w:rsid w:val="0030173F"/>
    <w:rsid w:val="0030210A"/>
    <w:rsid w:val="0030223A"/>
    <w:rsid w:val="00303461"/>
    <w:rsid w:val="00304699"/>
    <w:rsid w:val="003056D3"/>
    <w:rsid w:val="00305D30"/>
    <w:rsid w:val="00305EC0"/>
    <w:rsid w:val="003065AB"/>
    <w:rsid w:val="0030726B"/>
    <w:rsid w:val="00307D93"/>
    <w:rsid w:val="0031372B"/>
    <w:rsid w:val="003140E3"/>
    <w:rsid w:val="00315607"/>
    <w:rsid w:val="003159E0"/>
    <w:rsid w:val="00315C77"/>
    <w:rsid w:val="00316564"/>
    <w:rsid w:val="003166C0"/>
    <w:rsid w:val="00320204"/>
    <w:rsid w:val="00320B85"/>
    <w:rsid w:val="00320BDC"/>
    <w:rsid w:val="0032440C"/>
    <w:rsid w:val="00325A64"/>
    <w:rsid w:val="00325EEB"/>
    <w:rsid w:val="00325EF8"/>
    <w:rsid w:val="0032646E"/>
    <w:rsid w:val="00326522"/>
    <w:rsid w:val="00327244"/>
    <w:rsid w:val="00330944"/>
    <w:rsid w:val="00331C46"/>
    <w:rsid w:val="00332AD4"/>
    <w:rsid w:val="00332CEF"/>
    <w:rsid w:val="0033575F"/>
    <w:rsid w:val="0033582A"/>
    <w:rsid w:val="00335FFD"/>
    <w:rsid w:val="00336659"/>
    <w:rsid w:val="0033777D"/>
    <w:rsid w:val="00337789"/>
    <w:rsid w:val="00337F68"/>
    <w:rsid w:val="00342EC2"/>
    <w:rsid w:val="0034312A"/>
    <w:rsid w:val="00343A08"/>
    <w:rsid w:val="0034528D"/>
    <w:rsid w:val="00347C2C"/>
    <w:rsid w:val="003501E5"/>
    <w:rsid w:val="00350D18"/>
    <w:rsid w:val="00350FDA"/>
    <w:rsid w:val="0035113D"/>
    <w:rsid w:val="003521B3"/>
    <w:rsid w:val="00355DEF"/>
    <w:rsid w:val="00355EBF"/>
    <w:rsid w:val="00355F1B"/>
    <w:rsid w:val="00356800"/>
    <w:rsid w:val="00356D2B"/>
    <w:rsid w:val="00356E55"/>
    <w:rsid w:val="003574E8"/>
    <w:rsid w:val="00357EA2"/>
    <w:rsid w:val="00360324"/>
    <w:rsid w:val="00360A63"/>
    <w:rsid w:val="003612B4"/>
    <w:rsid w:val="003615B2"/>
    <w:rsid w:val="003615EB"/>
    <w:rsid w:val="003618EC"/>
    <w:rsid w:val="0036203D"/>
    <w:rsid w:val="0036210E"/>
    <w:rsid w:val="00363333"/>
    <w:rsid w:val="00363692"/>
    <w:rsid w:val="00363B88"/>
    <w:rsid w:val="00364585"/>
    <w:rsid w:val="00365C5E"/>
    <w:rsid w:val="003669C1"/>
    <w:rsid w:val="00367DAB"/>
    <w:rsid w:val="00372B20"/>
    <w:rsid w:val="00372EDB"/>
    <w:rsid w:val="003734F2"/>
    <w:rsid w:val="00375009"/>
    <w:rsid w:val="00375084"/>
    <w:rsid w:val="00376724"/>
    <w:rsid w:val="00377DEF"/>
    <w:rsid w:val="00380139"/>
    <w:rsid w:val="00381D4E"/>
    <w:rsid w:val="003826AF"/>
    <w:rsid w:val="00382B08"/>
    <w:rsid w:val="003842AF"/>
    <w:rsid w:val="003850A2"/>
    <w:rsid w:val="00385449"/>
    <w:rsid w:val="00385F60"/>
    <w:rsid w:val="00387F5C"/>
    <w:rsid w:val="00387FA5"/>
    <w:rsid w:val="0039035F"/>
    <w:rsid w:val="00391503"/>
    <w:rsid w:val="00394B44"/>
    <w:rsid w:val="00396211"/>
    <w:rsid w:val="00396AE6"/>
    <w:rsid w:val="003971E9"/>
    <w:rsid w:val="0039756B"/>
    <w:rsid w:val="00397C5A"/>
    <w:rsid w:val="003A080F"/>
    <w:rsid w:val="003A0CD0"/>
    <w:rsid w:val="003A17FD"/>
    <w:rsid w:val="003A2412"/>
    <w:rsid w:val="003A3097"/>
    <w:rsid w:val="003A3BB0"/>
    <w:rsid w:val="003A4DA7"/>
    <w:rsid w:val="003A5021"/>
    <w:rsid w:val="003A5C5C"/>
    <w:rsid w:val="003A725B"/>
    <w:rsid w:val="003A74E8"/>
    <w:rsid w:val="003A794B"/>
    <w:rsid w:val="003A7D74"/>
    <w:rsid w:val="003B094B"/>
    <w:rsid w:val="003B11E6"/>
    <w:rsid w:val="003B19FF"/>
    <w:rsid w:val="003B2494"/>
    <w:rsid w:val="003B371E"/>
    <w:rsid w:val="003B4DF0"/>
    <w:rsid w:val="003B5444"/>
    <w:rsid w:val="003B61B8"/>
    <w:rsid w:val="003B6416"/>
    <w:rsid w:val="003B67C6"/>
    <w:rsid w:val="003B7394"/>
    <w:rsid w:val="003C0192"/>
    <w:rsid w:val="003C0804"/>
    <w:rsid w:val="003C19BE"/>
    <w:rsid w:val="003C1D16"/>
    <w:rsid w:val="003C21BF"/>
    <w:rsid w:val="003C37F1"/>
    <w:rsid w:val="003C4751"/>
    <w:rsid w:val="003C6B7A"/>
    <w:rsid w:val="003D1AF7"/>
    <w:rsid w:val="003D238A"/>
    <w:rsid w:val="003D27B0"/>
    <w:rsid w:val="003D3B0B"/>
    <w:rsid w:val="003D3D97"/>
    <w:rsid w:val="003D447D"/>
    <w:rsid w:val="003D4529"/>
    <w:rsid w:val="003D5705"/>
    <w:rsid w:val="003D61C2"/>
    <w:rsid w:val="003D630E"/>
    <w:rsid w:val="003D6B23"/>
    <w:rsid w:val="003D7867"/>
    <w:rsid w:val="003E34B7"/>
    <w:rsid w:val="003E49EC"/>
    <w:rsid w:val="003E4DCF"/>
    <w:rsid w:val="003E508B"/>
    <w:rsid w:val="003E6AD0"/>
    <w:rsid w:val="003E7440"/>
    <w:rsid w:val="003F033B"/>
    <w:rsid w:val="003F0CC1"/>
    <w:rsid w:val="003F14EF"/>
    <w:rsid w:val="003F1CD6"/>
    <w:rsid w:val="003F373F"/>
    <w:rsid w:val="003F4191"/>
    <w:rsid w:val="003F4796"/>
    <w:rsid w:val="003F5A8E"/>
    <w:rsid w:val="003F763A"/>
    <w:rsid w:val="003F77E7"/>
    <w:rsid w:val="00400046"/>
    <w:rsid w:val="00401C7F"/>
    <w:rsid w:val="0040228C"/>
    <w:rsid w:val="004032DC"/>
    <w:rsid w:val="004041E8"/>
    <w:rsid w:val="004050B3"/>
    <w:rsid w:val="00405508"/>
    <w:rsid w:val="00405C19"/>
    <w:rsid w:val="004060EC"/>
    <w:rsid w:val="00406930"/>
    <w:rsid w:val="00407647"/>
    <w:rsid w:val="004079AD"/>
    <w:rsid w:val="00407D43"/>
    <w:rsid w:val="00407E20"/>
    <w:rsid w:val="00410387"/>
    <w:rsid w:val="00410AEE"/>
    <w:rsid w:val="004119BC"/>
    <w:rsid w:val="00412097"/>
    <w:rsid w:val="00412875"/>
    <w:rsid w:val="004128AE"/>
    <w:rsid w:val="00413118"/>
    <w:rsid w:val="004139D9"/>
    <w:rsid w:val="00413D75"/>
    <w:rsid w:val="004141DE"/>
    <w:rsid w:val="0041431B"/>
    <w:rsid w:val="00415600"/>
    <w:rsid w:val="00415B8A"/>
    <w:rsid w:val="00416851"/>
    <w:rsid w:val="00417C01"/>
    <w:rsid w:val="00420D2A"/>
    <w:rsid w:val="004213DE"/>
    <w:rsid w:val="0042262A"/>
    <w:rsid w:val="004233B4"/>
    <w:rsid w:val="00424CBF"/>
    <w:rsid w:val="00425A5E"/>
    <w:rsid w:val="00425EFF"/>
    <w:rsid w:val="00426063"/>
    <w:rsid w:val="004260BA"/>
    <w:rsid w:val="00426BF6"/>
    <w:rsid w:val="004275D2"/>
    <w:rsid w:val="004277A0"/>
    <w:rsid w:val="00430A68"/>
    <w:rsid w:val="00431A5A"/>
    <w:rsid w:val="00432A91"/>
    <w:rsid w:val="0043353D"/>
    <w:rsid w:val="004339CA"/>
    <w:rsid w:val="00433AE0"/>
    <w:rsid w:val="004340A2"/>
    <w:rsid w:val="00434EE7"/>
    <w:rsid w:val="004364BB"/>
    <w:rsid w:val="00436864"/>
    <w:rsid w:val="00436A02"/>
    <w:rsid w:val="00436D60"/>
    <w:rsid w:val="00436E95"/>
    <w:rsid w:val="004404E7"/>
    <w:rsid w:val="004415C9"/>
    <w:rsid w:val="00444EAA"/>
    <w:rsid w:val="0044568A"/>
    <w:rsid w:val="00445A97"/>
    <w:rsid w:val="004470C4"/>
    <w:rsid w:val="00450B31"/>
    <w:rsid w:val="00451284"/>
    <w:rsid w:val="00451486"/>
    <w:rsid w:val="0045153E"/>
    <w:rsid w:val="0045171D"/>
    <w:rsid w:val="00451BBA"/>
    <w:rsid w:val="00451C15"/>
    <w:rsid w:val="004527DA"/>
    <w:rsid w:val="00452DC5"/>
    <w:rsid w:val="00456520"/>
    <w:rsid w:val="00456E3E"/>
    <w:rsid w:val="00460272"/>
    <w:rsid w:val="00460667"/>
    <w:rsid w:val="00460BFE"/>
    <w:rsid w:val="0046165C"/>
    <w:rsid w:val="00462DCD"/>
    <w:rsid w:val="0046324C"/>
    <w:rsid w:val="00464450"/>
    <w:rsid w:val="00466D8B"/>
    <w:rsid w:val="00467306"/>
    <w:rsid w:val="00467A1B"/>
    <w:rsid w:val="00467F88"/>
    <w:rsid w:val="0047029B"/>
    <w:rsid w:val="00470831"/>
    <w:rsid w:val="00472A6C"/>
    <w:rsid w:val="00473243"/>
    <w:rsid w:val="004739B4"/>
    <w:rsid w:val="004742BE"/>
    <w:rsid w:val="00475239"/>
    <w:rsid w:val="00476299"/>
    <w:rsid w:val="004763B6"/>
    <w:rsid w:val="004769B0"/>
    <w:rsid w:val="004779CE"/>
    <w:rsid w:val="004802A3"/>
    <w:rsid w:val="00480968"/>
    <w:rsid w:val="00480B52"/>
    <w:rsid w:val="00481473"/>
    <w:rsid w:val="004825E9"/>
    <w:rsid w:val="00483497"/>
    <w:rsid w:val="00483D51"/>
    <w:rsid w:val="00485762"/>
    <w:rsid w:val="00487645"/>
    <w:rsid w:val="00494B21"/>
    <w:rsid w:val="0049504D"/>
    <w:rsid w:val="0049548B"/>
    <w:rsid w:val="00496B11"/>
    <w:rsid w:val="00497A3C"/>
    <w:rsid w:val="004A0038"/>
    <w:rsid w:val="004A0A9F"/>
    <w:rsid w:val="004A1B1E"/>
    <w:rsid w:val="004A1F66"/>
    <w:rsid w:val="004A2232"/>
    <w:rsid w:val="004A3599"/>
    <w:rsid w:val="004A41E0"/>
    <w:rsid w:val="004A5BFC"/>
    <w:rsid w:val="004A61DD"/>
    <w:rsid w:val="004A654B"/>
    <w:rsid w:val="004A6B9E"/>
    <w:rsid w:val="004A7597"/>
    <w:rsid w:val="004A77B3"/>
    <w:rsid w:val="004B00CA"/>
    <w:rsid w:val="004B0CC2"/>
    <w:rsid w:val="004B10FF"/>
    <w:rsid w:val="004B121E"/>
    <w:rsid w:val="004B12B7"/>
    <w:rsid w:val="004B2198"/>
    <w:rsid w:val="004B250E"/>
    <w:rsid w:val="004B29CC"/>
    <w:rsid w:val="004B2DA0"/>
    <w:rsid w:val="004B2FF8"/>
    <w:rsid w:val="004B33C8"/>
    <w:rsid w:val="004B582D"/>
    <w:rsid w:val="004B5994"/>
    <w:rsid w:val="004B5D38"/>
    <w:rsid w:val="004B7974"/>
    <w:rsid w:val="004B7B6F"/>
    <w:rsid w:val="004B7EB4"/>
    <w:rsid w:val="004C13F5"/>
    <w:rsid w:val="004C2207"/>
    <w:rsid w:val="004C2311"/>
    <w:rsid w:val="004C277C"/>
    <w:rsid w:val="004C29A1"/>
    <w:rsid w:val="004C2F71"/>
    <w:rsid w:val="004C340E"/>
    <w:rsid w:val="004C3E79"/>
    <w:rsid w:val="004C4B46"/>
    <w:rsid w:val="004C4CA5"/>
    <w:rsid w:val="004C4E38"/>
    <w:rsid w:val="004C5D93"/>
    <w:rsid w:val="004C6196"/>
    <w:rsid w:val="004C65AD"/>
    <w:rsid w:val="004C6A0B"/>
    <w:rsid w:val="004C7025"/>
    <w:rsid w:val="004C741E"/>
    <w:rsid w:val="004D1537"/>
    <w:rsid w:val="004D3795"/>
    <w:rsid w:val="004D37F9"/>
    <w:rsid w:val="004D3D66"/>
    <w:rsid w:val="004D3FBE"/>
    <w:rsid w:val="004D4D43"/>
    <w:rsid w:val="004D5467"/>
    <w:rsid w:val="004D6C83"/>
    <w:rsid w:val="004D6C97"/>
    <w:rsid w:val="004D70A8"/>
    <w:rsid w:val="004E0FBE"/>
    <w:rsid w:val="004E191A"/>
    <w:rsid w:val="004E48C5"/>
    <w:rsid w:val="004E4B6B"/>
    <w:rsid w:val="004E50EC"/>
    <w:rsid w:val="004E52B7"/>
    <w:rsid w:val="004E641F"/>
    <w:rsid w:val="004E6C9A"/>
    <w:rsid w:val="004E76CE"/>
    <w:rsid w:val="004E7BBE"/>
    <w:rsid w:val="004F0E13"/>
    <w:rsid w:val="004F0F96"/>
    <w:rsid w:val="004F15DC"/>
    <w:rsid w:val="004F1843"/>
    <w:rsid w:val="004F22D8"/>
    <w:rsid w:val="004F24CE"/>
    <w:rsid w:val="004F3FD2"/>
    <w:rsid w:val="004F4E3D"/>
    <w:rsid w:val="004F519B"/>
    <w:rsid w:val="004F7EF7"/>
    <w:rsid w:val="00500FFF"/>
    <w:rsid w:val="00501665"/>
    <w:rsid w:val="00501A8F"/>
    <w:rsid w:val="0050238A"/>
    <w:rsid w:val="00504D4D"/>
    <w:rsid w:val="00506966"/>
    <w:rsid w:val="0050706F"/>
    <w:rsid w:val="0050723C"/>
    <w:rsid w:val="0050763E"/>
    <w:rsid w:val="0051029E"/>
    <w:rsid w:val="0051062E"/>
    <w:rsid w:val="00510A0A"/>
    <w:rsid w:val="00510B4C"/>
    <w:rsid w:val="00510BBA"/>
    <w:rsid w:val="00511834"/>
    <w:rsid w:val="00512BB5"/>
    <w:rsid w:val="005139AC"/>
    <w:rsid w:val="00514C38"/>
    <w:rsid w:val="0051596E"/>
    <w:rsid w:val="00515A66"/>
    <w:rsid w:val="00516035"/>
    <w:rsid w:val="00516855"/>
    <w:rsid w:val="00516E13"/>
    <w:rsid w:val="005173A8"/>
    <w:rsid w:val="0052038D"/>
    <w:rsid w:val="00520917"/>
    <w:rsid w:val="00520A85"/>
    <w:rsid w:val="00522815"/>
    <w:rsid w:val="005229C4"/>
    <w:rsid w:val="00522DC7"/>
    <w:rsid w:val="00522DD6"/>
    <w:rsid w:val="00522FC1"/>
    <w:rsid w:val="00524ADC"/>
    <w:rsid w:val="00524BFE"/>
    <w:rsid w:val="00526545"/>
    <w:rsid w:val="00526903"/>
    <w:rsid w:val="005277A7"/>
    <w:rsid w:val="005279F3"/>
    <w:rsid w:val="00531A42"/>
    <w:rsid w:val="00531AAF"/>
    <w:rsid w:val="00532CEA"/>
    <w:rsid w:val="005332E8"/>
    <w:rsid w:val="0053377F"/>
    <w:rsid w:val="00534A47"/>
    <w:rsid w:val="005352CA"/>
    <w:rsid w:val="00536586"/>
    <w:rsid w:val="005365FF"/>
    <w:rsid w:val="005369AF"/>
    <w:rsid w:val="0054000C"/>
    <w:rsid w:val="00540458"/>
    <w:rsid w:val="005411C3"/>
    <w:rsid w:val="0054133D"/>
    <w:rsid w:val="0054153B"/>
    <w:rsid w:val="00541A08"/>
    <w:rsid w:val="00541DCF"/>
    <w:rsid w:val="005425A0"/>
    <w:rsid w:val="00542A8C"/>
    <w:rsid w:val="00543556"/>
    <w:rsid w:val="005438FB"/>
    <w:rsid w:val="00545421"/>
    <w:rsid w:val="00546719"/>
    <w:rsid w:val="00547FA2"/>
    <w:rsid w:val="0055086C"/>
    <w:rsid w:val="00550951"/>
    <w:rsid w:val="00550FA3"/>
    <w:rsid w:val="0055176B"/>
    <w:rsid w:val="005572A7"/>
    <w:rsid w:val="00561FB8"/>
    <w:rsid w:val="00562E7F"/>
    <w:rsid w:val="00562E94"/>
    <w:rsid w:val="0056315E"/>
    <w:rsid w:val="00565902"/>
    <w:rsid w:val="00566803"/>
    <w:rsid w:val="00567331"/>
    <w:rsid w:val="00570450"/>
    <w:rsid w:val="00571038"/>
    <w:rsid w:val="00571268"/>
    <w:rsid w:val="00571B18"/>
    <w:rsid w:val="00571BE8"/>
    <w:rsid w:val="00572826"/>
    <w:rsid w:val="00572DFD"/>
    <w:rsid w:val="005731C4"/>
    <w:rsid w:val="0057578B"/>
    <w:rsid w:val="00575FD1"/>
    <w:rsid w:val="005760E7"/>
    <w:rsid w:val="005768CA"/>
    <w:rsid w:val="005778DB"/>
    <w:rsid w:val="00577902"/>
    <w:rsid w:val="00577E78"/>
    <w:rsid w:val="005808F1"/>
    <w:rsid w:val="005814DB"/>
    <w:rsid w:val="00582DE7"/>
    <w:rsid w:val="0058312B"/>
    <w:rsid w:val="00583990"/>
    <w:rsid w:val="00585B38"/>
    <w:rsid w:val="0058613E"/>
    <w:rsid w:val="005861D2"/>
    <w:rsid w:val="005877C0"/>
    <w:rsid w:val="00587E0A"/>
    <w:rsid w:val="005901EB"/>
    <w:rsid w:val="0059021D"/>
    <w:rsid w:val="00591022"/>
    <w:rsid w:val="0059124B"/>
    <w:rsid w:val="005922DE"/>
    <w:rsid w:val="005928C1"/>
    <w:rsid w:val="00593C5C"/>
    <w:rsid w:val="00595E37"/>
    <w:rsid w:val="005960A9"/>
    <w:rsid w:val="0059647D"/>
    <w:rsid w:val="00597646"/>
    <w:rsid w:val="005979AE"/>
    <w:rsid w:val="005A13A1"/>
    <w:rsid w:val="005A1A6C"/>
    <w:rsid w:val="005A1C6C"/>
    <w:rsid w:val="005A21B6"/>
    <w:rsid w:val="005A3295"/>
    <w:rsid w:val="005A371B"/>
    <w:rsid w:val="005A383D"/>
    <w:rsid w:val="005A4211"/>
    <w:rsid w:val="005A4BCE"/>
    <w:rsid w:val="005A5D4E"/>
    <w:rsid w:val="005A715D"/>
    <w:rsid w:val="005A78A3"/>
    <w:rsid w:val="005A7A5B"/>
    <w:rsid w:val="005B077E"/>
    <w:rsid w:val="005B098C"/>
    <w:rsid w:val="005B2D55"/>
    <w:rsid w:val="005B2E46"/>
    <w:rsid w:val="005B39D1"/>
    <w:rsid w:val="005B437D"/>
    <w:rsid w:val="005B4532"/>
    <w:rsid w:val="005B545C"/>
    <w:rsid w:val="005B55B8"/>
    <w:rsid w:val="005B628C"/>
    <w:rsid w:val="005B6DCB"/>
    <w:rsid w:val="005B70C0"/>
    <w:rsid w:val="005B7C1C"/>
    <w:rsid w:val="005C061B"/>
    <w:rsid w:val="005C2520"/>
    <w:rsid w:val="005C2DA1"/>
    <w:rsid w:val="005C430C"/>
    <w:rsid w:val="005C5863"/>
    <w:rsid w:val="005C5F20"/>
    <w:rsid w:val="005C71F1"/>
    <w:rsid w:val="005D09DC"/>
    <w:rsid w:val="005D0D4A"/>
    <w:rsid w:val="005D0EB5"/>
    <w:rsid w:val="005D2778"/>
    <w:rsid w:val="005D30AF"/>
    <w:rsid w:val="005D34F5"/>
    <w:rsid w:val="005D36B8"/>
    <w:rsid w:val="005D46E0"/>
    <w:rsid w:val="005D4F42"/>
    <w:rsid w:val="005D7C23"/>
    <w:rsid w:val="005E06F8"/>
    <w:rsid w:val="005E1015"/>
    <w:rsid w:val="005E215A"/>
    <w:rsid w:val="005E2564"/>
    <w:rsid w:val="005E44BB"/>
    <w:rsid w:val="005E52C5"/>
    <w:rsid w:val="005E5EA2"/>
    <w:rsid w:val="005E611C"/>
    <w:rsid w:val="005E63BD"/>
    <w:rsid w:val="005E6F5C"/>
    <w:rsid w:val="005E7593"/>
    <w:rsid w:val="005E7AB2"/>
    <w:rsid w:val="005E7FFA"/>
    <w:rsid w:val="005F13BA"/>
    <w:rsid w:val="005F159C"/>
    <w:rsid w:val="005F1B84"/>
    <w:rsid w:val="005F2905"/>
    <w:rsid w:val="005F3985"/>
    <w:rsid w:val="005F4875"/>
    <w:rsid w:val="005F4A14"/>
    <w:rsid w:val="005F595C"/>
    <w:rsid w:val="005F5D0E"/>
    <w:rsid w:val="005F6972"/>
    <w:rsid w:val="005F79E1"/>
    <w:rsid w:val="00600078"/>
    <w:rsid w:val="006008EB"/>
    <w:rsid w:val="00600B1A"/>
    <w:rsid w:val="006020D2"/>
    <w:rsid w:val="00602C0B"/>
    <w:rsid w:val="006045EC"/>
    <w:rsid w:val="006046F1"/>
    <w:rsid w:val="00605C35"/>
    <w:rsid w:val="00605D0B"/>
    <w:rsid w:val="00606838"/>
    <w:rsid w:val="00606F2E"/>
    <w:rsid w:val="006072F3"/>
    <w:rsid w:val="0061112F"/>
    <w:rsid w:val="006130A6"/>
    <w:rsid w:val="00614674"/>
    <w:rsid w:val="006148AB"/>
    <w:rsid w:val="006159A6"/>
    <w:rsid w:val="00615CC3"/>
    <w:rsid w:val="00617586"/>
    <w:rsid w:val="00617715"/>
    <w:rsid w:val="00617AB3"/>
    <w:rsid w:val="0062019E"/>
    <w:rsid w:val="00620273"/>
    <w:rsid w:val="00620333"/>
    <w:rsid w:val="00621A81"/>
    <w:rsid w:val="00622ACE"/>
    <w:rsid w:val="0062454A"/>
    <w:rsid w:val="00624868"/>
    <w:rsid w:val="00625489"/>
    <w:rsid w:val="00626347"/>
    <w:rsid w:val="00626673"/>
    <w:rsid w:val="00626C32"/>
    <w:rsid w:val="00627481"/>
    <w:rsid w:val="00630021"/>
    <w:rsid w:val="00630596"/>
    <w:rsid w:val="006307D4"/>
    <w:rsid w:val="00630845"/>
    <w:rsid w:val="00630950"/>
    <w:rsid w:val="00631489"/>
    <w:rsid w:val="00631C12"/>
    <w:rsid w:val="006324D1"/>
    <w:rsid w:val="006324F4"/>
    <w:rsid w:val="006331E7"/>
    <w:rsid w:val="006352E2"/>
    <w:rsid w:val="0063533D"/>
    <w:rsid w:val="00635AFB"/>
    <w:rsid w:val="00635CF0"/>
    <w:rsid w:val="0063644F"/>
    <w:rsid w:val="00636B4A"/>
    <w:rsid w:val="006401DB"/>
    <w:rsid w:val="006421F1"/>
    <w:rsid w:val="00643C93"/>
    <w:rsid w:val="0064525A"/>
    <w:rsid w:val="00645B8C"/>
    <w:rsid w:val="006465E8"/>
    <w:rsid w:val="0065176E"/>
    <w:rsid w:val="006519AE"/>
    <w:rsid w:val="00652161"/>
    <w:rsid w:val="006526A0"/>
    <w:rsid w:val="00652E12"/>
    <w:rsid w:val="006534ED"/>
    <w:rsid w:val="00653AC1"/>
    <w:rsid w:val="006556EC"/>
    <w:rsid w:val="0065751C"/>
    <w:rsid w:val="0065775B"/>
    <w:rsid w:val="006600B5"/>
    <w:rsid w:val="00662816"/>
    <w:rsid w:val="006634A1"/>
    <w:rsid w:val="006639DC"/>
    <w:rsid w:val="00663BEF"/>
    <w:rsid w:val="00664555"/>
    <w:rsid w:val="00665003"/>
    <w:rsid w:val="006652B4"/>
    <w:rsid w:val="00665CB6"/>
    <w:rsid w:val="00665CE7"/>
    <w:rsid w:val="00665E0B"/>
    <w:rsid w:val="0066634F"/>
    <w:rsid w:val="006672CD"/>
    <w:rsid w:val="00667E07"/>
    <w:rsid w:val="00667F1F"/>
    <w:rsid w:val="00670180"/>
    <w:rsid w:val="006711F2"/>
    <w:rsid w:val="006736B7"/>
    <w:rsid w:val="00673E85"/>
    <w:rsid w:val="00673EB6"/>
    <w:rsid w:val="0067400B"/>
    <w:rsid w:val="00674966"/>
    <w:rsid w:val="00674A16"/>
    <w:rsid w:val="00675660"/>
    <w:rsid w:val="00676082"/>
    <w:rsid w:val="006807F7"/>
    <w:rsid w:val="00680AEF"/>
    <w:rsid w:val="00680DCA"/>
    <w:rsid w:val="00680E50"/>
    <w:rsid w:val="006810A1"/>
    <w:rsid w:val="00681C80"/>
    <w:rsid w:val="0068216B"/>
    <w:rsid w:val="0068231B"/>
    <w:rsid w:val="00682C69"/>
    <w:rsid w:val="00682FE5"/>
    <w:rsid w:val="00683009"/>
    <w:rsid w:val="00683EC3"/>
    <w:rsid w:val="0068402A"/>
    <w:rsid w:val="00684881"/>
    <w:rsid w:val="00684BB3"/>
    <w:rsid w:val="00685029"/>
    <w:rsid w:val="0068548A"/>
    <w:rsid w:val="00685E52"/>
    <w:rsid w:val="006861AF"/>
    <w:rsid w:val="00686F28"/>
    <w:rsid w:val="00686FF2"/>
    <w:rsid w:val="0068715F"/>
    <w:rsid w:val="00687A27"/>
    <w:rsid w:val="006902A1"/>
    <w:rsid w:val="00690D2B"/>
    <w:rsid w:val="006913A6"/>
    <w:rsid w:val="00691F71"/>
    <w:rsid w:val="0069214A"/>
    <w:rsid w:val="006921E9"/>
    <w:rsid w:val="00692749"/>
    <w:rsid w:val="006948FE"/>
    <w:rsid w:val="00697546"/>
    <w:rsid w:val="0069765E"/>
    <w:rsid w:val="00697937"/>
    <w:rsid w:val="00697E30"/>
    <w:rsid w:val="006A0453"/>
    <w:rsid w:val="006A1415"/>
    <w:rsid w:val="006A1D75"/>
    <w:rsid w:val="006A2F29"/>
    <w:rsid w:val="006A420C"/>
    <w:rsid w:val="006A44A0"/>
    <w:rsid w:val="006A45DF"/>
    <w:rsid w:val="006A4F83"/>
    <w:rsid w:val="006A55C2"/>
    <w:rsid w:val="006A6877"/>
    <w:rsid w:val="006A6D48"/>
    <w:rsid w:val="006A6EE9"/>
    <w:rsid w:val="006A7249"/>
    <w:rsid w:val="006A7F07"/>
    <w:rsid w:val="006B06F5"/>
    <w:rsid w:val="006B0F92"/>
    <w:rsid w:val="006B23E4"/>
    <w:rsid w:val="006B35E7"/>
    <w:rsid w:val="006B4E5D"/>
    <w:rsid w:val="006B4F20"/>
    <w:rsid w:val="006B5287"/>
    <w:rsid w:val="006B52BC"/>
    <w:rsid w:val="006B5ADC"/>
    <w:rsid w:val="006B5F5E"/>
    <w:rsid w:val="006B7077"/>
    <w:rsid w:val="006B74A2"/>
    <w:rsid w:val="006B765D"/>
    <w:rsid w:val="006B7B5A"/>
    <w:rsid w:val="006B7F40"/>
    <w:rsid w:val="006C09CB"/>
    <w:rsid w:val="006C10F7"/>
    <w:rsid w:val="006C150B"/>
    <w:rsid w:val="006C15EC"/>
    <w:rsid w:val="006C21C3"/>
    <w:rsid w:val="006C22C5"/>
    <w:rsid w:val="006C2419"/>
    <w:rsid w:val="006C2BDB"/>
    <w:rsid w:val="006C352A"/>
    <w:rsid w:val="006C3CEC"/>
    <w:rsid w:val="006C53E2"/>
    <w:rsid w:val="006C54EF"/>
    <w:rsid w:val="006C6835"/>
    <w:rsid w:val="006C6B2D"/>
    <w:rsid w:val="006C6D3E"/>
    <w:rsid w:val="006C7D65"/>
    <w:rsid w:val="006D07E9"/>
    <w:rsid w:val="006D0937"/>
    <w:rsid w:val="006D1FF5"/>
    <w:rsid w:val="006D28B1"/>
    <w:rsid w:val="006D33E8"/>
    <w:rsid w:val="006D3538"/>
    <w:rsid w:val="006D3747"/>
    <w:rsid w:val="006D63B7"/>
    <w:rsid w:val="006D63F5"/>
    <w:rsid w:val="006D6E7C"/>
    <w:rsid w:val="006D719D"/>
    <w:rsid w:val="006D7A37"/>
    <w:rsid w:val="006E0379"/>
    <w:rsid w:val="006E1728"/>
    <w:rsid w:val="006E2409"/>
    <w:rsid w:val="006E24F1"/>
    <w:rsid w:val="006E2E10"/>
    <w:rsid w:val="006E2FCD"/>
    <w:rsid w:val="006E3243"/>
    <w:rsid w:val="006E3CD2"/>
    <w:rsid w:val="006E4C2E"/>
    <w:rsid w:val="006E4DC3"/>
    <w:rsid w:val="006E4FE1"/>
    <w:rsid w:val="006E52C2"/>
    <w:rsid w:val="006E608F"/>
    <w:rsid w:val="006E693E"/>
    <w:rsid w:val="006F0459"/>
    <w:rsid w:val="006F05C2"/>
    <w:rsid w:val="006F2407"/>
    <w:rsid w:val="006F2A39"/>
    <w:rsid w:val="006F36CF"/>
    <w:rsid w:val="006F3EA4"/>
    <w:rsid w:val="006F3F9F"/>
    <w:rsid w:val="006F4496"/>
    <w:rsid w:val="006F4D03"/>
    <w:rsid w:val="006F4F09"/>
    <w:rsid w:val="006F572A"/>
    <w:rsid w:val="006F5A02"/>
    <w:rsid w:val="006F638C"/>
    <w:rsid w:val="006F6CD1"/>
    <w:rsid w:val="006F78D1"/>
    <w:rsid w:val="006F7CA5"/>
    <w:rsid w:val="007022DE"/>
    <w:rsid w:val="00702C19"/>
    <w:rsid w:val="00702DC3"/>
    <w:rsid w:val="00702F3D"/>
    <w:rsid w:val="00703805"/>
    <w:rsid w:val="00703E59"/>
    <w:rsid w:val="007048E8"/>
    <w:rsid w:val="00704DC5"/>
    <w:rsid w:val="00704FE9"/>
    <w:rsid w:val="00705155"/>
    <w:rsid w:val="00706A9E"/>
    <w:rsid w:val="0070755E"/>
    <w:rsid w:val="0070797A"/>
    <w:rsid w:val="007107BB"/>
    <w:rsid w:val="00710B3D"/>
    <w:rsid w:val="00710DA6"/>
    <w:rsid w:val="00711175"/>
    <w:rsid w:val="007114C8"/>
    <w:rsid w:val="00712A25"/>
    <w:rsid w:val="00713064"/>
    <w:rsid w:val="007135D9"/>
    <w:rsid w:val="00714BFC"/>
    <w:rsid w:val="00715F55"/>
    <w:rsid w:val="00716A13"/>
    <w:rsid w:val="007177AF"/>
    <w:rsid w:val="00717A9C"/>
    <w:rsid w:val="00717F13"/>
    <w:rsid w:val="00722599"/>
    <w:rsid w:val="00722D66"/>
    <w:rsid w:val="00723294"/>
    <w:rsid w:val="007247D5"/>
    <w:rsid w:val="00724E93"/>
    <w:rsid w:val="00725643"/>
    <w:rsid w:val="00725D7C"/>
    <w:rsid w:val="00726162"/>
    <w:rsid w:val="00726444"/>
    <w:rsid w:val="007267EB"/>
    <w:rsid w:val="00726AA6"/>
    <w:rsid w:val="00726EFA"/>
    <w:rsid w:val="00727F68"/>
    <w:rsid w:val="00730410"/>
    <w:rsid w:val="00730E3E"/>
    <w:rsid w:val="00731D37"/>
    <w:rsid w:val="007321E3"/>
    <w:rsid w:val="00733250"/>
    <w:rsid w:val="007339A7"/>
    <w:rsid w:val="00734819"/>
    <w:rsid w:val="00734CC4"/>
    <w:rsid w:val="007365A9"/>
    <w:rsid w:val="00736DB3"/>
    <w:rsid w:val="00737241"/>
    <w:rsid w:val="00737F64"/>
    <w:rsid w:val="007409C9"/>
    <w:rsid w:val="00740FB1"/>
    <w:rsid w:val="00741118"/>
    <w:rsid w:val="00741EB6"/>
    <w:rsid w:val="00742103"/>
    <w:rsid w:val="007425B1"/>
    <w:rsid w:val="00742EC2"/>
    <w:rsid w:val="00743034"/>
    <w:rsid w:val="00743776"/>
    <w:rsid w:val="00744628"/>
    <w:rsid w:val="00745128"/>
    <w:rsid w:val="00745CCB"/>
    <w:rsid w:val="00746247"/>
    <w:rsid w:val="0074665E"/>
    <w:rsid w:val="0074703A"/>
    <w:rsid w:val="00747172"/>
    <w:rsid w:val="00747B9B"/>
    <w:rsid w:val="00751203"/>
    <w:rsid w:val="0075242E"/>
    <w:rsid w:val="00752661"/>
    <w:rsid w:val="007530BB"/>
    <w:rsid w:val="00753ADC"/>
    <w:rsid w:val="007547B0"/>
    <w:rsid w:val="007555B8"/>
    <w:rsid w:val="0075585F"/>
    <w:rsid w:val="007560F2"/>
    <w:rsid w:val="00756E27"/>
    <w:rsid w:val="00757895"/>
    <w:rsid w:val="00757B46"/>
    <w:rsid w:val="00761D2E"/>
    <w:rsid w:val="00762F46"/>
    <w:rsid w:val="00763FF4"/>
    <w:rsid w:val="00765B7F"/>
    <w:rsid w:val="00766593"/>
    <w:rsid w:val="0076660B"/>
    <w:rsid w:val="00767492"/>
    <w:rsid w:val="0077037C"/>
    <w:rsid w:val="007707E0"/>
    <w:rsid w:val="0077296F"/>
    <w:rsid w:val="00772CAE"/>
    <w:rsid w:val="00772F05"/>
    <w:rsid w:val="00774147"/>
    <w:rsid w:val="00774543"/>
    <w:rsid w:val="0077592F"/>
    <w:rsid w:val="00776622"/>
    <w:rsid w:val="0077690D"/>
    <w:rsid w:val="00776A53"/>
    <w:rsid w:val="00776FBB"/>
    <w:rsid w:val="007778CE"/>
    <w:rsid w:val="00781BE5"/>
    <w:rsid w:val="00783977"/>
    <w:rsid w:val="0078424F"/>
    <w:rsid w:val="007849CD"/>
    <w:rsid w:val="00785F29"/>
    <w:rsid w:val="0078639C"/>
    <w:rsid w:val="007867B5"/>
    <w:rsid w:val="00786B7D"/>
    <w:rsid w:val="00787AC0"/>
    <w:rsid w:val="00787E45"/>
    <w:rsid w:val="007912DB"/>
    <w:rsid w:val="00791450"/>
    <w:rsid w:val="007919E4"/>
    <w:rsid w:val="007928A5"/>
    <w:rsid w:val="00792D3B"/>
    <w:rsid w:val="00792E8D"/>
    <w:rsid w:val="0079421C"/>
    <w:rsid w:val="00796601"/>
    <w:rsid w:val="0079694D"/>
    <w:rsid w:val="007A1771"/>
    <w:rsid w:val="007A22FB"/>
    <w:rsid w:val="007A2D8D"/>
    <w:rsid w:val="007A3652"/>
    <w:rsid w:val="007A3885"/>
    <w:rsid w:val="007A4C61"/>
    <w:rsid w:val="007A5AB9"/>
    <w:rsid w:val="007A684E"/>
    <w:rsid w:val="007A6B4A"/>
    <w:rsid w:val="007B0749"/>
    <w:rsid w:val="007B07A4"/>
    <w:rsid w:val="007B086C"/>
    <w:rsid w:val="007B08EF"/>
    <w:rsid w:val="007B0F91"/>
    <w:rsid w:val="007B165C"/>
    <w:rsid w:val="007B56B7"/>
    <w:rsid w:val="007B677A"/>
    <w:rsid w:val="007B6A00"/>
    <w:rsid w:val="007B6F3F"/>
    <w:rsid w:val="007C01BE"/>
    <w:rsid w:val="007C1D68"/>
    <w:rsid w:val="007C29B6"/>
    <w:rsid w:val="007C2CE1"/>
    <w:rsid w:val="007C397F"/>
    <w:rsid w:val="007C3F57"/>
    <w:rsid w:val="007C3F58"/>
    <w:rsid w:val="007C4A03"/>
    <w:rsid w:val="007C53EA"/>
    <w:rsid w:val="007C58E6"/>
    <w:rsid w:val="007C765C"/>
    <w:rsid w:val="007C76FF"/>
    <w:rsid w:val="007D074A"/>
    <w:rsid w:val="007D12CA"/>
    <w:rsid w:val="007D362B"/>
    <w:rsid w:val="007D38B9"/>
    <w:rsid w:val="007D395A"/>
    <w:rsid w:val="007D43E8"/>
    <w:rsid w:val="007D6FCE"/>
    <w:rsid w:val="007D7AC1"/>
    <w:rsid w:val="007E01E9"/>
    <w:rsid w:val="007E0770"/>
    <w:rsid w:val="007E1A8A"/>
    <w:rsid w:val="007E2B16"/>
    <w:rsid w:val="007E4A36"/>
    <w:rsid w:val="007E5807"/>
    <w:rsid w:val="007E5A4A"/>
    <w:rsid w:val="007E68E5"/>
    <w:rsid w:val="007E6AF0"/>
    <w:rsid w:val="007F1B74"/>
    <w:rsid w:val="007F1E25"/>
    <w:rsid w:val="007F592D"/>
    <w:rsid w:val="007F643E"/>
    <w:rsid w:val="007F7668"/>
    <w:rsid w:val="00800624"/>
    <w:rsid w:val="00802027"/>
    <w:rsid w:val="008021EF"/>
    <w:rsid w:val="00802806"/>
    <w:rsid w:val="00803CBD"/>
    <w:rsid w:val="008040F0"/>
    <w:rsid w:val="00804658"/>
    <w:rsid w:val="00804ECE"/>
    <w:rsid w:val="00807CEF"/>
    <w:rsid w:val="00810135"/>
    <w:rsid w:val="008101BC"/>
    <w:rsid w:val="00810619"/>
    <w:rsid w:val="0081089C"/>
    <w:rsid w:val="00810EB5"/>
    <w:rsid w:val="0081200D"/>
    <w:rsid w:val="00812899"/>
    <w:rsid w:val="00812A27"/>
    <w:rsid w:val="008137CF"/>
    <w:rsid w:val="008139C5"/>
    <w:rsid w:val="00815AF9"/>
    <w:rsid w:val="008218E5"/>
    <w:rsid w:val="00823DC5"/>
    <w:rsid w:val="00824A66"/>
    <w:rsid w:val="008252C6"/>
    <w:rsid w:val="00825857"/>
    <w:rsid w:val="008314DB"/>
    <w:rsid w:val="008318C6"/>
    <w:rsid w:val="00831F41"/>
    <w:rsid w:val="00832EE8"/>
    <w:rsid w:val="0083340B"/>
    <w:rsid w:val="00833927"/>
    <w:rsid w:val="00833CD5"/>
    <w:rsid w:val="008342BD"/>
    <w:rsid w:val="00835CCA"/>
    <w:rsid w:val="00836C7B"/>
    <w:rsid w:val="0083715C"/>
    <w:rsid w:val="00840AB7"/>
    <w:rsid w:val="00840E07"/>
    <w:rsid w:val="00841B5E"/>
    <w:rsid w:val="00841B9E"/>
    <w:rsid w:val="00843575"/>
    <w:rsid w:val="00844BCA"/>
    <w:rsid w:val="00845DFA"/>
    <w:rsid w:val="00847D5D"/>
    <w:rsid w:val="0085052D"/>
    <w:rsid w:val="00851AB5"/>
    <w:rsid w:val="0085254F"/>
    <w:rsid w:val="00852EE0"/>
    <w:rsid w:val="0085451B"/>
    <w:rsid w:val="00855026"/>
    <w:rsid w:val="00855148"/>
    <w:rsid w:val="0085529F"/>
    <w:rsid w:val="008560D2"/>
    <w:rsid w:val="00861107"/>
    <w:rsid w:val="00861A76"/>
    <w:rsid w:val="00861ACE"/>
    <w:rsid w:val="00861CD9"/>
    <w:rsid w:val="00861E74"/>
    <w:rsid w:val="00863EC1"/>
    <w:rsid w:val="008643B0"/>
    <w:rsid w:val="00864B7D"/>
    <w:rsid w:val="008658DA"/>
    <w:rsid w:val="00866C21"/>
    <w:rsid w:val="00866CF0"/>
    <w:rsid w:val="008679E9"/>
    <w:rsid w:val="00870817"/>
    <w:rsid w:val="00871F66"/>
    <w:rsid w:val="0087254A"/>
    <w:rsid w:val="00873E5B"/>
    <w:rsid w:val="00873FD7"/>
    <w:rsid w:val="0087448D"/>
    <w:rsid w:val="00874694"/>
    <w:rsid w:val="00874E31"/>
    <w:rsid w:val="0087528C"/>
    <w:rsid w:val="008759E9"/>
    <w:rsid w:val="00875D98"/>
    <w:rsid w:val="008769D2"/>
    <w:rsid w:val="00876B4A"/>
    <w:rsid w:val="00876BE7"/>
    <w:rsid w:val="00876EC9"/>
    <w:rsid w:val="008770DA"/>
    <w:rsid w:val="008777D6"/>
    <w:rsid w:val="008777FA"/>
    <w:rsid w:val="008777FE"/>
    <w:rsid w:val="00880198"/>
    <w:rsid w:val="00880686"/>
    <w:rsid w:val="00881806"/>
    <w:rsid w:val="008819FC"/>
    <w:rsid w:val="008834EE"/>
    <w:rsid w:val="00884C92"/>
    <w:rsid w:val="00885342"/>
    <w:rsid w:val="0088603F"/>
    <w:rsid w:val="008860DE"/>
    <w:rsid w:val="008861E0"/>
    <w:rsid w:val="008870C9"/>
    <w:rsid w:val="008904F9"/>
    <w:rsid w:val="00890CA1"/>
    <w:rsid w:val="00891CE6"/>
    <w:rsid w:val="00893B05"/>
    <w:rsid w:val="00894632"/>
    <w:rsid w:val="00894693"/>
    <w:rsid w:val="00894EB1"/>
    <w:rsid w:val="008969B0"/>
    <w:rsid w:val="008A037A"/>
    <w:rsid w:val="008A0534"/>
    <w:rsid w:val="008A4446"/>
    <w:rsid w:val="008A4AD0"/>
    <w:rsid w:val="008A4D65"/>
    <w:rsid w:val="008A57C0"/>
    <w:rsid w:val="008A7388"/>
    <w:rsid w:val="008B0DFD"/>
    <w:rsid w:val="008B205D"/>
    <w:rsid w:val="008B2F59"/>
    <w:rsid w:val="008B3C42"/>
    <w:rsid w:val="008B4DF0"/>
    <w:rsid w:val="008B5805"/>
    <w:rsid w:val="008C0C25"/>
    <w:rsid w:val="008C1BE0"/>
    <w:rsid w:val="008C2D25"/>
    <w:rsid w:val="008C2F9A"/>
    <w:rsid w:val="008C348E"/>
    <w:rsid w:val="008C34A9"/>
    <w:rsid w:val="008C3E04"/>
    <w:rsid w:val="008C478E"/>
    <w:rsid w:val="008C6286"/>
    <w:rsid w:val="008C79B1"/>
    <w:rsid w:val="008D137E"/>
    <w:rsid w:val="008D322A"/>
    <w:rsid w:val="008D323C"/>
    <w:rsid w:val="008D3FC3"/>
    <w:rsid w:val="008D50E4"/>
    <w:rsid w:val="008D5B4D"/>
    <w:rsid w:val="008E0AB5"/>
    <w:rsid w:val="008E0AFD"/>
    <w:rsid w:val="008E0FB7"/>
    <w:rsid w:val="008E2C55"/>
    <w:rsid w:val="008E2F96"/>
    <w:rsid w:val="008E4D08"/>
    <w:rsid w:val="008E531D"/>
    <w:rsid w:val="008E6557"/>
    <w:rsid w:val="008E65DA"/>
    <w:rsid w:val="008E711E"/>
    <w:rsid w:val="008F0F54"/>
    <w:rsid w:val="008F24E7"/>
    <w:rsid w:val="008F2B96"/>
    <w:rsid w:val="008F348E"/>
    <w:rsid w:val="008F44D5"/>
    <w:rsid w:val="008F4884"/>
    <w:rsid w:val="008F48FF"/>
    <w:rsid w:val="008F4C12"/>
    <w:rsid w:val="008F560A"/>
    <w:rsid w:val="008F560D"/>
    <w:rsid w:val="008F6FE5"/>
    <w:rsid w:val="008F76FC"/>
    <w:rsid w:val="008F78BA"/>
    <w:rsid w:val="009002C4"/>
    <w:rsid w:val="00900EA1"/>
    <w:rsid w:val="0090331D"/>
    <w:rsid w:val="009038FE"/>
    <w:rsid w:val="00904EE9"/>
    <w:rsid w:val="00905DBC"/>
    <w:rsid w:val="00907587"/>
    <w:rsid w:val="009076B3"/>
    <w:rsid w:val="00907A5D"/>
    <w:rsid w:val="009115CB"/>
    <w:rsid w:val="00912C20"/>
    <w:rsid w:val="0091331D"/>
    <w:rsid w:val="00913553"/>
    <w:rsid w:val="00913820"/>
    <w:rsid w:val="00914320"/>
    <w:rsid w:val="00916A30"/>
    <w:rsid w:val="00916F01"/>
    <w:rsid w:val="00917989"/>
    <w:rsid w:val="00917F68"/>
    <w:rsid w:val="00920A63"/>
    <w:rsid w:val="00923F16"/>
    <w:rsid w:val="009245B9"/>
    <w:rsid w:val="00924860"/>
    <w:rsid w:val="00924C13"/>
    <w:rsid w:val="00925148"/>
    <w:rsid w:val="00926EBE"/>
    <w:rsid w:val="009277AD"/>
    <w:rsid w:val="009277F4"/>
    <w:rsid w:val="00927C2E"/>
    <w:rsid w:val="00931C80"/>
    <w:rsid w:val="00932C87"/>
    <w:rsid w:val="00933ABF"/>
    <w:rsid w:val="00935428"/>
    <w:rsid w:val="009360B1"/>
    <w:rsid w:val="0093653C"/>
    <w:rsid w:val="009377F4"/>
    <w:rsid w:val="00940502"/>
    <w:rsid w:val="00940ABA"/>
    <w:rsid w:val="00942FE0"/>
    <w:rsid w:val="00943083"/>
    <w:rsid w:val="009433AF"/>
    <w:rsid w:val="009437A5"/>
    <w:rsid w:val="00943944"/>
    <w:rsid w:val="00944D9C"/>
    <w:rsid w:val="009454D6"/>
    <w:rsid w:val="009479AF"/>
    <w:rsid w:val="00950BAB"/>
    <w:rsid w:val="009518A2"/>
    <w:rsid w:val="00951CAE"/>
    <w:rsid w:val="00951F8F"/>
    <w:rsid w:val="00953474"/>
    <w:rsid w:val="00954430"/>
    <w:rsid w:val="00954E36"/>
    <w:rsid w:val="009554E4"/>
    <w:rsid w:val="00955992"/>
    <w:rsid w:val="00955EE1"/>
    <w:rsid w:val="00957F5E"/>
    <w:rsid w:val="009603C6"/>
    <w:rsid w:val="00960959"/>
    <w:rsid w:val="00960AFB"/>
    <w:rsid w:val="00960ED2"/>
    <w:rsid w:val="0096352D"/>
    <w:rsid w:val="00964395"/>
    <w:rsid w:val="00964B0D"/>
    <w:rsid w:val="00964B75"/>
    <w:rsid w:val="00965C39"/>
    <w:rsid w:val="00966386"/>
    <w:rsid w:val="009668AC"/>
    <w:rsid w:val="00966D20"/>
    <w:rsid w:val="0097096E"/>
    <w:rsid w:val="00972033"/>
    <w:rsid w:val="00972224"/>
    <w:rsid w:val="0097275C"/>
    <w:rsid w:val="009729F1"/>
    <w:rsid w:val="00973E90"/>
    <w:rsid w:val="009749C4"/>
    <w:rsid w:val="0097519E"/>
    <w:rsid w:val="0097565B"/>
    <w:rsid w:val="009757EC"/>
    <w:rsid w:val="009770B3"/>
    <w:rsid w:val="00977610"/>
    <w:rsid w:val="00977659"/>
    <w:rsid w:val="009776FC"/>
    <w:rsid w:val="00977B43"/>
    <w:rsid w:val="009815F8"/>
    <w:rsid w:val="0098206D"/>
    <w:rsid w:val="00982371"/>
    <w:rsid w:val="009836C8"/>
    <w:rsid w:val="00983848"/>
    <w:rsid w:val="00984459"/>
    <w:rsid w:val="009847D9"/>
    <w:rsid w:val="00985161"/>
    <w:rsid w:val="0098593D"/>
    <w:rsid w:val="00985C0C"/>
    <w:rsid w:val="009865FA"/>
    <w:rsid w:val="0098673B"/>
    <w:rsid w:val="0098798A"/>
    <w:rsid w:val="00987ABC"/>
    <w:rsid w:val="00987BD6"/>
    <w:rsid w:val="00992241"/>
    <w:rsid w:val="00993340"/>
    <w:rsid w:val="0099416D"/>
    <w:rsid w:val="0099472C"/>
    <w:rsid w:val="0099547F"/>
    <w:rsid w:val="00996099"/>
    <w:rsid w:val="00996989"/>
    <w:rsid w:val="009A0080"/>
    <w:rsid w:val="009A0C0D"/>
    <w:rsid w:val="009A0E69"/>
    <w:rsid w:val="009A2AFC"/>
    <w:rsid w:val="009A2D4D"/>
    <w:rsid w:val="009A3FF8"/>
    <w:rsid w:val="009A459B"/>
    <w:rsid w:val="009A4879"/>
    <w:rsid w:val="009A4CF0"/>
    <w:rsid w:val="009A6047"/>
    <w:rsid w:val="009A7D44"/>
    <w:rsid w:val="009B01F2"/>
    <w:rsid w:val="009B0C5B"/>
    <w:rsid w:val="009B0DD1"/>
    <w:rsid w:val="009B25F4"/>
    <w:rsid w:val="009B358B"/>
    <w:rsid w:val="009B3A96"/>
    <w:rsid w:val="009B560E"/>
    <w:rsid w:val="009B5F8A"/>
    <w:rsid w:val="009B612C"/>
    <w:rsid w:val="009B637D"/>
    <w:rsid w:val="009B779D"/>
    <w:rsid w:val="009C01DD"/>
    <w:rsid w:val="009C1755"/>
    <w:rsid w:val="009C191B"/>
    <w:rsid w:val="009C1CE6"/>
    <w:rsid w:val="009C46AC"/>
    <w:rsid w:val="009C5337"/>
    <w:rsid w:val="009C5ABF"/>
    <w:rsid w:val="009C5DB1"/>
    <w:rsid w:val="009D02CD"/>
    <w:rsid w:val="009D17DC"/>
    <w:rsid w:val="009D261D"/>
    <w:rsid w:val="009D3145"/>
    <w:rsid w:val="009D3320"/>
    <w:rsid w:val="009D3861"/>
    <w:rsid w:val="009D39B5"/>
    <w:rsid w:val="009D3D1A"/>
    <w:rsid w:val="009D3E62"/>
    <w:rsid w:val="009D3EBA"/>
    <w:rsid w:val="009D4933"/>
    <w:rsid w:val="009D4B6A"/>
    <w:rsid w:val="009D503F"/>
    <w:rsid w:val="009D6B70"/>
    <w:rsid w:val="009D7259"/>
    <w:rsid w:val="009E43AC"/>
    <w:rsid w:val="009E4634"/>
    <w:rsid w:val="009E49EF"/>
    <w:rsid w:val="009E5323"/>
    <w:rsid w:val="009E76E5"/>
    <w:rsid w:val="009F0E97"/>
    <w:rsid w:val="009F1C04"/>
    <w:rsid w:val="009F2A87"/>
    <w:rsid w:val="009F2E62"/>
    <w:rsid w:val="009F32EB"/>
    <w:rsid w:val="009F3858"/>
    <w:rsid w:val="009F38CB"/>
    <w:rsid w:val="009F3EAE"/>
    <w:rsid w:val="009F4452"/>
    <w:rsid w:val="009F4EF7"/>
    <w:rsid w:val="009F54FE"/>
    <w:rsid w:val="009F6980"/>
    <w:rsid w:val="00A006A6"/>
    <w:rsid w:val="00A017DD"/>
    <w:rsid w:val="00A019AA"/>
    <w:rsid w:val="00A0230B"/>
    <w:rsid w:val="00A02D65"/>
    <w:rsid w:val="00A04785"/>
    <w:rsid w:val="00A04DED"/>
    <w:rsid w:val="00A0654C"/>
    <w:rsid w:val="00A0747A"/>
    <w:rsid w:val="00A07E47"/>
    <w:rsid w:val="00A100B8"/>
    <w:rsid w:val="00A11E39"/>
    <w:rsid w:val="00A127FB"/>
    <w:rsid w:val="00A132F7"/>
    <w:rsid w:val="00A13A4E"/>
    <w:rsid w:val="00A1450E"/>
    <w:rsid w:val="00A14E60"/>
    <w:rsid w:val="00A158C6"/>
    <w:rsid w:val="00A16874"/>
    <w:rsid w:val="00A170C7"/>
    <w:rsid w:val="00A20580"/>
    <w:rsid w:val="00A2155C"/>
    <w:rsid w:val="00A215AC"/>
    <w:rsid w:val="00A22240"/>
    <w:rsid w:val="00A22AB9"/>
    <w:rsid w:val="00A23643"/>
    <w:rsid w:val="00A24867"/>
    <w:rsid w:val="00A24BB8"/>
    <w:rsid w:val="00A252ED"/>
    <w:rsid w:val="00A26DA3"/>
    <w:rsid w:val="00A2726A"/>
    <w:rsid w:val="00A27A4D"/>
    <w:rsid w:val="00A27FF6"/>
    <w:rsid w:val="00A305EB"/>
    <w:rsid w:val="00A322EC"/>
    <w:rsid w:val="00A32F01"/>
    <w:rsid w:val="00A33453"/>
    <w:rsid w:val="00A33C5C"/>
    <w:rsid w:val="00A34F4E"/>
    <w:rsid w:val="00A351D0"/>
    <w:rsid w:val="00A3523D"/>
    <w:rsid w:val="00A35299"/>
    <w:rsid w:val="00A3625F"/>
    <w:rsid w:val="00A36537"/>
    <w:rsid w:val="00A365EF"/>
    <w:rsid w:val="00A3673C"/>
    <w:rsid w:val="00A36798"/>
    <w:rsid w:val="00A3679F"/>
    <w:rsid w:val="00A37881"/>
    <w:rsid w:val="00A40813"/>
    <w:rsid w:val="00A408E1"/>
    <w:rsid w:val="00A41130"/>
    <w:rsid w:val="00A414FC"/>
    <w:rsid w:val="00A42F91"/>
    <w:rsid w:val="00A44008"/>
    <w:rsid w:val="00A4441E"/>
    <w:rsid w:val="00A45B05"/>
    <w:rsid w:val="00A46A78"/>
    <w:rsid w:val="00A4779D"/>
    <w:rsid w:val="00A5257F"/>
    <w:rsid w:val="00A530D0"/>
    <w:rsid w:val="00A5321E"/>
    <w:rsid w:val="00A53537"/>
    <w:rsid w:val="00A5389B"/>
    <w:rsid w:val="00A53A81"/>
    <w:rsid w:val="00A54C83"/>
    <w:rsid w:val="00A56416"/>
    <w:rsid w:val="00A56C20"/>
    <w:rsid w:val="00A56E83"/>
    <w:rsid w:val="00A61618"/>
    <w:rsid w:val="00A6161F"/>
    <w:rsid w:val="00A6190D"/>
    <w:rsid w:val="00A61996"/>
    <w:rsid w:val="00A65373"/>
    <w:rsid w:val="00A6585B"/>
    <w:rsid w:val="00A659AA"/>
    <w:rsid w:val="00A66851"/>
    <w:rsid w:val="00A729F7"/>
    <w:rsid w:val="00A73201"/>
    <w:rsid w:val="00A7354A"/>
    <w:rsid w:val="00A745F0"/>
    <w:rsid w:val="00A749A6"/>
    <w:rsid w:val="00A75E08"/>
    <w:rsid w:val="00A75F48"/>
    <w:rsid w:val="00A760B4"/>
    <w:rsid w:val="00A7624E"/>
    <w:rsid w:val="00A76FE0"/>
    <w:rsid w:val="00A773FA"/>
    <w:rsid w:val="00A7774A"/>
    <w:rsid w:val="00A804D9"/>
    <w:rsid w:val="00A810C9"/>
    <w:rsid w:val="00A81CAD"/>
    <w:rsid w:val="00A81CC9"/>
    <w:rsid w:val="00A83D43"/>
    <w:rsid w:val="00A84241"/>
    <w:rsid w:val="00A8527E"/>
    <w:rsid w:val="00A85CC0"/>
    <w:rsid w:val="00A86024"/>
    <w:rsid w:val="00A87ABF"/>
    <w:rsid w:val="00A90BFD"/>
    <w:rsid w:val="00A91842"/>
    <w:rsid w:val="00A91E60"/>
    <w:rsid w:val="00A91F61"/>
    <w:rsid w:val="00A92ED3"/>
    <w:rsid w:val="00A96370"/>
    <w:rsid w:val="00A96799"/>
    <w:rsid w:val="00AA00F5"/>
    <w:rsid w:val="00AA13F4"/>
    <w:rsid w:val="00AA1C40"/>
    <w:rsid w:val="00AA1F29"/>
    <w:rsid w:val="00AA2007"/>
    <w:rsid w:val="00AA2BCC"/>
    <w:rsid w:val="00AA371C"/>
    <w:rsid w:val="00AA37F3"/>
    <w:rsid w:val="00AA5D64"/>
    <w:rsid w:val="00AA6AAC"/>
    <w:rsid w:val="00AA6BA2"/>
    <w:rsid w:val="00AA73E0"/>
    <w:rsid w:val="00AB07D2"/>
    <w:rsid w:val="00AB0803"/>
    <w:rsid w:val="00AB0F17"/>
    <w:rsid w:val="00AB310C"/>
    <w:rsid w:val="00AB4F20"/>
    <w:rsid w:val="00AB4F6B"/>
    <w:rsid w:val="00AB51D7"/>
    <w:rsid w:val="00AB5301"/>
    <w:rsid w:val="00AB5D0F"/>
    <w:rsid w:val="00AB5FEA"/>
    <w:rsid w:val="00AB6A66"/>
    <w:rsid w:val="00AB7F71"/>
    <w:rsid w:val="00AC07B1"/>
    <w:rsid w:val="00AC097C"/>
    <w:rsid w:val="00AC14B3"/>
    <w:rsid w:val="00AC1632"/>
    <w:rsid w:val="00AC355A"/>
    <w:rsid w:val="00AC48E8"/>
    <w:rsid w:val="00AC6153"/>
    <w:rsid w:val="00AC61BD"/>
    <w:rsid w:val="00AC6DAB"/>
    <w:rsid w:val="00AD02FB"/>
    <w:rsid w:val="00AD0FCB"/>
    <w:rsid w:val="00AD1FD8"/>
    <w:rsid w:val="00AD21C2"/>
    <w:rsid w:val="00AD23DD"/>
    <w:rsid w:val="00AD2607"/>
    <w:rsid w:val="00AD2A80"/>
    <w:rsid w:val="00AD2FCE"/>
    <w:rsid w:val="00AD3740"/>
    <w:rsid w:val="00AD4449"/>
    <w:rsid w:val="00AD52EB"/>
    <w:rsid w:val="00AD7328"/>
    <w:rsid w:val="00AD7C52"/>
    <w:rsid w:val="00AD7EDB"/>
    <w:rsid w:val="00AE02A4"/>
    <w:rsid w:val="00AE039D"/>
    <w:rsid w:val="00AE0F34"/>
    <w:rsid w:val="00AE183E"/>
    <w:rsid w:val="00AE2312"/>
    <w:rsid w:val="00AE2A64"/>
    <w:rsid w:val="00AE3190"/>
    <w:rsid w:val="00AE37FF"/>
    <w:rsid w:val="00AE6529"/>
    <w:rsid w:val="00AE7D58"/>
    <w:rsid w:val="00AF03AF"/>
    <w:rsid w:val="00AF0648"/>
    <w:rsid w:val="00AF0D01"/>
    <w:rsid w:val="00AF1335"/>
    <w:rsid w:val="00AF1C75"/>
    <w:rsid w:val="00AF1FF4"/>
    <w:rsid w:val="00AF54EC"/>
    <w:rsid w:val="00AF55A4"/>
    <w:rsid w:val="00AF5893"/>
    <w:rsid w:val="00AF5898"/>
    <w:rsid w:val="00AF6638"/>
    <w:rsid w:val="00AF71AC"/>
    <w:rsid w:val="00B0006C"/>
    <w:rsid w:val="00B00682"/>
    <w:rsid w:val="00B01351"/>
    <w:rsid w:val="00B0147F"/>
    <w:rsid w:val="00B019D2"/>
    <w:rsid w:val="00B01B3C"/>
    <w:rsid w:val="00B03818"/>
    <w:rsid w:val="00B03C13"/>
    <w:rsid w:val="00B03E76"/>
    <w:rsid w:val="00B04330"/>
    <w:rsid w:val="00B04A07"/>
    <w:rsid w:val="00B07FC0"/>
    <w:rsid w:val="00B10D99"/>
    <w:rsid w:val="00B115A4"/>
    <w:rsid w:val="00B11B97"/>
    <w:rsid w:val="00B11F4F"/>
    <w:rsid w:val="00B12104"/>
    <w:rsid w:val="00B129C4"/>
    <w:rsid w:val="00B13618"/>
    <w:rsid w:val="00B13776"/>
    <w:rsid w:val="00B137C7"/>
    <w:rsid w:val="00B14052"/>
    <w:rsid w:val="00B14E3B"/>
    <w:rsid w:val="00B15148"/>
    <w:rsid w:val="00B16FD2"/>
    <w:rsid w:val="00B2053A"/>
    <w:rsid w:val="00B2240F"/>
    <w:rsid w:val="00B23938"/>
    <w:rsid w:val="00B23CF4"/>
    <w:rsid w:val="00B257E6"/>
    <w:rsid w:val="00B25924"/>
    <w:rsid w:val="00B275A6"/>
    <w:rsid w:val="00B27B0D"/>
    <w:rsid w:val="00B319AC"/>
    <w:rsid w:val="00B324AC"/>
    <w:rsid w:val="00B352DF"/>
    <w:rsid w:val="00B35450"/>
    <w:rsid w:val="00B35DC4"/>
    <w:rsid w:val="00B37461"/>
    <w:rsid w:val="00B37824"/>
    <w:rsid w:val="00B3787B"/>
    <w:rsid w:val="00B37E4F"/>
    <w:rsid w:val="00B41C3B"/>
    <w:rsid w:val="00B43022"/>
    <w:rsid w:val="00B43D0F"/>
    <w:rsid w:val="00B44144"/>
    <w:rsid w:val="00B449B8"/>
    <w:rsid w:val="00B450FE"/>
    <w:rsid w:val="00B4551C"/>
    <w:rsid w:val="00B46660"/>
    <w:rsid w:val="00B46BF4"/>
    <w:rsid w:val="00B4742E"/>
    <w:rsid w:val="00B47E83"/>
    <w:rsid w:val="00B510AE"/>
    <w:rsid w:val="00B5244E"/>
    <w:rsid w:val="00B53261"/>
    <w:rsid w:val="00B53A16"/>
    <w:rsid w:val="00B54865"/>
    <w:rsid w:val="00B5494E"/>
    <w:rsid w:val="00B54FD8"/>
    <w:rsid w:val="00B56633"/>
    <w:rsid w:val="00B56894"/>
    <w:rsid w:val="00B571D6"/>
    <w:rsid w:val="00B57B57"/>
    <w:rsid w:val="00B600EF"/>
    <w:rsid w:val="00B60B6E"/>
    <w:rsid w:val="00B61009"/>
    <w:rsid w:val="00B6101F"/>
    <w:rsid w:val="00B61EC4"/>
    <w:rsid w:val="00B625ED"/>
    <w:rsid w:val="00B62878"/>
    <w:rsid w:val="00B62BAA"/>
    <w:rsid w:val="00B62BBE"/>
    <w:rsid w:val="00B64052"/>
    <w:rsid w:val="00B6416A"/>
    <w:rsid w:val="00B65F53"/>
    <w:rsid w:val="00B6655B"/>
    <w:rsid w:val="00B666CD"/>
    <w:rsid w:val="00B71941"/>
    <w:rsid w:val="00B71F21"/>
    <w:rsid w:val="00B73774"/>
    <w:rsid w:val="00B75B55"/>
    <w:rsid w:val="00B75E03"/>
    <w:rsid w:val="00B7637F"/>
    <w:rsid w:val="00B763F7"/>
    <w:rsid w:val="00B76E93"/>
    <w:rsid w:val="00B77A69"/>
    <w:rsid w:val="00B77F61"/>
    <w:rsid w:val="00B80021"/>
    <w:rsid w:val="00B80051"/>
    <w:rsid w:val="00B8033C"/>
    <w:rsid w:val="00B8093A"/>
    <w:rsid w:val="00B81162"/>
    <w:rsid w:val="00B814A9"/>
    <w:rsid w:val="00B819BA"/>
    <w:rsid w:val="00B829E1"/>
    <w:rsid w:val="00B82F04"/>
    <w:rsid w:val="00B831E4"/>
    <w:rsid w:val="00B839AA"/>
    <w:rsid w:val="00B84944"/>
    <w:rsid w:val="00B85B16"/>
    <w:rsid w:val="00B86387"/>
    <w:rsid w:val="00B86AD8"/>
    <w:rsid w:val="00B8730F"/>
    <w:rsid w:val="00B87360"/>
    <w:rsid w:val="00B9044B"/>
    <w:rsid w:val="00B90646"/>
    <w:rsid w:val="00B90F95"/>
    <w:rsid w:val="00B911DE"/>
    <w:rsid w:val="00B91BC5"/>
    <w:rsid w:val="00B9244C"/>
    <w:rsid w:val="00B9519C"/>
    <w:rsid w:val="00B96E12"/>
    <w:rsid w:val="00B97020"/>
    <w:rsid w:val="00B97E9E"/>
    <w:rsid w:val="00B97F65"/>
    <w:rsid w:val="00BA1085"/>
    <w:rsid w:val="00BA1508"/>
    <w:rsid w:val="00BA18BB"/>
    <w:rsid w:val="00BA1F47"/>
    <w:rsid w:val="00BA2470"/>
    <w:rsid w:val="00BA58CD"/>
    <w:rsid w:val="00BA5F4D"/>
    <w:rsid w:val="00BA6602"/>
    <w:rsid w:val="00BA6A4E"/>
    <w:rsid w:val="00BA7817"/>
    <w:rsid w:val="00BA7859"/>
    <w:rsid w:val="00BB0116"/>
    <w:rsid w:val="00BB0C58"/>
    <w:rsid w:val="00BB0C71"/>
    <w:rsid w:val="00BB0CCB"/>
    <w:rsid w:val="00BB167F"/>
    <w:rsid w:val="00BB2266"/>
    <w:rsid w:val="00BB2A3D"/>
    <w:rsid w:val="00BB2B18"/>
    <w:rsid w:val="00BB3041"/>
    <w:rsid w:val="00BB33C3"/>
    <w:rsid w:val="00BB3C05"/>
    <w:rsid w:val="00BB49D3"/>
    <w:rsid w:val="00BB52BD"/>
    <w:rsid w:val="00BB554C"/>
    <w:rsid w:val="00BB5656"/>
    <w:rsid w:val="00BB61E6"/>
    <w:rsid w:val="00BB624D"/>
    <w:rsid w:val="00BB6CC1"/>
    <w:rsid w:val="00BB73ED"/>
    <w:rsid w:val="00BB7B08"/>
    <w:rsid w:val="00BC15D3"/>
    <w:rsid w:val="00BC24D8"/>
    <w:rsid w:val="00BC25A5"/>
    <w:rsid w:val="00BC2CBB"/>
    <w:rsid w:val="00BC3AA4"/>
    <w:rsid w:val="00BC44B6"/>
    <w:rsid w:val="00BC5998"/>
    <w:rsid w:val="00BC6268"/>
    <w:rsid w:val="00BC6781"/>
    <w:rsid w:val="00BC6842"/>
    <w:rsid w:val="00BC7EB5"/>
    <w:rsid w:val="00BD0363"/>
    <w:rsid w:val="00BD0F14"/>
    <w:rsid w:val="00BD14D0"/>
    <w:rsid w:val="00BD179D"/>
    <w:rsid w:val="00BD1DD6"/>
    <w:rsid w:val="00BD1F78"/>
    <w:rsid w:val="00BD296D"/>
    <w:rsid w:val="00BD365D"/>
    <w:rsid w:val="00BD39DB"/>
    <w:rsid w:val="00BD3A46"/>
    <w:rsid w:val="00BD3C9E"/>
    <w:rsid w:val="00BD3FA1"/>
    <w:rsid w:val="00BD4222"/>
    <w:rsid w:val="00BD5216"/>
    <w:rsid w:val="00BD59E8"/>
    <w:rsid w:val="00BD5B18"/>
    <w:rsid w:val="00BD5F2B"/>
    <w:rsid w:val="00BD647A"/>
    <w:rsid w:val="00BD6C0F"/>
    <w:rsid w:val="00BD6F5C"/>
    <w:rsid w:val="00BD7544"/>
    <w:rsid w:val="00BE0D92"/>
    <w:rsid w:val="00BE1979"/>
    <w:rsid w:val="00BE2387"/>
    <w:rsid w:val="00BE285F"/>
    <w:rsid w:val="00BE3243"/>
    <w:rsid w:val="00BE4835"/>
    <w:rsid w:val="00BE4B98"/>
    <w:rsid w:val="00BE7BB7"/>
    <w:rsid w:val="00BE7F44"/>
    <w:rsid w:val="00BF084C"/>
    <w:rsid w:val="00BF0DD3"/>
    <w:rsid w:val="00BF0EDC"/>
    <w:rsid w:val="00BF0FA3"/>
    <w:rsid w:val="00BF238C"/>
    <w:rsid w:val="00BF2B6E"/>
    <w:rsid w:val="00BF2E2B"/>
    <w:rsid w:val="00BF4914"/>
    <w:rsid w:val="00BF512F"/>
    <w:rsid w:val="00BF65D7"/>
    <w:rsid w:val="00C0139C"/>
    <w:rsid w:val="00C01870"/>
    <w:rsid w:val="00C01987"/>
    <w:rsid w:val="00C0292D"/>
    <w:rsid w:val="00C03772"/>
    <w:rsid w:val="00C05106"/>
    <w:rsid w:val="00C076A2"/>
    <w:rsid w:val="00C077DB"/>
    <w:rsid w:val="00C10371"/>
    <w:rsid w:val="00C111FA"/>
    <w:rsid w:val="00C1179B"/>
    <w:rsid w:val="00C12640"/>
    <w:rsid w:val="00C1382B"/>
    <w:rsid w:val="00C145C8"/>
    <w:rsid w:val="00C14CDA"/>
    <w:rsid w:val="00C15DC6"/>
    <w:rsid w:val="00C15F06"/>
    <w:rsid w:val="00C16101"/>
    <w:rsid w:val="00C177B3"/>
    <w:rsid w:val="00C178B2"/>
    <w:rsid w:val="00C200C1"/>
    <w:rsid w:val="00C21097"/>
    <w:rsid w:val="00C22B54"/>
    <w:rsid w:val="00C2624A"/>
    <w:rsid w:val="00C26F3F"/>
    <w:rsid w:val="00C273D8"/>
    <w:rsid w:val="00C27EF2"/>
    <w:rsid w:val="00C313C9"/>
    <w:rsid w:val="00C322BE"/>
    <w:rsid w:val="00C32B19"/>
    <w:rsid w:val="00C33366"/>
    <w:rsid w:val="00C3401F"/>
    <w:rsid w:val="00C346C4"/>
    <w:rsid w:val="00C34803"/>
    <w:rsid w:val="00C34B75"/>
    <w:rsid w:val="00C34FE7"/>
    <w:rsid w:val="00C36D73"/>
    <w:rsid w:val="00C372F2"/>
    <w:rsid w:val="00C37B3B"/>
    <w:rsid w:val="00C413A0"/>
    <w:rsid w:val="00C41773"/>
    <w:rsid w:val="00C41BEE"/>
    <w:rsid w:val="00C41CBD"/>
    <w:rsid w:val="00C42860"/>
    <w:rsid w:val="00C44120"/>
    <w:rsid w:val="00C4618F"/>
    <w:rsid w:val="00C46C33"/>
    <w:rsid w:val="00C47C67"/>
    <w:rsid w:val="00C506A1"/>
    <w:rsid w:val="00C50DE3"/>
    <w:rsid w:val="00C52FAF"/>
    <w:rsid w:val="00C54578"/>
    <w:rsid w:val="00C547E3"/>
    <w:rsid w:val="00C54F04"/>
    <w:rsid w:val="00C55FF4"/>
    <w:rsid w:val="00C56129"/>
    <w:rsid w:val="00C565D4"/>
    <w:rsid w:val="00C56A86"/>
    <w:rsid w:val="00C60B58"/>
    <w:rsid w:val="00C6149F"/>
    <w:rsid w:val="00C61BEA"/>
    <w:rsid w:val="00C61E7C"/>
    <w:rsid w:val="00C62DCB"/>
    <w:rsid w:val="00C62E6A"/>
    <w:rsid w:val="00C63DDF"/>
    <w:rsid w:val="00C63F34"/>
    <w:rsid w:val="00C6433C"/>
    <w:rsid w:val="00C65919"/>
    <w:rsid w:val="00C6625B"/>
    <w:rsid w:val="00C665A0"/>
    <w:rsid w:val="00C665B8"/>
    <w:rsid w:val="00C707BA"/>
    <w:rsid w:val="00C71879"/>
    <w:rsid w:val="00C71F0F"/>
    <w:rsid w:val="00C72CD0"/>
    <w:rsid w:val="00C74853"/>
    <w:rsid w:val="00C74F1C"/>
    <w:rsid w:val="00C74FD6"/>
    <w:rsid w:val="00C75855"/>
    <w:rsid w:val="00C760E4"/>
    <w:rsid w:val="00C761DD"/>
    <w:rsid w:val="00C763C3"/>
    <w:rsid w:val="00C77A40"/>
    <w:rsid w:val="00C77D6E"/>
    <w:rsid w:val="00C805A5"/>
    <w:rsid w:val="00C83946"/>
    <w:rsid w:val="00C85028"/>
    <w:rsid w:val="00C87C2F"/>
    <w:rsid w:val="00C87C51"/>
    <w:rsid w:val="00C90453"/>
    <w:rsid w:val="00C907DB"/>
    <w:rsid w:val="00C90E4C"/>
    <w:rsid w:val="00C9124C"/>
    <w:rsid w:val="00C91C75"/>
    <w:rsid w:val="00C91D92"/>
    <w:rsid w:val="00C92B6D"/>
    <w:rsid w:val="00C94BC0"/>
    <w:rsid w:val="00C97F89"/>
    <w:rsid w:val="00CA08B7"/>
    <w:rsid w:val="00CA1821"/>
    <w:rsid w:val="00CA2A47"/>
    <w:rsid w:val="00CA2CD5"/>
    <w:rsid w:val="00CA4D96"/>
    <w:rsid w:val="00CA50BC"/>
    <w:rsid w:val="00CA6D85"/>
    <w:rsid w:val="00CA6E2B"/>
    <w:rsid w:val="00CA7E9E"/>
    <w:rsid w:val="00CB06CC"/>
    <w:rsid w:val="00CB1D29"/>
    <w:rsid w:val="00CB1EA9"/>
    <w:rsid w:val="00CB2DFC"/>
    <w:rsid w:val="00CB5441"/>
    <w:rsid w:val="00CB5BF0"/>
    <w:rsid w:val="00CB6C6A"/>
    <w:rsid w:val="00CB79F0"/>
    <w:rsid w:val="00CC080D"/>
    <w:rsid w:val="00CC1007"/>
    <w:rsid w:val="00CC137E"/>
    <w:rsid w:val="00CC1561"/>
    <w:rsid w:val="00CC2642"/>
    <w:rsid w:val="00CC2669"/>
    <w:rsid w:val="00CC328B"/>
    <w:rsid w:val="00CC45D1"/>
    <w:rsid w:val="00CC52CD"/>
    <w:rsid w:val="00CC573A"/>
    <w:rsid w:val="00CC5EB9"/>
    <w:rsid w:val="00CC61F9"/>
    <w:rsid w:val="00CC78BA"/>
    <w:rsid w:val="00CD1946"/>
    <w:rsid w:val="00CD3C15"/>
    <w:rsid w:val="00CD5050"/>
    <w:rsid w:val="00CD6417"/>
    <w:rsid w:val="00CE01E6"/>
    <w:rsid w:val="00CE2DC6"/>
    <w:rsid w:val="00CE37F3"/>
    <w:rsid w:val="00CE3A8F"/>
    <w:rsid w:val="00CE40C0"/>
    <w:rsid w:val="00CE5BD9"/>
    <w:rsid w:val="00CE5D97"/>
    <w:rsid w:val="00CE7622"/>
    <w:rsid w:val="00CE79F9"/>
    <w:rsid w:val="00CF0670"/>
    <w:rsid w:val="00CF21DA"/>
    <w:rsid w:val="00CF2CDC"/>
    <w:rsid w:val="00CF3566"/>
    <w:rsid w:val="00CF447C"/>
    <w:rsid w:val="00CF4E13"/>
    <w:rsid w:val="00CF5BB9"/>
    <w:rsid w:val="00CF73FD"/>
    <w:rsid w:val="00D0071D"/>
    <w:rsid w:val="00D007E0"/>
    <w:rsid w:val="00D00D38"/>
    <w:rsid w:val="00D01C92"/>
    <w:rsid w:val="00D0245A"/>
    <w:rsid w:val="00D02BA0"/>
    <w:rsid w:val="00D04A8E"/>
    <w:rsid w:val="00D04B10"/>
    <w:rsid w:val="00D04F01"/>
    <w:rsid w:val="00D06256"/>
    <w:rsid w:val="00D068A5"/>
    <w:rsid w:val="00D06B49"/>
    <w:rsid w:val="00D06D2A"/>
    <w:rsid w:val="00D074E8"/>
    <w:rsid w:val="00D076E5"/>
    <w:rsid w:val="00D10957"/>
    <w:rsid w:val="00D10A63"/>
    <w:rsid w:val="00D1161D"/>
    <w:rsid w:val="00D149CE"/>
    <w:rsid w:val="00D1590C"/>
    <w:rsid w:val="00D15DA5"/>
    <w:rsid w:val="00D15F09"/>
    <w:rsid w:val="00D16329"/>
    <w:rsid w:val="00D1714F"/>
    <w:rsid w:val="00D20AC6"/>
    <w:rsid w:val="00D21699"/>
    <w:rsid w:val="00D21F57"/>
    <w:rsid w:val="00D22AF8"/>
    <w:rsid w:val="00D22D16"/>
    <w:rsid w:val="00D22D30"/>
    <w:rsid w:val="00D23D79"/>
    <w:rsid w:val="00D247B8"/>
    <w:rsid w:val="00D247E0"/>
    <w:rsid w:val="00D24FD6"/>
    <w:rsid w:val="00D25672"/>
    <w:rsid w:val="00D25ED6"/>
    <w:rsid w:val="00D262E7"/>
    <w:rsid w:val="00D31245"/>
    <w:rsid w:val="00D32294"/>
    <w:rsid w:val="00D33ED3"/>
    <w:rsid w:val="00D3431E"/>
    <w:rsid w:val="00D35064"/>
    <w:rsid w:val="00D3518A"/>
    <w:rsid w:val="00D35264"/>
    <w:rsid w:val="00D353A4"/>
    <w:rsid w:val="00D353B8"/>
    <w:rsid w:val="00D40273"/>
    <w:rsid w:val="00D4104C"/>
    <w:rsid w:val="00D4117B"/>
    <w:rsid w:val="00D41B0A"/>
    <w:rsid w:val="00D420A5"/>
    <w:rsid w:val="00D42B09"/>
    <w:rsid w:val="00D44053"/>
    <w:rsid w:val="00D447B7"/>
    <w:rsid w:val="00D44846"/>
    <w:rsid w:val="00D460F8"/>
    <w:rsid w:val="00D46138"/>
    <w:rsid w:val="00D461E0"/>
    <w:rsid w:val="00D46BE3"/>
    <w:rsid w:val="00D47383"/>
    <w:rsid w:val="00D4783D"/>
    <w:rsid w:val="00D47DD0"/>
    <w:rsid w:val="00D52690"/>
    <w:rsid w:val="00D52E85"/>
    <w:rsid w:val="00D53036"/>
    <w:rsid w:val="00D53A1D"/>
    <w:rsid w:val="00D5501D"/>
    <w:rsid w:val="00D55ACF"/>
    <w:rsid w:val="00D55E04"/>
    <w:rsid w:val="00D562B6"/>
    <w:rsid w:val="00D56669"/>
    <w:rsid w:val="00D56BDD"/>
    <w:rsid w:val="00D57CF7"/>
    <w:rsid w:val="00D60CAC"/>
    <w:rsid w:val="00D60E14"/>
    <w:rsid w:val="00D6181F"/>
    <w:rsid w:val="00D618C0"/>
    <w:rsid w:val="00D631C7"/>
    <w:rsid w:val="00D65046"/>
    <w:rsid w:val="00D6548F"/>
    <w:rsid w:val="00D658B8"/>
    <w:rsid w:val="00D660FF"/>
    <w:rsid w:val="00D66887"/>
    <w:rsid w:val="00D67A2D"/>
    <w:rsid w:val="00D71459"/>
    <w:rsid w:val="00D727D4"/>
    <w:rsid w:val="00D7355C"/>
    <w:rsid w:val="00D73661"/>
    <w:rsid w:val="00D743C4"/>
    <w:rsid w:val="00D74952"/>
    <w:rsid w:val="00D7679E"/>
    <w:rsid w:val="00D77C01"/>
    <w:rsid w:val="00D80C75"/>
    <w:rsid w:val="00D80F66"/>
    <w:rsid w:val="00D8155C"/>
    <w:rsid w:val="00D836C2"/>
    <w:rsid w:val="00D8391D"/>
    <w:rsid w:val="00D83E61"/>
    <w:rsid w:val="00D86663"/>
    <w:rsid w:val="00D879F3"/>
    <w:rsid w:val="00D90F63"/>
    <w:rsid w:val="00D91B90"/>
    <w:rsid w:val="00D9231E"/>
    <w:rsid w:val="00D92CD7"/>
    <w:rsid w:val="00D93788"/>
    <w:rsid w:val="00D942B5"/>
    <w:rsid w:val="00D96E07"/>
    <w:rsid w:val="00D97749"/>
    <w:rsid w:val="00D97F39"/>
    <w:rsid w:val="00D97F4F"/>
    <w:rsid w:val="00DA0449"/>
    <w:rsid w:val="00DA163A"/>
    <w:rsid w:val="00DA185E"/>
    <w:rsid w:val="00DA28DB"/>
    <w:rsid w:val="00DA29E3"/>
    <w:rsid w:val="00DA3832"/>
    <w:rsid w:val="00DA3A9A"/>
    <w:rsid w:val="00DA43B0"/>
    <w:rsid w:val="00DA4473"/>
    <w:rsid w:val="00DA45EB"/>
    <w:rsid w:val="00DA6EDF"/>
    <w:rsid w:val="00DA71D0"/>
    <w:rsid w:val="00DA7766"/>
    <w:rsid w:val="00DB0067"/>
    <w:rsid w:val="00DB1185"/>
    <w:rsid w:val="00DB1A3D"/>
    <w:rsid w:val="00DB2BEB"/>
    <w:rsid w:val="00DB2C27"/>
    <w:rsid w:val="00DB3BAB"/>
    <w:rsid w:val="00DB429F"/>
    <w:rsid w:val="00DB449F"/>
    <w:rsid w:val="00DB4546"/>
    <w:rsid w:val="00DB4A6A"/>
    <w:rsid w:val="00DB5415"/>
    <w:rsid w:val="00DB6770"/>
    <w:rsid w:val="00DB6BB8"/>
    <w:rsid w:val="00DB70FC"/>
    <w:rsid w:val="00DB71DF"/>
    <w:rsid w:val="00DB73C7"/>
    <w:rsid w:val="00DB78D3"/>
    <w:rsid w:val="00DB7C0D"/>
    <w:rsid w:val="00DC0297"/>
    <w:rsid w:val="00DC1451"/>
    <w:rsid w:val="00DC1747"/>
    <w:rsid w:val="00DC1BB6"/>
    <w:rsid w:val="00DC1F66"/>
    <w:rsid w:val="00DC279D"/>
    <w:rsid w:val="00DC36CD"/>
    <w:rsid w:val="00DC4351"/>
    <w:rsid w:val="00DC5E50"/>
    <w:rsid w:val="00DC62EB"/>
    <w:rsid w:val="00DC64C2"/>
    <w:rsid w:val="00DC7FB8"/>
    <w:rsid w:val="00DD08BD"/>
    <w:rsid w:val="00DD0F36"/>
    <w:rsid w:val="00DD16CC"/>
    <w:rsid w:val="00DD22A5"/>
    <w:rsid w:val="00DD42E0"/>
    <w:rsid w:val="00DD55B1"/>
    <w:rsid w:val="00DD59B4"/>
    <w:rsid w:val="00DD679C"/>
    <w:rsid w:val="00DE0F8B"/>
    <w:rsid w:val="00DE1A6C"/>
    <w:rsid w:val="00DE3365"/>
    <w:rsid w:val="00DE36D8"/>
    <w:rsid w:val="00DE435C"/>
    <w:rsid w:val="00DE6F9E"/>
    <w:rsid w:val="00DE7ABD"/>
    <w:rsid w:val="00DF0A0D"/>
    <w:rsid w:val="00DF0D00"/>
    <w:rsid w:val="00DF0DDF"/>
    <w:rsid w:val="00DF298C"/>
    <w:rsid w:val="00DF414F"/>
    <w:rsid w:val="00DF5F93"/>
    <w:rsid w:val="00DF611C"/>
    <w:rsid w:val="00DF702A"/>
    <w:rsid w:val="00DF7FCF"/>
    <w:rsid w:val="00E0188D"/>
    <w:rsid w:val="00E023DD"/>
    <w:rsid w:val="00E02F7B"/>
    <w:rsid w:val="00E035F0"/>
    <w:rsid w:val="00E03911"/>
    <w:rsid w:val="00E04009"/>
    <w:rsid w:val="00E04453"/>
    <w:rsid w:val="00E04D57"/>
    <w:rsid w:val="00E04DE7"/>
    <w:rsid w:val="00E06E77"/>
    <w:rsid w:val="00E06F4E"/>
    <w:rsid w:val="00E073F2"/>
    <w:rsid w:val="00E117B3"/>
    <w:rsid w:val="00E11BF6"/>
    <w:rsid w:val="00E11E5A"/>
    <w:rsid w:val="00E13CF0"/>
    <w:rsid w:val="00E15DC6"/>
    <w:rsid w:val="00E17094"/>
    <w:rsid w:val="00E179F6"/>
    <w:rsid w:val="00E17D44"/>
    <w:rsid w:val="00E211BD"/>
    <w:rsid w:val="00E21EBA"/>
    <w:rsid w:val="00E225D4"/>
    <w:rsid w:val="00E22DC6"/>
    <w:rsid w:val="00E247F7"/>
    <w:rsid w:val="00E24D39"/>
    <w:rsid w:val="00E25DF1"/>
    <w:rsid w:val="00E265E8"/>
    <w:rsid w:val="00E3159B"/>
    <w:rsid w:val="00E318BB"/>
    <w:rsid w:val="00E31B90"/>
    <w:rsid w:val="00E34971"/>
    <w:rsid w:val="00E34FE6"/>
    <w:rsid w:val="00E372F2"/>
    <w:rsid w:val="00E37787"/>
    <w:rsid w:val="00E4179A"/>
    <w:rsid w:val="00E419D9"/>
    <w:rsid w:val="00E41C0F"/>
    <w:rsid w:val="00E4296F"/>
    <w:rsid w:val="00E42CAC"/>
    <w:rsid w:val="00E43014"/>
    <w:rsid w:val="00E43019"/>
    <w:rsid w:val="00E43FD6"/>
    <w:rsid w:val="00E447F8"/>
    <w:rsid w:val="00E465C9"/>
    <w:rsid w:val="00E46BA6"/>
    <w:rsid w:val="00E46D88"/>
    <w:rsid w:val="00E47145"/>
    <w:rsid w:val="00E4783B"/>
    <w:rsid w:val="00E519FF"/>
    <w:rsid w:val="00E51D51"/>
    <w:rsid w:val="00E52513"/>
    <w:rsid w:val="00E52655"/>
    <w:rsid w:val="00E55724"/>
    <w:rsid w:val="00E56516"/>
    <w:rsid w:val="00E56BC2"/>
    <w:rsid w:val="00E56CB2"/>
    <w:rsid w:val="00E571B6"/>
    <w:rsid w:val="00E5740F"/>
    <w:rsid w:val="00E57756"/>
    <w:rsid w:val="00E60597"/>
    <w:rsid w:val="00E605B5"/>
    <w:rsid w:val="00E61890"/>
    <w:rsid w:val="00E618BB"/>
    <w:rsid w:val="00E62104"/>
    <w:rsid w:val="00E62237"/>
    <w:rsid w:val="00E63870"/>
    <w:rsid w:val="00E6408E"/>
    <w:rsid w:val="00E6482D"/>
    <w:rsid w:val="00E64C8D"/>
    <w:rsid w:val="00E654C2"/>
    <w:rsid w:val="00E6633A"/>
    <w:rsid w:val="00E6662A"/>
    <w:rsid w:val="00E666FF"/>
    <w:rsid w:val="00E66DA6"/>
    <w:rsid w:val="00E671B9"/>
    <w:rsid w:val="00E67F3E"/>
    <w:rsid w:val="00E70A45"/>
    <w:rsid w:val="00E70AF7"/>
    <w:rsid w:val="00E70D27"/>
    <w:rsid w:val="00E72070"/>
    <w:rsid w:val="00E72999"/>
    <w:rsid w:val="00E738D2"/>
    <w:rsid w:val="00E73D20"/>
    <w:rsid w:val="00E755C1"/>
    <w:rsid w:val="00E75B74"/>
    <w:rsid w:val="00E75E25"/>
    <w:rsid w:val="00E77814"/>
    <w:rsid w:val="00E8067B"/>
    <w:rsid w:val="00E8132D"/>
    <w:rsid w:val="00E8413D"/>
    <w:rsid w:val="00E84521"/>
    <w:rsid w:val="00E8469A"/>
    <w:rsid w:val="00E851B0"/>
    <w:rsid w:val="00E85BEC"/>
    <w:rsid w:val="00E86806"/>
    <w:rsid w:val="00E872C0"/>
    <w:rsid w:val="00E8743D"/>
    <w:rsid w:val="00E9002B"/>
    <w:rsid w:val="00E90ED8"/>
    <w:rsid w:val="00E92AB2"/>
    <w:rsid w:val="00E92ABD"/>
    <w:rsid w:val="00E941EE"/>
    <w:rsid w:val="00E9509B"/>
    <w:rsid w:val="00E9511E"/>
    <w:rsid w:val="00E9585F"/>
    <w:rsid w:val="00E95DF8"/>
    <w:rsid w:val="00E97983"/>
    <w:rsid w:val="00EA0E80"/>
    <w:rsid w:val="00EA0FCC"/>
    <w:rsid w:val="00EA1869"/>
    <w:rsid w:val="00EA3DB8"/>
    <w:rsid w:val="00EA41D9"/>
    <w:rsid w:val="00EA6914"/>
    <w:rsid w:val="00EB062E"/>
    <w:rsid w:val="00EB0F30"/>
    <w:rsid w:val="00EB1358"/>
    <w:rsid w:val="00EB259F"/>
    <w:rsid w:val="00EB3D58"/>
    <w:rsid w:val="00EB5CCB"/>
    <w:rsid w:val="00EB6345"/>
    <w:rsid w:val="00EB65FE"/>
    <w:rsid w:val="00EB710F"/>
    <w:rsid w:val="00EC04F1"/>
    <w:rsid w:val="00EC05EF"/>
    <w:rsid w:val="00EC0B99"/>
    <w:rsid w:val="00EC0EB9"/>
    <w:rsid w:val="00EC1703"/>
    <w:rsid w:val="00EC1826"/>
    <w:rsid w:val="00EC2602"/>
    <w:rsid w:val="00EC4DB5"/>
    <w:rsid w:val="00EC509D"/>
    <w:rsid w:val="00EC6D78"/>
    <w:rsid w:val="00EC7702"/>
    <w:rsid w:val="00EC78A6"/>
    <w:rsid w:val="00EC7A0E"/>
    <w:rsid w:val="00ED0798"/>
    <w:rsid w:val="00ED114D"/>
    <w:rsid w:val="00ED179C"/>
    <w:rsid w:val="00ED24BD"/>
    <w:rsid w:val="00ED2DCC"/>
    <w:rsid w:val="00ED36EF"/>
    <w:rsid w:val="00ED421F"/>
    <w:rsid w:val="00ED44F0"/>
    <w:rsid w:val="00ED66B8"/>
    <w:rsid w:val="00ED7281"/>
    <w:rsid w:val="00ED728B"/>
    <w:rsid w:val="00ED738B"/>
    <w:rsid w:val="00EE0DB7"/>
    <w:rsid w:val="00EE1036"/>
    <w:rsid w:val="00EE293D"/>
    <w:rsid w:val="00EE6599"/>
    <w:rsid w:val="00EE7C73"/>
    <w:rsid w:val="00EE7D44"/>
    <w:rsid w:val="00EF09F8"/>
    <w:rsid w:val="00EF0D24"/>
    <w:rsid w:val="00EF1441"/>
    <w:rsid w:val="00EF2245"/>
    <w:rsid w:val="00EF2455"/>
    <w:rsid w:val="00EF3634"/>
    <w:rsid w:val="00EF3E4C"/>
    <w:rsid w:val="00EF4736"/>
    <w:rsid w:val="00EF4B22"/>
    <w:rsid w:val="00EF5220"/>
    <w:rsid w:val="00EF550B"/>
    <w:rsid w:val="00EF55EC"/>
    <w:rsid w:val="00EF58DE"/>
    <w:rsid w:val="00EF68D7"/>
    <w:rsid w:val="00EF6C5E"/>
    <w:rsid w:val="00EF7FFC"/>
    <w:rsid w:val="00F002BD"/>
    <w:rsid w:val="00F00464"/>
    <w:rsid w:val="00F00647"/>
    <w:rsid w:val="00F00DB5"/>
    <w:rsid w:val="00F03556"/>
    <w:rsid w:val="00F0425B"/>
    <w:rsid w:val="00F05070"/>
    <w:rsid w:val="00F0578E"/>
    <w:rsid w:val="00F05881"/>
    <w:rsid w:val="00F066AD"/>
    <w:rsid w:val="00F067F4"/>
    <w:rsid w:val="00F105D2"/>
    <w:rsid w:val="00F10CC6"/>
    <w:rsid w:val="00F11564"/>
    <w:rsid w:val="00F115CC"/>
    <w:rsid w:val="00F12E1C"/>
    <w:rsid w:val="00F133D1"/>
    <w:rsid w:val="00F148C2"/>
    <w:rsid w:val="00F15EC4"/>
    <w:rsid w:val="00F1623D"/>
    <w:rsid w:val="00F163BF"/>
    <w:rsid w:val="00F173FE"/>
    <w:rsid w:val="00F20183"/>
    <w:rsid w:val="00F20A60"/>
    <w:rsid w:val="00F22A32"/>
    <w:rsid w:val="00F22D13"/>
    <w:rsid w:val="00F23B0E"/>
    <w:rsid w:val="00F2471E"/>
    <w:rsid w:val="00F253DE"/>
    <w:rsid w:val="00F26747"/>
    <w:rsid w:val="00F26AAE"/>
    <w:rsid w:val="00F3120D"/>
    <w:rsid w:val="00F31218"/>
    <w:rsid w:val="00F32216"/>
    <w:rsid w:val="00F32AB8"/>
    <w:rsid w:val="00F3311C"/>
    <w:rsid w:val="00F336B8"/>
    <w:rsid w:val="00F36A54"/>
    <w:rsid w:val="00F36E83"/>
    <w:rsid w:val="00F378D0"/>
    <w:rsid w:val="00F404A8"/>
    <w:rsid w:val="00F40CBF"/>
    <w:rsid w:val="00F40D93"/>
    <w:rsid w:val="00F4194A"/>
    <w:rsid w:val="00F41CD1"/>
    <w:rsid w:val="00F4281D"/>
    <w:rsid w:val="00F4382F"/>
    <w:rsid w:val="00F44B1E"/>
    <w:rsid w:val="00F45549"/>
    <w:rsid w:val="00F46546"/>
    <w:rsid w:val="00F46A55"/>
    <w:rsid w:val="00F46ADD"/>
    <w:rsid w:val="00F470A2"/>
    <w:rsid w:val="00F500C3"/>
    <w:rsid w:val="00F50328"/>
    <w:rsid w:val="00F51778"/>
    <w:rsid w:val="00F51F01"/>
    <w:rsid w:val="00F52BE0"/>
    <w:rsid w:val="00F54949"/>
    <w:rsid w:val="00F55068"/>
    <w:rsid w:val="00F5651F"/>
    <w:rsid w:val="00F60B49"/>
    <w:rsid w:val="00F61D1D"/>
    <w:rsid w:val="00F62227"/>
    <w:rsid w:val="00F632ED"/>
    <w:rsid w:val="00F63BC8"/>
    <w:rsid w:val="00F647B2"/>
    <w:rsid w:val="00F647FD"/>
    <w:rsid w:val="00F64C59"/>
    <w:rsid w:val="00F65282"/>
    <w:rsid w:val="00F6653E"/>
    <w:rsid w:val="00F6715E"/>
    <w:rsid w:val="00F715D9"/>
    <w:rsid w:val="00F71AC2"/>
    <w:rsid w:val="00F72659"/>
    <w:rsid w:val="00F73BAD"/>
    <w:rsid w:val="00F74BF4"/>
    <w:rsid w:val="00F76C98"/>
    <w:rsid w:val="00F777C9"/>
    <w:rsid w:val="00F81660"/>
    <w:rsid w:val="00F845B1"/>
    <w:rsid w:val="00F84636"/>
    <w:rsid w:val="00F86E91"/>
    <w:rsid w:val="00F902D0"/>
    <w:rsid w:val="00F90A93"/>
    <w:rsid w:val="00F91195"/>
    <w:rsid w:val="00F917B2"/>
    <w:rsid w:val="00F925B9"/>
    <w:rsid w:val="00F92DFF"/>
    <w:rsid w:val="00F934E5"/>
    <w:rsid w:val="00F94729"/>
    <w:rsid w:val="00F95540"/>
    <w:rsid w:val="00F964EF"/>
    <w:rsid w:val="00F97AEB"/>
    <w:rsid w:val="00F97C5B"/>
    <w:rsid w:val="00F97CA9"/>
    <w:rsid w:val="00FA0B57"/>
    <w:rsid w:val="00FA1B85"/>
    <w:rsid w:val="00FA2033"/>
    <w:rsid w:val="00FA2A75"/>
    <w:rsid w:val="00FA2F50"/>
    <w:rsid w:val="00FA51AD"/>
    <w:rsid w:val="00FA6C82"/>
    <w:rsid w:val="00FA6C9A"/>
    <w:rsid w:val="00FB0398"/>
    <w:rsid w:val="00FB052A"/>
    <w:rsid w:val="00FB0D90"/>
    <w:rsid w:val="00FB26C4"/>
    <w:rsid w:val="00FB2EBF"/>
    <w:rsid w:val="00FB345F"/>
    <w:rsid w:val="00FB34FE"/>
    <w:rsid w:val="00FB39AD"/>
    <w:rsid w:val="00FB4E22"/>
    <w:rsid w:val="00FB4FC9"/>
    <w:rsid w:val="00FB5052"/>
    <w:rsid w:val="00FB637F"/>
    <w:rsid w:val="00FB677D"/>
    <w:rsid w:val="00FB6A94"/>
    <w:rsid w:val="00FB6D67"/>
    <w:rsid w:val="00FB6F08"/>
    <w:rsid w:val="00FB7964"/>
    <w:rsid w:val="00FB7B8C"/>
    <w:rsid w:val="00FB7D49"/>
    <w:rsid w:val="00FC0706"/>
    <w:rsid w:val="00FC170F"/>
    <w:rsid w:val="00FC3A82"/>
    <w:rsid w:val="00FC40B7"/>
    <w:rsid w:val="00FC44AB"/>
    <w:rsid w:val="00FC4DD4"/>
    <w:rsid w:val="00FC5181"/>
    <w:rsid w:val="00FC588D"/>
    <w:rsid w:val="00FC594A"/>
    <w:rsid w:val="00FC65FE"/>
    <w:rsid w:val="00FC734C"/>
    <w:rsid w:val="00FC7F44"/>
    <w:rsid w:val="00FD02F1"/>
    <w:rsid w:val="00FD0E9E"/>
    <w:rsid w:val="00FD1BF3"/>
    <w:rsid w:val="00FD2295"/>
    <w:rsid w:val="00FD2531"/>
    <w:rsid w:val="00FD2D57"/>
    <w:rsid w:val="00FD2D98"/>
    <w:rsid w:val="00FD31AA"/>
    <w:rsid w:val="00FD485E"/>
    <w:rsid w:val="00FD4A0E"/>
    <w:rsid w:val="00FD74DD"/>
    <w:rsid w:val="00FE0629"/>
    <w:rsid w:val="00FE1321"/>
    <w:rsid w:val="00FE1770"/>
    <w:rsid w:val="00FE19B7"/>
    <w:rsid w:val="00FE1C56"/>
    <w:rsid w:val="00FE268D"/>
    <w:rsid w:val="00FE2D23"/>
    <w:rsid w:val="00FE307C"/>
    <w:rsid w:val="00FE30A7"/>
    <w:rsid w:val="00FE40D7"/>
    <w:rsid w:val="00FE486D"/>
    <w:rsid w:val="00FE5DDC"/>
    <w:rsid w:val="00FE6C83"/>
    <w:rsid w:val="00FE730C"/>
    <w:rsid w:val="00FE7E61"/>
    <w:rsid w:val="00FF12A5"/>
    <w:rsid w:val="00FF1544"/>
    <w:rsid w:val="00FF2DEF"/>
    <w:rsid w:val="00FF3C63"/>
    <w:rsid w:val="00FF49CD"/>
    <w:rsid w:val="00FF5216"/>
    <w:rsid w:val="00FF5636"/>
    <w:rsid w:val="00FF753E"/>
    <w:rsid w:val="00FF7F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F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EDC"/>
    <w:pPr>
      <w:spacing w:line="240" w:lineRule="auto"/>
    </w:pPr>
    <w:rPr>
      <w:rFonts w:ascii="Segoe UI" w:hAnsi="Segoe UI" w:cs="Times New Roman"/>
      <w:szCs w:val="20"/>
    </w:rPr>
  </w:style>
  <w:style w:type="paragraph" w:styleId="Heading1">
    <w:name w:val="heading 1"/>
    <w:basedOn w:val="Normal"/>
    <w:next w:val="Normal"/>
    <w:link w:val="Heading1Char"/>
    <w:qFormat/>
    <w:rsid w:val="004E0FBE"/>
    <w:pPr>
      <w:keepNext/>
      <w:keepLines/>
      <w:numPr>
        <w:numId w:val="18"/>
      </w:numPr>
      <w:spacing w:before="240" w:after="240"/>
      <w:outlineLvl w:val="0"/>
    </w:pPr>
    <w:rPr>
      <w:rFonts w:eastAsiaTheme="majorEastAsia"/>
      <w:b/>
      <w:bCs/>
      <w:color w:val="984806" w:themeColor="accent6" w:themeShade="80"/>
      <w:sz w:val="40"/>
      <w:szCs w:val="28"/>
    </w:rPr>
  </w:style>
  <w:style w:type="paragraph" w:styleId="Heading2">
    <w:name w:val="heading 2"/>
    <w:basedOn w:val="Normal"/>
    <w:next w:val="Normal"/>
    <w:link w:val="Heading2Char"/>
    <w:autoRedefine/>
    <w:uiPriority w:val="9"/>
    <w:unhideWhenUsed/>
    <w:qFormat/>
    <w:rsid w:val="00152634"/>
    <w:pPr>
      <w:keepNext/>
      <w:keepLines/>
      <w:numPr>
        <w:ilvl w:val="1"/>
        <w:numId w:val="18"/>
      </w:numPr>
      <w:spacing w:before="200" w:after="120"/>
      <w:ind w:left="576"/>
      <w:outlineLvl w:val="1"/>
    </w:pPr>
    <w:rPr>
      <w:rFonts w:eastAsiaTheme="majorEastAsia" w:cstheme="majorBidi"/>
      <w:b/>
      <w:bCs/>
      <w:color w:val="E46C0A"/>
      <w:sz w:val="36"/>
      <w:szCs w:val="26"/>
      <w:lang w:val="en-US"/>
    </w:rPr>
  </w:style>
  <w:style w:type="paragraph" w:styleId="Heading3">
    <w:name w:val="heading 3"/>
    <w:basedOn w:val="Normal"/>
    <w:next w:val="Normal"/>
    <w:link w:val="Heading3Char"/>
    <w:autoRedefine/>
    <w:uiPriority w:val="9"/>
    <w:unhideWhenUsed/>
    <w:qFormat/>
    <w:rsid w:val="00673EB6"/>
    <w:pPr>
      <w:keepNext/>
      <w:keepLines/>
      <w:spacing w:before="120" w:after="120"/>
      <w:outlineLvl w:val="2"/>
    </w:pPr>
    <w:rPr>
      <w:rFonts w:eastAsiaTheme="majorEastAsia" w:cstheme="majorBidi"/>
      <w:bCs/>
      <w:color w:val="E46C0A"/>
      <w:sz w:val="32"/>
    </w:rPr>
  </w:style>
  <w:style w:type="paragraph" w:styleId="Heading4">
    <w:name w:val="heading 4"/>
    <w:basedOn w:val="Normal"/>
    <w:next w:val="Normal"/>
    <w:link w:val="Heading4Char"/>
    <w:autoRedefine/>
    <w:uiPriority w:val="9"/>
    <w:unhideWhenUsed/>
    <w:qFormat/>
    <w:rsid w:val="00673EB6"/>
    <w:pPr>
      <w:keepNext/>
      <w:keepLines/>
      <w:spacing w:before="200"/>
      <w:outlineLvl w:val="3"/>
    </w:pPr>
    <w:rPr>
      <w:rFonts w:eastAsiaTheme="majorEastAsia" w:cstheme="majorBidi"/>
      <w:bCs/>
      <w:i/>
      <w:iCs/>
      <w:color w:val="E46C0A"/>
      <w:sz w:val="28"/>
    </w:rPr>
  </w:style>
  <w:style w:type="paragraph" w:styleId="Heading5">
    <w:name w:val="heading 5"/>
    <w:basedOn w:val="Normal"/>
    <w:next w:val="Normal"/>
    <w:link w:val="Heading5Char"/>
    <w:uiPriority w:val="9"/>
    <w:unhideWhenUsed/>
    <w:qFormat/>
    <w:rsid w:val="00FD4A0E"/>
    <w:pPr>
      <w:keepNext/>
      <w:keepLines/>
      <w:spacing w:before="200" w:after="0"/>
      <w:outlineLvl w:val="4"/>
    </w:pPr>
    <w:rPr>
      <w:rFonts w:eastAsiaTheme="majorEastAsia" w:cstheme="majorBidi"/>
      <w:i/>
      <w:sz w:val="24"/>
    </w:rPr>
  </w:style>
  <w:style w:type="paragraph" w:styleId="Heading6">
    <w:name w:val="heading 6"/>
    <w:basedOn w:val="Normal"/>
    <w:next w:val="Normal"/>
    <w:link w:val="Heading6Char"/>
    <w:uiPriority w:val="9"/>
    <w:semiHidden/>
    <w:unhideWhenUsed/>
    <w:qFormat/>
    <w:rsid w:val="009B0C5B"/>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0C5B"/>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0C5B"/>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9B0C5B"/>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0FBE"/>
    <w:rPr>
      <w:rFonts w:ascii="Segoe UI" w:eastAsiaTheme="majorEastAsia" w:hAnsi="Segoe UI" w:cs="Times New Roman"/>
      <w:b/>
      <w:bCs/>
      <w:color w:val="984806" w:themeColor="accent6" w:themeShade="80"/>
      <w:sz w:val="40"/>
      <w:szCs w:val="28"/>
    </w:rPr>
  </w:style>
  <w:style w:type="character" w:customStyle="1" w:styleId="Heading2Char">
    <w:name w:val="Heading 2 Char"/>
    <w:basedOn w:val="DefaultParagraphFont"/>
    <w:link w:val="Heading2"/>
    <w:uiPriority w:val="9"/>
    <w:rsid w:val="00152634"/>
    <w:rPr>
      <w:rFonts w:ascii="Segoe UI" w:eastAsiaTheme="majorEastAsia" w:hAnsi="Segoe UI" w:cstheme="majorBidi"/>
      <w:b/>
      <w:bCs/>
      <w:color w:val="E46C0A"/>
      <w:sz w:val="36"/>
      <w:szCs w:val="26"/>
      <w:lang w:val="en-US"/>
    </w:rPr>
  </w:style>
  <w:style w:type="character" w:customStyle="1" w:styleId="Heading3Char">
    <w:name w:val="Heading 3 Char"/>
    <w:basedOn w:val="DefaultParagraphFont"/>
    <w:link w:val="Heading3"/>
    <w:uiPriority w:val="9"/>
    <w:rsid w:val="00673EB6"/>
    <w:rPr>
      <w:rFonts w:ascii="Segoe UI" w:eastAsiaTheme="majorEastAsia" w:hAnsi="Segoe UI" w:cstheme="majorBidi"/>
      <w:bCs/>
      <w:color w:val="E46C0A"/>
      <w:sz w:val="32"/>
      <w:szCs w:val="20"/>
    </w:rPr>
  </w:style>
  <w:style w:type="character" w:customStyle="1" w:styleId="Heading4Char">
    <w:name w:val="Heading 4 Char"/>
    <w:basedOn w:val="DefaultParagraphFont"/>
    <w:link w:val="Heading4"/>
    <w:uiPriority w:val="9"/>
    <w:rsid w:val="00673EB6"/>
    <w:rPr>
      <w:rFonts w:ascii="Segoe UI" w:eastAsiaTheme="majorEastAsia" w:hAnsi="Segoe UI" w:cstheme="majorBidi"/>
      <w:bCs/>
      <w:i/>
      <w:iCs/>
      <w:color w:val="E46C0A"/>
      <w:sz w:val="28"/>
      <w:szCs w:val="20"/>
    </w:rPr>
  </w:style>
  <w:style w:type="paragraph" w:styleId="ListParagraph">
    <w:name w:val="List Paragraph"/>
    <w:aliases w:val="Recommendation,dot point 1,List Paragraph1,standard lewis,Numbered Para 1,Dot pt,No Spacing1,List Paragraph Char Char Char,Indicator Text,Bullet Points,MAIN CONTENT,List Paragraph12,Body text,List Paragraph11,Body Text1,Body Text11"/>
    <w:basedOn w:val="Normal"/>
    <w:link w:val="ListParagraphChar"/>
    <w:uiPriority w:val="34"/>
    <w:qFormat/>
    <w:rsid w:val="004B29CC"/>
    <w:pPr>
      <w:numPr>
        <w:numId w:val="1"/>
      </w:numPr>
      <w:tabs>
        <w:tab w:val="left" w:pos="284"/>
      </w:tabs>
      <w:spacing w:before="120"/>
    </w:pPr>
    <w:rPr>
      <w:rFonts w:eastAsiaTheme="minorEastAsia" w:cs="Microsoft Sans Serif"/>
      <w:szCs w:val="24"/>
    </w:rPr>
  </w:style>
  <w:style w:type="character" w:customStyle="1" w:styleId="ListParagraphChar">
    <w:name w:val="List Paragraph Char"/>
    <w:aliases w:val="Recommendation Char,dot point 1 Char,List Paragraph1 Char,standard lewis Char,Numbered Para 1 Char,Dot pt Char,No Spacing1 Char,List Paragraph Char Char Char Char,Indicator Text Char,Bullet Points Char,MAIN CONTENT Char"/>
    <w:basedOn w:val="DefaultParagraphFont"/>
    <w:link w:val="ListParagraph"/>
    <w:uiPriority w:val="34"/>
    <w:qFormat/>
    <w:locked/>
    <w:rsid w:val="00A7624E"/>
    <w:rPr>
      <w:rFonts w:ascii="Segoe UI" w:eastAsiaTheme="minorEastAsia" w:hAnsi="Segoe UI" w:cs="Microsoft Sans Serif"/>
      <w:szCs w:val="24"/>
    </w:rPr>
  </w:style>
  <w:style w:type="table" w:styleId="MediumShading1-Accent3">
    <w:name w:val="Medium Shading 1 Accent 3"/>
    <w:basedOn w:val="TableNormal"/>
    <w:uiPriority w:val="63"/>
    <w:rsid w:val="00F40CB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shd w:val="clear" w:color="auto" w:fill="388B2D"/>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2D48F2"/>
    <w:rPr>
      <w:rFonts w:ascii="Tahoma" w:hAnsi="Tahoma" w:cs="Tahoma"/>
      <w:sz w:val="16"/>
      <w:szCs w:val="16"/>
    </w:rPr>
  </w:style>
  <w:style w:type="character" w:customStyle="1" w:styleId="BalloonTextChar">
    <w:name w:val="Balloon Text Char"/>
    <w:basedOn w:val="DefaultParagraphFont"/>
    <w:link w:val="BalloonText"/>
    <w:uiPriority w:val="99"/>
    <w:semiHidden/>
    <w:rsid w:val="002D48F2"/>
    <w:rPr>
      <w:rFonts w:ascii="Tahoma" w:hAnsi="Tahoma" w:cs="Tahoma"/>
      <w:sz w:val="16"/>
      <w:szCs w:val="16"/>
    </w:rPr>
  </w:style>
  <w:style w:type="table" w:styleId="TableGrid">
    <w:name w:val="Table Grid"/>
    <w:basedOn w:val="TableNormal"/>
    <w:uiPriority w:val="59"/>
    <w:rsid w:val="002D4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D48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37787"/>
    <w:pPr>
      <w:spacing w:before="120" w:after="120" w:line="240" w:lineRule="auto"/>
      <w:jc w:val="center"/>
    </w:pPr>
    <w:rPr>
      <w:rFonts w:ascii="Lato Medium" w:hAnsi="Lato Medium"/>
    </w:rPr>
    <w:tblPr>
      <w:tblStyleRowBandSize w:val="1"/>
      <w:tblStyleColBandSize w:val="1"/>
      <w:tblBorders>
        <w:top w:val="single" w:sz="4" w:space="0" w:color="009CDA"/>
        <w:bottom w:val="single" w:sz="4" w:space="0" w:color="009CDA"/>
        <w:insideH w:val="single" w:sz="4" w:space="0" w:color="009CDA"/>
      </w:tblBorders>
    </w:tblPr>
    <w:tcPr>
      <w:vAlign w:val="center"/>
    </w:tcPr>
    <w:tblStylePr w:type="firstRow">
      <w:pPr>
        <w:spacing w:before="0" w:after="0" w:line="240" w:lineRule="auto"/>
      </w:pPr>
      <w:rPr>
        <w:b/>
        <w:bCs/>
      </w:rPr>
      <w:tblPr/>
      <w:tcPr>
        <w:tcBorders>
          <w:top w:val="single" w:sz="4" w:space="0" w:color="009CDA"/>
          <w:left w:val="nil"/>
          <w:bottom w:val="single" w:sz="4" w:space="0" w:color="009CDA"/>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rPr>
        <w:b w:val="0"/>
      </w:rPr>
      <w:tblPr/>
      <w:tcPr>
        <w:shd w:val="clear" w:color="auto" w:fill="C9F0FF"/>
      </w:tcPr>
    </w:tblStylePr>
  </w:style>
  <w:style w:type="paragraph" w:styleId="FootnoteText">
    <w:name w:val="footnote text"/>
    <w:aliases w:val="Char Char,Char Char Char Char Char,Char Char Char Char Char Char Char Char,Char Char Char Char Char Char Char Char Char Char Char Char Char Char,Char Char Char Char Char Char Char Char Char Char Char Char, Char Char Char,single space Char"/>
    <w:basedOn w:val="Normal"/>
    <w:link w:val="FootnoteTextChar"/>
    <w:uiPriority w:val="99"/>
    <w:unhideWhenUsed/>
    <w:qFormat/>
    <w:rsid w:val="00363333"/>
    <w:rPr>
      <w:sz w:val="20"/>
    </w:rPr>
  </w:style>
  <w:style w:type="character" w:customStyle="1" w:styleId="FootnoteTextChar">
    <w:name w:val="Footnote Text Char"/>
    <w:aliases w:val="Char Char Char,Char Char Char Char Char Char,Char Char Char Char Char Char Char Char Char,Char Char Char Char Char Char Char Char Char Char Char Char Char Char Char,Char Char Char Char Char Char Char Char Char Char Char Char Char"/>
    <w:basedOn w:val="DefaultParagraphFont"/>
    <w:link w:val="FootnoteText"/>
    <w:uiPriority w:val="99"/>
    <w:rsid w:val="00363333"/>
    <w:rPr>
      <w:rFonts w:ascii="Lato Medium" w:hAnsi="Lato Medium" w:cs="Times New Roman"/>
      <w:sz w:val="20"/>
      <w:szCs w:val="20"/>
    </w:rPr>
  </w:style>
  <w:style w:type="character" w:styleId="FootnoteReference">
    <w:name w:val="footnote reference"/>
    <w:aliases w:val="ftref,16 Point,Superscript 6 Point,(NECG) Footnote Reference,Normal + Font:9 Point,Superscript 3 Point Times,ftref1,ftref2,ftref11,SUPERS,Appel note de bas de page,Car Car Char Car Char Car Car Char Car Char Char,BVI f,R,stylish"/>
    <w:basedOn w:val="DefaultParagraphFont"/>
    <w:uiPriority w:val="99"/>
    <w:unhideWhenUsed/>
    <w:rsid w:val="00363333"/>
    <w:rPr>
      <w:vertAlign w:val="superscript"/>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unhideWhenUsed/>
    <w:qFormat/>
    <w:rsid w:val="00673EB6"/>
    <w:pPr>
      <w:jc w:val="center"/>
    </w:pPr>
    <w:rPr>
      <w:b/>
      <w:bCs/>
      <w:color w:val="E46C0A"/>
      <w:sz w:val="20"/>
      <w:szCs w:val="18"/>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rsid w:val="00673EB6"/>
    <w:rPr>
      <w:rFonts w:ascii="Segoe UI" w:hAnsi="Segoe UI" w:cs="Times New Roman"/>
      <w:b/>
      <w:bCs/>
      <w:color w:val="E46C0A"/>
      <w:sz w:val="20"/>
      <w:szCs w:val="18"/>
    </w:rPr>
  </w:style>
  <w:style w:type="paragraph" w:customStyle="1" w:styleId="Default">
    <w:name w:val="Default"/>
    <w:rsid w:val="008777FA"/>
    <w:pPr>
      <w:autoSpaceDE w:val="0"/>
      <w:autoSpaceDN w:val="0"/>
      <w:adjustRightInd w:val="0"/>
      <w:spacing w:after="0" w:line="240" w:lineRule="auto"/>
    </w:pPr>
    <w:rPr>
      <w:rFonts w:ascii="Arial" w:hAnsi="Arial" w:cs="Arial"/>
      <w:color w:val="000000"/>
      <w:sz w:val="24"/>
      <w:szCs w:val="24"/>
    </w:rPr>
  </w:style>
  <w:style w:type="table" w:styleId="MediumShading1-Accent1">
    <w:name w:val="Medium Shading 1 Accent 1"/>
    <w:basedOn w:val="TableNormal"/>
    <w:uiPriority w:val="63"/>
    <w:rsid w:val="008777F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1C06E9"/>
    <w:pPr>
      <w:spacing w:before="120" w:after="120" w:line="240" w:lineRule="auto"/>
    </w:pPr>
    <w:tblPr>
      <w:tblStyleRowBandSize w:val="1"/>
      <w:tblStyleColBandSize w:val="1"/>
    </w:tblPr>
    <w:tcPr>
      <w:shd w:val="clear" w:color="auto" w:fill="A7E6FF"/>
    </w:tcPr>
    <w:tblStylePr w:type="firstRow">
      <w:rPr>
        <w:b/>
        <w:bCs/>
        <w:i w:val="0"/>
        <w:iCs w:val="0"/>
        <w:color w:val="FFFFFF" w:themeColor="background1"/>
      </w:rPr>
      <w:tblPr/>
      <w:tcPr>
        <w:shd w:val="clear" w:color="auto" w:fill="009CDA"/>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insideH w:val="single" w:sz="4" w:space="0" w:color="FFFFFF" w:themeColor="background1"/>
          <w:insideV w:val="single" w:sz="4" w:space="0" w:color="FFFFFF" w:themeColor="background1"/>
        </w:tcBorders>
        <w:shd w:val="clear" w:color="auto" w:fill="009CDA"/>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shd w:val="clear" w:color="auto" w:fill="D5F3FF"/>
      </w:tcPr>
    </w:tblStylePr>
  </w:style>
  <w:style w:type="paragraph" w:styleId="NoSpacing">
    <w:name w:val="No Spacing"/>
    <w:uiPriority w:val="1"/>
    <w:qFormat/>
    <w:rsid w:val="00176815"/>
    <w:pPr>
      <w:spacing w:after="0" w:line="240" w:lineRule="auto"/>
    </w:pPr>
    <w:rPr>
      <w:rFonts w:ascii="Lato Medium" w:hAnsi="Lato Medium" w:cs="Times New Roman"/>
      <w:szCs w:val="20"/>
    </w:rPr>
  </w:style>
  <w:style w:type="character" w:styleId="Hyperlink">
    <w:name w:val="Hyperlink"/>
    <w:basedOn w:val="DefaultParagraphFont"/>
    <w:uiPriority w:val="99"/>
    <w:unhideWhenUsed/>
    <w:rsid w:val="000B207C"/>
    <w:rPr>
      <w:color w:val="0000FF" w:themeColor="hyperlink"/>
      <w:u w:val="single"/>
    </w:rPr>
  </w:style>
  <w:style w:type="character" w:styleId="CommentReference">
    <w:name w:val="annotation reference"/>
    <w:basedOn w:val="DefaultParagraphFont"/>
    <w:uiPriority w:val="99"/>
    <w:semiHidden/>
    <w:unhideWhenUsed/>
    <w:rsid w:val="003B7394"/>
    <w:rPr>
      <w:sz w:val="16"/>
      <w:szCs w:val="16"/>
    </w:rPr>
  </w:style>
  <w:style w:type="paragraph" w:styleId="CommentText">
    <w:name w:val="annotation text"/>
    <w:basedOn w:val="Normal"/>
    <w:link w:val="CommentTextChar"/>
    <w:uiPriority w:val="99"/>
    <w:unhideWhenUsed/>
    <w:rsid w:val="003B7394"/>
    <w:rPr>
      <w:sz w:val="20"/>
    </w:rPr>
  </w:style>
  <w:style w:type="character" w:customStyle="1" w:styleId="CommentTextChar">
    <w:name w:val="Comment Text Char"/>
    <w:basedOn w:val="DefaultParagraphFont"/>
    <w:link w:val="CommentText"/>
    <w:uiPriority w:val="99"/>
    <w:rsid w:val="003B7394"/>
    <w:rPr>
      <w:rFonts w:ascii="Lato Medium" w:hAnsi="Lato Medium" w:cs="Times New Roman"/>
      <w:sz w:val="20"/>
      <w:szCs w:val="20"/>
    </w:rPr>
  </w:style>
  <w:style w:type="paragraph" w:styleId="CommentSubject">
    <w:name w:val="annotation subject"/>
    <w:basedOn w:val="CommentText"/>
    <w:next w:val="CommentText"/>
    <w:link w:val="CommentSubjectChar"/>
    <w:uiPriority w:val="99"/>
    <w:semiHidden/>
    <w:unhideWhenUsed/>
    <w:rsid w:val="003B7394"/>
    <w:rPr>
      <w:b/>
      <w:bCs/>
    </w:rPr>
  </w:style>
  <w:style w:type="character" w:customStyle="1" w:styleId="CommentSubjectChar">
    <w:name w:val="Comment Subject Char"/>
    <w:basedOn w:val="CommentTextChar"/>
    <w:link w:val="CommentSubject"/>
    <w:uiPriority w:val="99"/>
    <w:semiHidden/>
    <w:rsid w:val="003B7394"/>
    <w:rPr>
      <w:rFonts w:ascii="Lato Medium" w:hAnsi="Lato Medium" w:cs="Times New Roman"/>
      <w:b/>
      <w:bCs/>
      <w:sz w:val="20"/>
      <w:szCs w:val="20"/>
    </w:rPr>
  </w:style>
  <w:style w:type="paragraph" w:styleId="Header">
    <w:name w:val="header"/>
    <w:basedOn w:val="Normal"/>
    <w:link w:val="HeaderChar"/>
    <w:uiPriority w:val="99"/>
    <w:unhideWhenUsed/>
    <w:rsid w:val="00D47383"/>
    <w:pPr>
      <w:tabs>
        <w:tab w:val="center" w:pos="4513"/>
        <w:tab w:val="right" w:pos="9026"/>
      </w:tabs>
    </w:pPr>
  </w:style>
  <w:style w:type="character" w:customStyle="1" w:styleId="HeaderChar">
    <w:name w:val="Header Char"/>
    <w:basedOn w:val="DefaultParagraphFont"/>
    <w:link w:val="Header"/>
    <w:uiPriority w:val="99"/>
    <w:rsid w:val="00D47383"/>
    <w:rPr>
      <w:rFonts w:ascii="Lato Medium" w:hAnsi="Lato Medium" w:cs="Times New Roman"/>
      <w:szCs w:val="20"/>
    </w:rPr>
  </w:style>
  <w:style w:type="paragraph" w:styleId="Footer">
    <w:name w:val="footer"/>
    <w:basedOn w:val="Normal"/>
    <w:link w:val="FooterChar"/>
    <w:uiPriority w:val="99"/>
    <w:unhideWhenUsed/>
    <w:rsid w:val="00D47383"/>
    <w:pPr>
      <w:tabs>
        <w:tab w:val="center" w:pos="4513"/>
        <w:tab w:val="right" w:pos="9026"/>
      </w:tabs>
    </w:pPr>
  </w:style>
  <w:style w:type="character" w:customStyle="1" w:styleId="FooterChar">
    <w:name w:val="Footer Char"/>
    <w:basedOn w:val="DefaultParagraphFont"/>
    <w:link w:val="Footer"/>
    <w:uiPriority w:val="99"/>
    <w:rsid w:val="00D47383"/>
    <w:rPr>
      <w:rFonts w:ascii="Lato Medium" w:hAnsi="Lato Medium" w:cs="Times New Roman"/>
      <w:szCs w:val="20"/>
    </w:rPr>
  </w:style>
  <w:style w:type="character" w:styleId="FollowedHyperlink">
    <w:name w:val="FollowedHyperlink"/>
    <w:basedOn w:val="DefaultParagraphFont"/>
    <w:uiPriority w:val="99"/>
    <w:semiHidden/>
    <w:unhideWhenUsed/>
    <w:rsid w:val="008969B0"/>
    <w:rPr>
      <w:color w:val="800080" w:themeColor="followedHyperlink"/>
      <w:u w:val="single"/>
    </w:rPr>
  </w:style>
  <w:style w:type="paragraph" w:styleId="TOCHeading">
    <w:name w:val="TOC Heading"/>
    <w:basedOn w:val="Heading1"/>
    <w:next w:val="Normal"/>
    <w:uiPriority w:val="39"/>
    <w:unhideWhenUsed/>
    <w:qFormat/>
    <w:rsid w:val="00AA13F4"/>
    <w:pPr>
      <w:spacing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EF2455"/>
    <w:pPr>
      <w:tabs>
        <w:tab w:val="left" w:pos="284"/>
        <w:tab w:val="right" w:leader="dot" w:pos="9498"/>
      </w:tabs>
      <w:spacing w:after="120"/>
    </w:pPr>
    <w:rPr>
      <w:b/>
      <w:sz w:val="24"/>
    </w:rPr>
  </w:style>
  <w:style w:type="paragraph" w:styleId="TOC2">
    <w:name w:val="toc 2"/>
    <w:basedOn w:val="Normal"/>
    <w:next w:val="Normal"/>
    <w:autoRedefine/>
    <w:uiPriority w:val="39"/>
    <w:unhideWhenUsed/>
    <w:rsid w:val="00EF2455"/>
    <w:pPr>
      <w:tabs>
        <w:tab w:val="left" w:pos="1440"/>
        <w:tab w:val="right" w:leader="dot" w:pos="9498"/>
      </w:tabs>
      <w:spacing w:after="100"/>
      <w:ind w:left="720"/>
    </w:pPr>
  </w:style>
  <w:style w:type="paragraph" w:styleId="TOC3">
    <w:name w:val="toc 3"/>
    <w:basedOn w:val="Normal"/>
    <w:next w:val="Normal"/>
    <w:autoRedefine/>
    <w:uiPriority w:val="39"/>
    <w:unhideWhenUsed/>
    <w:rsid w:val="00683009"/>
    <w:pPr>
      <w:spacing w:after="100"/>
      <w:ind w:left="1440"/>
    </w:pPr>
    <w:rPr>
      <w:i/>
    </w:rPr>
  </w:style>
  <w:style w:type="paragraph" w:styleId="NormalWeb">
    <w:name w:val="Normal (Web)"/>
    <w:basedOn w:val="Normal"/>
    <w:uiPriority w:val="99"/>
    <w:semiHidden/>
    <w:unhideWhenUsed/>
    <w:rsid w:val="00EF09F8"/>
    <w:pPr>
      <w:spacing w:before="100" w:beforeAutospacing="1" w:after="100" w:afterAutospacing="1"/>
    </w:pPr>
    <w:rPr>
      <w:rFonts w:ascii="Times New Roman" w:hAnsi="Times New Roman"/>
      <w:sz w:val="24"/>
      <w:szCs w:val="24"/>
      <w:lang w:eastAsia="en-AU"/>
    </w:rPr>
  </w:style>
  <w:style w:type="character" w:styleId="Strong">
    <w:name w:val="Strong"/>
    <w:basedOn w:val="DefaultParagraphFont"/>
    <w:qFormat/>
    <w:rsid w:val="00EF09F8"/>
    <w:rPr>
      <w:b/>
      <w:bCs/>
    </w:rPr>
  </w:style>
  <w:style w:type="paragraph" w:styleId="Revision">
    <w:name w:val="Revision"/>
    <w:hidden/>
    <w:uiPriority w:val="99"/>
    <w:semiHidden/>
    <w:rsid w:val="00B71941"/>
    <w:pPr>
      <w:spacing w:after="0" w:line="240" w:lineRule="auto"/>
    </w:pPr>
    <w:rPr>
      <w:rFonts w:ascii="Lato Medium" w:hAnsi="Lato Medium" w:cs="Times New Roman"/>
      <w:szCs w:val="20"/>
    </w:rPr>
  </w:style>
  <w:style w:type="table" w:styleId="MediumList2-Accent5">
    <w:name w:val="Medium List 2 Accent 5"/>
    <w:basedOn w:val="TableNormal"/>
    <w:uiPriority w:val="66"/>
    <w:rsid w:val="006976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4" w:space="0" w:color="009CDA"/>
        <w:left w:val="single" w:sz="4" w:space="0" w:color="009CDA"/>
        <w:bottom w:val="single" w:sz="4" w:space="0" w:color="009CDA"/>
        <w:right w:val="single" w:sz="4" w:space="0" w:color="009CDA"/>
        <w:insideH w:val="single" w:sz="4" w:space="0" w:color="009CDA"/>
        <w:insideV w:val="single" w:sz="4" w:space="0" w:color="009CDA"/>
      </w:tblBorders>
    </w:tblPr>
    <w:tblStylePr w:type="firstRow">
      <w:rPr>
        <w:b/>
        <w:sz w:val="24"/>
        <w:szCs w:val="24"/>
      </w:rPr>
      <w:tblPr/>
      <w:tcPr>
        <w:tcBorders>
          <w:top w:val="nil"/>
          <w:left w:val="nil"/>
          <w:bottom w:val="single" w:sz="18" w:space="0" w:color="009CDA"/>
          <w:right w:val="nil"/>
          <w:insideH w:val="single" w:sz="4" w:space="0" w:color="009CDA"/>
          <w:insideV w:val="single" w:sz="4" w:space="0" w:color="009CDA"/>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single" w:sz="4" w:space="0" w:color="009CDA"/>
          <w:right w:val="nil"/>
          <w:insideH w:val="single" w:sz="4" w:space="0" w:color="009CDA"/>
          <w:insideV w:val="single" w:sz="4" w:space="0" w:color="009CDA"/>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shd w:val="clear" w:color="auto" w:fill="C5EEF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8D5B4D"/>
    <w:pPr>
      <w:spacing w:before="120" w:after="120" w:line="240" w:lineRule="auto"/>
    </w:pPr>
    <w:rPr>
      <w:rFonts w:ascii="Segoe UI" w:eastAsiaTheme="majorEastAsia" w:hAnsi="Segoe UI" w:cstheme="majorBidi"/>
      <w:color w:val="000000" w:themeColor="text1"/>
    </w:rPr>
    <w:tblPr>
      <w:tblStyleRowBandSize w:val="1"/>
      <w:tblStyleColBandSize w:val="1"/>
      <w:tblBorders>
        <w:top w:val="single" w:sz="4" w:space="0" w:color="009CDA"/>
        <w:left w:val="single" w:sz="4" w:space="0" w:color="009CDA"/>
        <w:bottom w:val="single" w:sz="4" w:space="0" w:color="009CDA"/>
        <w:right w:val="single" w:sz="4" w:space="0" w:color="009CDA"/>
        <w:insideH w:val="single" w:sz="4" w:space="0" w:color="009CDA"/>
        <w:insideV w:val="single" w:sz="4" w:space="0" w:color="009CDA"/>
      </w:tblBorders>
    </w:tblPr>
    <w:tcPr>
      <w:shd w:val="clear" w:color="auto" w:fill="auto"/>
    </w:tcPr>
    <w:tblStylePr w:type="firstRow">
      <w:pPr>
        <w:wordWrap/>
        <w:jc w:val="center"/>
      </w:pPr>
      <w:rPr>
        <w:rFonts w:ascii="Segoe UI" w:hAnsi="Segoe UI"/>
        <w:b/>
        <w:bCs/>
        <w:color w:val="FFFFFF" w:themeColor="background1"/>
      </w:rPr>
      <w:tblPr/>
      <w:tcPr>
        <w:shd w:val="clear" w:color="auto" w:fill="009CDA"/>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pPr>
        <w:jc w:val="right"/>
      </w:pPr>
      <w:rPr>
        <w:b/>
        <w:bCs/>
        <w:color w:val="FFFFFF" w:themeColor="background1"/>
      </w:rPr>
      <w:tblPr/>
      <w:tcPr>
        <w:tcBorders>
          <w:insideH w:val="single" w:sz="4" w:space="0" w:color="FFFFFF" w:themeColor="background1"/>
        </w:tcBorders>
        <w:shd w:val="clear" w:color="auto" w:fill="009CDA"/>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pPr>
        <w:wordWrap/>
        <w:jc w:val="center"/>
      </w:pPr>
      <w:tblPr/>
      <w:tcPr>
        <w:shd w:val="clear" w:color="auto" w:fill="A5D5E2" w:themeFill="accent5" w:themeFillTint="7F"/>
        <w:vAlign w:val="center"/>
      </w:tcPr>
    </w:tblStylePr>
    <w:tblStylePr w:type="band2Vert">
      <w:pPr>
        <w:jc w:val="center"/>
      </w:pPr>
      <w:tblPr/>
      <w:tcPr>
        <w:vAlign w:val="center"/>
      </w:tcPr>
    </w:tblStylePr>
    <w:tblStylePr w:type="band1Horz">
      <w:rPr>
        <w:rFonts w:ascii="Segoe UI" w:hAnsi="Segoe UI"/>
      </w:rPr>
    </w:tblStylePr>
    <w:tblStylePr w:type="band2Horz">
      <w:tblPr/>
      <w:tcPr>
        <w:shd w:val="clear" w:color="auto" w:fill="B9EBFF"/>
      </w:tcPr>
    </w:tblStylePr>
    <w:tblStylePr w:type="nwCell">
      <w:tblPr/>
      <w:tcPr>
        <w:shd w:val="clear" w:color="auto" w:fill="FFFFFF" w:themeFill="background1"/>
      </w:tcPr>
    </w:tblStylePr>
  </w:style>
  <w:style w:type="table" w:customStyle="1" w:styleId="DPSTableGrid1">
    <w:name w:val="DPS Table Grid1"/>
    <w:basedOn w:val="TableNormal"/>
    <w:next w:val="TableGrid"/>
    <w:uiPriority w:val="59"/>
    <w:rsid w:val="00891CE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B75E03"/>
    <w:pPr>
      <w:spacing w:after="0" w:line="240" w:lineRule="auto"/>
    </w:pPr>
    <w:rPr>
      <w:rFonts w:eastAsiaTheme="minorHAnsi"/>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B75E03"/>
    <w:pPr>
      <w:spacing w:after="0" w:line="240" w:lineRule="auto"/>
    </w:pPr>
    <w:rPr>
      <w:rFonts w:eastAsiaTheme="minorHAnsi"/>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Copy">
    <w:name w:val="Body Copy"/>
    <w:link w:val="BodyCopyChar"/>
    <w:uiPriority w:val="1"/>
    <w:qFormat/>
    <w:rsid w:val="00B46BF4"/>
    <w:pPr>
      <w:spacing w:before="85" w:after="85" w:line="264" w:lineRule="atLeast"/>
    </w:pPr>
    <w:rPr>
      <w:rFonts w:ascii="Garamond" w:eastAsia="Garamond" w:hAnsi="Garamond" w:cs="Times New Roman"/>
      <w:color w:val="000000"/>
      <w:spacing w:val="-2"/>
      <w:szCs w:val="20"/>
    </w:rPr>
  </w:style>
  <w:style w:type="character" w:customStyle="1" w:styleId="BodyCopyChar">
    <w:name w:val="Body Copy Char"/>
    <w:link w:val="BodyCopy"/>
    <w:uiPriority w:val="1"/>
    <w:rsid w:val="00B46BF4"/>
    <w:rPr>
      <w:rFonts w:ascii="Garamond" w:eastAsia="Garamond" w:hAnsi="Garamond" w:cs="Times New Roman"/>
      <w:color w:val="000000"/>
      <w:spacing w:val="-2"/>
      <w:szCs w:val="20"/>
    </w:rPr>
  </w:style>
  <w:style w:type="table" w:styleId="LightList-Accent5">
    <w:name w:val="Light List Accent 5"/>
    <w:basedOn w:val="TableNormal"/>
    <w:uiPriority w:val="61"/>
    <w:rsid w:val="0050706F"/>
    <w:pPr>
      <w:spacing w:after="0" w:line="240" w:lineRule="auto"/>
    </w:pPr>
    <w:rPr>
      <w:rFonts w:eastAsiaTheme="minorHAnsi"/>
    </w:rPr>
    <w:tblPr>
      <w:tblStyleRowBandSize w:val="1"/>
      <w:tblStyleColBandSize w:val="1"/>
    </w:tblPr>
    <w:tcPr>
      <w:shd w:val="clear" w:color="auto" w:fill="auto"/>
    </w:tcPr>
    <w:tblStylePr w:type="firstRow">
      <w:pPr>
        <w:spacing w:before="0" w:after="0" w:line="240" w:lineRule="auto"/>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CDA"/>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Pr/>
      <w:tcPr>
        <w:tcBorders>
          <w:top w:val="single" w:sz="4" w:space="0" w:color="009CDA"/>
          <w:left w:val="single" w:sz="4" w:space="0" w:color="009CDA"/>
          <w:bottom w:val="single" w:sz="4" w:space="0" w:color="009CDA"/>
          <w:right w:val="single" w:sz="4" w:space="0" w:color="009CDA"/>
          <w:insideH w:val="single" w:sz="4" w:space="0" w:color="009CDA"/>
          <w:insideV w:val="single" w:sz="4" w:space="0" w:color="009CDA"/>
        </w:tcBorders>
        <w:shd w:val="clear" w:color="auto" w:fill="auto"/>
      </w:tcPr>
    </w:tblStylePr>
    <w:tblStylePr w:type="lastCol">
      <w:rPr>
        <w:b/>
        <w:bCs/>
      </w:rPr>
    </w:tblStylePr>
    <w:tblStylePr w:type="band1Vert">
      <w:tblPr/>
      <w:tcPr>
        <w:tcBorders>
          <w:top w:val="single" w:sz="4" w:space="0" w:color="009CDA"/>
          <w:left w:val="single" w:sz="4" w:space="0" w:color="009CDA"/>
          <w:bottom w:val="single" w:sz="4" w:space="0" w:color="009CDA"/>
          <w:right w:val="single" w:sz="4" w:space="0" w:color="009CDA"/>
          <w:insideH w:val="single" w:sz="4" w:space="0" w:color="009CDA"/>
          <w:insideV w:val="single" w:sz="4" w:space="0" w:color="009CDA"/>
        </w:tcBorders>
        <w:shd w:val="clear" w:color="auto" w:fill="auto"/>
      </w:tcPr>
    </w:tblStylePr>
    <w:tblStylePr w:type="band2Vert">
      <w:tblPr/>
      <w:tcPr>
        <w:tcBorders>
          <w:top w:val="single" w:sz="4" w:space="0" w:color="009CDA"/>
          <w:left w:val="single" w:sz="4" w:space="0" w:color="009CDA"/>
          <w:bottom w:val="single" w:sz="4" w:space="0" w:color="009CDA"/>
          <w:right w:val="single" w:sz="4" w:space="0" w:color="009CDA"/>
          <w:insideH w:val="single" w:sz="4" w:space="0" w:color="009CDA"/>
          <w:insideV w:val="single" w:sz="4" w:space="0" w:color="009CDA"/>
        </w:tcBorders>
        <w:shd w:val="clear" w:color="auto" w:fill="auto"/>
      </w:tcPr>
    </w:tblStylePr>
    <w:tblStylePr w:type="band1Horz">
      <w:tblPr/>
      <w:tcPr>
        <w:tcBorders>
          <w:top w:val="single" w:sz="4" w:space="0" w:color="009CDA"/>
          <w:left w:val="single" w:sz="4" w:space="0" w:color="009CDA"/>
          <w:bottom w:val="single" w:sz="4" w:space="0" w:color="009CDA"/>
          <w:right w:val="single" w:sz="4" w:space="0" w:color="009CDA"/>
          <w:insideH w:val="single" w:sz="4" w:space="0" w:color="009CDA"/>
          <w:insideV w:val="single" w:sz="4" w:space="0" w:color="009CDA"/>
        </w:tcBorders>
        <w:shd w:val="clear" w:color="auto" w:fill="auto"/>
      </w:tcPr>
    </w:tblStylePr>
    <w:tblStylePr w:type="band2Horz">
      <w:tblPr/>
      <w:tcPr>
        <w:tcBorders>
          <w:top w:val="single" w:sz="4" w:space="0" w:color="009CDA"/>
          <w:left w:val="single" w:sz="4" w:space="0" w:color="009CDA"/>
          <w:bottom w:val="single" w:sz="4" w:space="0" w:color="009CDA"/>
          <w:right w:val="single" w:sz="4" w:space="0" w:color="009CDA"/>
          <w:insideH w:val="single" w:sz="4" w:space="0" w:color="009CDA"/>
          <w:insideV w:val="single" w:sz="4" w:space="0" w:color="009CDA"/>
        </w:tcBorders>
        <w:shd w:val="clear" w:color="auto" w:fill="auto"/>
      </w:tcPr>
    </w:tblStylePr>
  </w:style>
  <w:style w:type="table" w:styleId="ColorfulGrid-Accent5">
    <w:name w:val="Colorful Grid Accent 5"/>
    <w:basedOn w:val="TableNormal"/>
    <w:uiPriority w:val="73"/>
    <w:rsid w:val="000D1243"/>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9F0FF"/>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b/>
        <w:color w:val="FFFFFF" w:themeColor="background1"/>
      </w:rPr>
      <w:tblPr/>
      <w:tcPr>
        <w:shd w:val="clear" w:color="auto" w:fill="009CDA"/>
      </w:tcPr>
    </w:tblStylePr>
    <w:tblStylePr w:type="lastCol">
      <w:rPr>
        <w:color w:val="FFFFFF" w:themeColor="background1"/>
      </w:rPr>
      <w:tblPr/>
      <w:tcPr>
        <w:shd w:val="clear" w:color="auto" w:fill="31849B" w:themeFill="accent5" w:themeFillShade="BF"/>
      </w:tcPr>
    </w:tblStylePr>
    <w:tblStylePr w:type="band1Vert">
      <w:tblPr/>
      <w:tcPr>
        <w:shd w:val="clear" w:color="auto" w:fill="C9F0FF"/>
      </w:tcPr>
    </w:tblStylePr>
    <w:tblStylePr w:type="band2Vert">
      <w:tblPr/>
      <w:tcPr>
        <w:shd w:val="clear" w:color="auto" w:fill="C9F0FF"/>
      </w:tcPr>
    </w:tblStylePr>
    <w:tblStylePr w:type="band1Horz">
      <w:tblPr/>
      <w:tcPr>
        <w:shd w:val="clear" w:color="auto" w:fill="A5D5E2" w:themeFill="accent5" w:themeFillTint="7F"/>
      </w:tcPr>
    </w:tblStylePr>
  </w:style>
  <w:style w:type="numbering" w:customStyle="1" w:styleId="TableBullets">
    <w:name w:val="Table Bullets"/>
    <w:basedOn w:val="NoList"/>
    <w:uiPriority w:val="99"/>
    <w:rsid w:val="000D1243"/>
    <w:pPr>
      <w:numPr>
        <w:numId w:val="9"/>
      </w:numPr>
    </w:pPr>
  </w:style>
  <w:style w:type="paragraph" w:customStyle="1" w:styleId="TableBullets1">
    <w:name w:val="Table Bullets 1"/>
    <w:basedOn w:val="Normal"/>
    <w:uiPriority w:val="15"/>
    <w:qFormat/>
    <w:rsid w:val="000D1243"/>
    <w:pPr>
      <w:numPr>
        <w:numId w:val="9"/>
      </w:numPr>
      <w:spacing w:after="0" w:line="240" w:lineRule="atLeast"/>
      <w:ind w:right="57"/>
    </w:pPr>
    <w:rPr>
      <w:rFonts w:ascii="Garamond" w:eastAsiaTheme="minorHAnsi" w:hAnsi="Garamond"/>
      <w:color w:val="000000" w:themeColor="text1"/>
      <w:spacing w:val="-2"/>
      <w:sz w:val="20"/>
    </w:rPr>
  </w:style>
  <w:style w:type="paragraph" w:customStyle="1" w:styleId="TableBullets2">
    <w:name w:val="Table Bullets 2"/>
    <w:basedOn w:val="Normal"/>
    <w:uiPriority w:val="15"/>
    <w:qFormat/>
    <w:rsid w:val="000D1243"/>
    <w:pPr>
      <w:numPr>
        <w:ilvl w:val="1"/>
        <w:numId w:val="9"/>
      </w:numPr>
      <w:spacing w:after="0" w:line="240" w:lineRule="atLeast"/>
      <w:ind w:right="57"/>
    </w:pPr>
    <w:rPr>
      <w:rFonts w:ascii="Garamond" w:eastAsiaTheme="minorHAnsi" w:hAnsi="Garamond"/>
      <w:color w:val="000000" w:themeColor="text1"/>
      <w:spacing w:val="-2"/>
      <w:sz w:val="20"/>
    </w:rPr>
  </w:style>
  <w:style w:type="paragraph" w:customStyle="1" w:styleId="TableBulletssmall1">
    <w:name w:val="Table Bullets (small) 1"/>
    <w:basedOn w:val="Normal"/>
    <w:uiPriority w:val="18"/>
    <w:qFormat/>
    <w:rsid w:val="000D1243"/>
    <w:pPr>
      <w:numPr>
        <w:ilvl w:val="4"/>
        <w:numId w:val="9"/>
      </w:numPr>
      <w:spacing w:after="0" w:line="166" w:lineRule="atLeast"/>
      <w:ind w:right="57"/>
    </w:pPr>
    <w:rPr>
      <w:rFonts w:ascii="Garamond" w:eastAsiaTheme="minorHAnsi" w:hAnsi="Garamond"/>
      <w:color w:val="000000" w:themeColor="text1"/>
      <w:spacing w:val="-2"/>
      <w:sz w:val="14"/>
    </w:rPr>
  </w:style>
  <w:style w:type="paragraph" w:customStyle="1" w:styleId="TableBulletssmall2">
    <w:name w:val="Table Bullets (small) 2"/>
    <w:basedOn w:val="Normal"/>
    <w:uiPriority w:val="18"/>
    <w:qFormat/>
    <w:rsid w:val="000D1243"/>
    <w:pPr>
      <w:numPr>
        <w:ilvl w:val="5"/>
        <w:numId w:val="9"/>
      </w:numPr>
      <w:spacing w:after="0" w:line="166" w:lineRule="atLeast"/>
      <w:ind w:right="57"/>
    </w:pPr>
    <w:rPr>
      <w:rFonts w:ascii="Garamond" w:eastAsiaTheme="minorHAnsi" w:hAnsi="Garamond"/>
      <w:color w:val="000000" w:themeColor="text1"/>
      <w:spacing w:val="-2"/>
      <w:sz w:val="14"/>
    </w:rPr>
  </w:style>
  <w:style w:type="character" w:customStyle="1" w:styleId="Heading5Char">
    <w:name w:val="Heading 5 Char"/>
    <w:basedOn w:val="DefaultParagraphFont"/>
    <w:link w:val="Heading5"/>
    <w:uiPriority w:val="9"/>
    <w:rsid w:val="00FD4A0E"/>
    <w:rPr>
      <w:rFonts w:ascii="Segoe UI" w:eastAsiaTheme="majorEastAsia" w:hAnsi="Segoe UI" w:cstheme="majorBidi"/>
      <w:i/>
      <w:sz w:val="24"/>
      <w:szCs w:val="20"/>
    </w:rPr>
  </w:style>
  <w:style w:type="character" w:customStyle="1" w:styleId="Heading6Char">
    <w:name w:val="Heading 6 Char"/>
    <w:basedOn w:val="DefaultParagraphFont"/>
    <w:link w:val="Heading6"/>
    <w:uiPriority w:val="9"/>
    <w:semiHidden/>
    <w:rsid w:val="009B0C5B"/>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9B0C5B"/>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9B0C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0C5B"/>
    <w:rPr>
      <w:rFonts w:asciiTheme="majorHAnsi" w:eastAsiaTheme="majorEastAsia" w:hAnsiTheme="majorHAnsi" w:cstheme="majorBidi"/>
      <w:i/>
      <w:iCs/>
      <w:color w:val="404040" w:themeColor="text1" w:themeTint="BF"/>
      <w:sz w:val="20"/>
      <w:szCs w:val="20"/>
    </w:rPr>
  </w:style>
  <w:style w:type="paragraph" w:customStyle="1" w:styleId="Bullets2">
    <w:name w:val="Bullets 2"/>
    <w:basedOn w:val="Bullets1"/>
    <w:qFormat/>
    <w:rsid w:val="00C72CD0"/>
    <w:pPr>
      <w:numPr>
        <w:ilvl w:val="1"/>
      </w:numPr>
      <w:tabs>
        <w:tab w:val="clear" w:pos="397"/>
        <w:tab w:val="num" w:pos="360"/>
      </w:tabs>
    </w:pPr>
  </w:style>
  <w:style w:type="numbering" w:customStyle="1" w:styleId="Bullets">
    <w:name w:val="Bullets"/>
    <w:basedOn w:val="NoList"/>
    <w:uiPriority w:val="99"/>
    <w:rsid w:val="00C72CD0"/>
    <w:pPr>
      <w:numPr>
        <w:numId w:val="19"/>
      </w:numPr>
    </w:pPr>
  </w:style>
  <w:style w:type="paragraph" w:customStyle="1" w:styleId="Bullets1">
    <w:name w:val="Bullets 1"/>
    <w:basedOn w:val="BodyCopy"/>
    <w:qFormat/>
    <w:rsid w:val="00C72CD0"/>
    <w:pPr>
      <w:numPr>
        <w:numId w:val="19"/>
      </w:numPr>
      <w:spacing w:before="20" w:after="20"/>
    </w:pPr>
    <w:rPr>
      <w:rFonts w:asciiTheme="minorHAnsi" w:eastAsiaTheme="minorHAnsi" w:hAnsiTheme="minorHAnsi"/>
      <w:color w:val="000000" w:themeColor="text1"/>
    </w:rPr>
  </w:style>
  <w:style w:type="paragraph" w:customStyle="1" w:styleId="Bullets3">
    <w:name w:val="Bullets 3"/>
    <w:basedOn w:val="Bullets1"/>
    <w:rsid w:val="00C72CD0"/>
    <w:pPr>
      <w:numPr>
        <w:ilvl w:val="2"/>
      </w:numPr>
      <w:tabs>
        <w:tab w:val="clear" w:pos="567"/>
        <w:tab w:val="num" w:pos="360"/>
      </w:tabs>
    </w:pPr>
  </w:style>
  <w:style w:type="paragraph" w:customStyle="1" w:styleId="Bullets4">
    <w:name w:val="Bullets 4"/>
    <w:basedOn w:val="Bullets1"/>
    <w:rsid w:val="00C72CD0"/>
    <w:pPr>
      <w:numPr>
        <w:ilvl w:val="3"/>
      </w:numPr>
      <w:tabs>
        <w:tab w:val="clear" w:pos="709"/>
        <w:tab w:val="num" w:pos="360"/>
      </w:tabs>
    </w:pPr>
  </w:style>
  <w:style w:type="paragraph" w:styleId="Title">
    <w:name w:val="Title"/>
    <w:basedOn w:val="Normal"/>
    <w:next w:val="Normal"/>
    <w:link w:val="TitleChar"/>
    <w:autoRedefine/>
    <w:uiPriority w:val="10"/>
    <w:qFormat/>
    <w:rsid w:val="00BB2B18"/>
    <w:pPr>
      <w:spacing w:before="120" w:after="300"/>
      <w:contextualSpacing/>
    </w:pPr>
    <w:rPr>
      <w:rFonts w:ascii="Lato Light" w:eastAsiaTheme="majorEastAsia" w:hAnsi="Lato Light" w:cstheme="majorBidi"/>
      <w:b/>
      <w:color w:val="009CDA"/>
      <w:spacing w:val="5"/>
      <w:kern w:val="28"/>
      <w:sz w:val="32"/>
      <w:szCs w:val="52"/>
    </w:rPr>
  </w:style>
  <w:style w:type="character" w:customStyle="1" w:styleId="TitleChar">
    <w:name w:val="Title Char"/>
    <w:basedOn w:val="DefaultParagraphFont"/>
    <w:link w:val="Title"/>
    <w:uiPriority w:val="10"/>
    <w:rsid w:val="00BB2B18"/>
    <w:rPr>
      <w:rFonts w:ascii="Lato Light" w:eastAsiaTheme="majorEastAsia" w:hAnsi="Lato Light" w:cstheme="majorBidi"/>
      <w:b/>
      <w:color w:val="009CDA"/>
      <w:spacing w:val="5"/>
      <w:kern w:val="28"/>
      <w:sz w:val="32"/>
      <w:szCs w:val="52"/>
    </w:rPr>
  </w:style>
  <w:style w:type="character" w:customStyle="1" w:styleId="contentChar">
    <w:name w:val="content Char"/>
    <w:link w:val="content"/>
    <w:locked/>
    <w:rsid w:val="001B658E"/>
    <w:rPr>
      <w:rFonts w:ascii="Arial" w:hAnsi="Arial" w:cs="Arial"/>
      <w:lang w:val="en-US"/>
    </w:rPr>
  </w:style>
  <w:style w:type="paragraph" w:customStyle="1" w:styleId="content">
    <w:name w:val="content"/>
    <w:basedOn w:val="Normal"/>
    <w:link w:val="contentChar"/>
    <w:qFormat/>
    <w:rsid w:val="001B658E"/>
    <w:pPr>
      <w:spacing w:after="120"/>
    </w:pPr>
    <w:rPr>
      <w:rFonts w:ascii="Arial" w:hAnsi="Arial" w:cs="Arial"/>
      <w:szCs w:val="22"/>
      <w:lang w:val="en-US"/>
    </w:rPr>
  </w:style>
  <w:style w:type="table" w:customStyle="1" w:styleId="HMATable">
    <w:name w:val="HMA Table"/>
    <w:basedOn w:val="TableNormal"/>
    <w:uiPriority w:val="99"/>
    <w:rsid w:val="00391503"/>
    <w:pPr>
      <w:spacing w:after="0" w:line="240" w:lineRule="auto"/>
    </w:pPr>
    <w:rPr>
      <w:rFonts w:ascii="Courier" w:eastAsiaTheme="minorHAnsi" w:hAnsi="Courier" w:cs="Times New Roman"/>
      <w:sz w:val="20"/>
      <w:szCs w:val="20"/>
    </w:rPr>
    <w:tblPr>
      <w:tblBorders>
        <w:top w:val="single" w:sz="4" w:space="0" w:color="C0504D" w:themeColor="accent2"/>
        <w:left w:val="single" w:sz="4" w:space="0" w:color="FFFFFF" w:themeColor="background1"/>
        <w:bottom w:val="single" w:sz="4" w:space="0" w:color="C0504D" w:themeColor="accent2"/>
        <w:right w:val="single" w:sz="4" w:space="0" w:color="FFFFFF" w:themeColor="background1"/>
        <w:insideH w:val="single" w:sz="4" w:space="0" w:color="C0504D" w:themeColor="accent2"/>
        <w:insideV w:val="single" w:sz="4" w:space="0" w:color="FFFFFF" w:themeColor="background1"/>
      </w:tblBorders>
      <w:tblCellMar>
        <w:left w:w="0" w:type="dxa"/>
        <w:right w:w="0" w:type="dxa"/>
      </w:tblCellMar>
    </w:tblPr>
    <w:tcPr>
      <w:shd w:val="clear" w:color="auto" w:fill="F79646" w:themeFill="accent6"/>
    </w:tcPr>
    <w:tblStylePr w:type="firstRow">
      <w:rPr>
        <w:rFonts w:asciiTheme="majorHAnsi" w:hAnsiTheme="majorHAnsi"/>
        <w:b w:val="0"/>
      </w:rPr>
      <w:tblPr/>
      <w:tcPr>
        <w:shd w:val="clear" w:color="auto" w:fill="4BACC6" w:themeFill="accent5"/>
      </w:tcPr>
    </w:tblStylePr>
    <w:tblStylePr w:type="lastRow">
      <w:rPr>
        <w:rFonts w:asciiTheme="minorHAnsi" w:hAnsiTheme="minorHAnsi"/>
        <w:b/>
      </w:rPr>
    </w:tblStylePr>
    <w:tblStylePr w:type="firstCol">
      <w:rPr>
        <w:rFonts w:asciiTheme="minorHAnsi" w:hAnsiTheme="minorHAnsi"/>
        <w:b/>
      </w:rPr>
    </w:tblStylePr>
    <w:tblStylePr w:type="neCell">
      <w:rPr>
        <w:b w:val="0"/>
      </w:rPr>
    </w:tblStylePr>
    <w:tblStylePr w:type="nwCell">
      <w:rPr>
        <w:b w:val="0"/>
      </w:rPr>
    </w:tblStylePr>
  </w:style>
  <w:style w:type="paragraph" w:customStyle="1" w:styleId="BodyTextSTD">
    <w:name w:val="Body Text STD"/>
    <w:basedOn w:val="Normal"/>
    <w:link w:val="BodyTextSTDChar"/>
    <w:qFormat/>
    <w:rsid w:val="00391503"/>
    <w:pPr>
      <w:spacing w:after="0" w:line="312" w:lineRule="auto"/>
    </w:pPr>
    <w:rPr>
      <w:rFonts w:ascii="Calibri" w:hAnsi="Calibri" w:cs="Tahoma"/>
      <w:szCs w:val="22"/>
      <w:lang w:eastAsia="en-AU"/>
    </w:rPr>
  </w:style>
  <w:style w:type="character" w:customStyle="1" w:styleId="BodyTextSTDChar">
    <w:name w:val="Body Text STD Char"/>
    <w:basedOn w:val="DefaultParagraphFont"/>
    <w:link w:val="BodyTextSTD"/>
    <w:rsid w:val="00391503"/>
    <w:rPr>
      <w:rFonts w:ascii="Calibri" w:hAnsi="Calibri" w:cs="Tahoma"/>
      <w:lang w:eastAsia="en-AU"/>
    </w:rPr>
  </w:style>
  <w:style w:type="table" w:styleId="MediumGrid3-Accent5">
    <w:name w:val="Medium Grid 3 Accent 5"/>
    <w:basedOn w:val="TableNormal"/>
    <w:uiPriority w:val="69"/>
    <w:rsid w:val="003915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EFF"/>
    </w:tcPr>
    <w:tblStylePr w:type="firstRow">
      <w:pPr>
        <w:jc w:val="left"/>
      </w:pPr>
      <w:rPr>
        <w:b/>
        <w:bCs/>
        <w:i w:val="0"/>
        <w:iCs w:val="0"/>
        <w:color w:val="FFFFFF" w:themeColor="background1"/>
      </w:rPr>
      <w:tblPr/>
      <w:tcPr>
        <w:shd w:val="clear" w:color="auto" w:fill="009CDA"/>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pPr>
        <w:jc w:val="left"/>
      </w:pPr>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vAlign w:val="center"/>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Bullet">
    <w:name w:val="List Bullet"/>
    <w:basedOn w:val="Normal"/>
    <w:uiPriority w:val="99"/>
    <w:unhideWhenUsed/>
    <w:qFormat/>
    <w:rsid w:val="00B35DC4"/>
    <w:pPr>
      <w:numPr>
        <w:numId w:val="32"/>
      </w:numPr>
      <w:spacing w:after="120"/>
      <w:contextualSpacing/>
    </w:pPr>
    <w:rPr>
      <w:rFonts w:asciiTheme="minorHAnsi" w:eastAsiaTheme="minorHAnsi" w:hAnsiTheme="minorHAnsi" w:cstheme="minorBidi"/>
      <w:spacing w:val="-2"/>
      <w:szCs w:val="22"/>
    </w:rPr>
  </w:style>
  <w:style w:type="paragraph" w:styleId="ListBullet2">
    <w:name w:val="List Bullet 2"/>
    <w:basedOn w:val="Normal"/>
    <w:uiPriority w:val="99"/>
    <w:unhideWhenUsed/>
    <w:qFormat/>
    <w:rsid w:val="00B35DC4"/>
    <w:pPr>
      <w:numPr>
        <w:ilvl w:val="1"/>
        <w:numId w:val="32"/>
      </w:numPr>
      <w:spacing w:after="120"/>
      <w:contextualSpacing/>
    </w:pPr>
    <w:rPr>
      <w:rFonts w:asciiTheme="minorHAnsi" w:eastAsiaTheme="minorHAnsi" w:hAnsiTheme="minorHAnsi" w:cstheme="minorBidi"/>
      <w:spacing w:val="-2"/>
      <w:szCs w:val="22"/>
    </w:rPr>
  </w:style>
  <w:style w:type="paragraph" w:styleId="ListBullet3">
    <w:name w:val="List Bullet 3"/>
    <w:basedOn w:val="Normal"/>
    <w:uiPriority w:val="99"/>
    <w:unhideWhenUsed/>
    <w:rsid w:val="00B35DC4"/>
    <w:pPr>
      <w:numPr>
        <w:ilvl w:val="2"/>
        <w:numId w:val="32"/>
      </w:numPr>
      <w:spacing w:after="120"/>
      <w:contextualSpacing/>
    </w:pPr>
    <w:rPr>
      <w:rFonts w:asciiTheme="minorHAnsi" w:eastAsiaTheme="minorHAnsi" w:hAnsiTheme="minorHAnsi" w:cstheme="minorBidi"/>
      <w:spacing w:val="-2"/>
      <w:szCs w:val="22"/>
    </w:rPr>
  </w:style>
  <w:style w:type="paragraph" w:customStyle="1" w:styleId="Caption-notbold">
    <w:name w:val="Caption - not bold"/>
    <w:basedOn w:val="Caption"/>
    <w:link w:val="Caption-notboldChar"/>
    <w:uiPriority w:val="29"/>
    <w:qFormat/>
    <w:rsid w:val="00B35DC4"/>
    <w:pPr>
      <w:keepNext/>
      <w:spacing w:before="240" w:after="80"/>
    </w:pPr>
    <w:rPr>
      <w:rFonts w:asciiTheme="majorHAnsi" w:eastAsiaTheme="minorHAnsi" w:hAnsiTheme="majorHAnsi" w:cstheme="minorBidi"/>
      <w:b w:val="0"/>
      <w:bCs w:val="0"/>
      <w:iCs/>
      <w:color w:val="auto"/>
      <w:spacing w:val="-2"/>
      <w:sz w:val="17"/>
    </w:rPr>
  </w:style>
  <w:style w:type="character" w:customStyle="1" w:styleId="Caption-notboldChar">
    <w:name w:val="Caption - not bold Char"/>
    <w:basedOn w:val="DefaultParagraphFont"/>
    <w:link w:val="Caption-notbold"/>
    <w:uiPriority w:val="29"/>
    <w:rsid w:val="00B35DC4"/>
    <w:rPr>
      <w:rFonts w:asciiTheme="majorHAnsi" w:eastAsiaTheme="minorHAnsi" w:hAnsiTheme="majorHAnsi"/>
      <w:iCs/>
      <w:spacing w:val="-2"/>
      <w:sz w:val="17"/>
      <w:szCs w:val="18"/>
    </w:rPr>
  </w:style>
  <w:style w:type="table" w:styleId="DarkList-Accent5">
    <w:name w:val="Dark List Accent 5"/>
    <w:basedOn w:val="TableNormal"/>
    <w:uiPriority w:val="70"/>
    <w:rsid w:val="00101520"/>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EndNoteBibliography">
    <w:name w:val="EndNote Bibliography"/>
    <w:basedOn w:val="Normal"/>
    <w:link w:val="EndNoteBibliographyChar"/>
    <w:rsid w:val="00A22240"/>
    <w:pPr>
      <w:spacing w:after="0"/>
    </w:pPr>
    <w:rPr>
      <w:rFonts w:ascii="Times New Roman" w:hAnsi="Times New Roman"/>
      <w:noProof/>
      <w:sz w:val="24"/>
      <w:lang w:eastAsia="en-AU"/>
    </w:rPr>
  </w:style>
  <w:style w:type="character" w:customStyle="1" w:styleId="EndNoteBibliographyChar">
    <w:name w:val="EndNote Bibliography Char"/>
    <w:basedOn w:val="DefaultParagraphFont"/>
    <w:link w:val="EndNoteBibliography"/>
    <w:rsid w:val="00A22240"/>
    <w:rPr>
      <w:rFonts w:ascii="Times New Roman" w:hAnsi="Times New Roman" w:cs="Times New Roman"/>
      <w:noProof/>
      <w:sz w:val="24"/>
      <w:szCs w:val="20"/>
      <w:lang w:eastAsia="en-AU"/>
    </w:rPr>
  </w:style>
  <w:style w:type="character" w:customStyle="1" w:styleId="value">
    <w:name w:val="value"/>
    <w:basedOn w:val="DefaultParagraphFont"/>
    <w:rsid w:val="006A4F83"/>
  </w:style>
  <w:style w:type="table" w:styleId="LightShading-Accent6">
    <w:name w:val="Light Shading Accent 6"/>
    <w:basedOn w:val="TableNormal"/>
    <w:uiPriority w:val="60"/>
    <w:rsid w:val="00FD4A0E"/>
    <w:pPr>
      <w:spacing w:before="120" w:after="0" w:line="240" w:lineRule="auto"/>
    </w:pPr>
    <w:rPr>
      <w:rFonts w:ascii="Segoe UI" w:hAnsi="Segoe UI"/>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2-Accent6">
    <w:name w:val="Medium Grid 2 Accent 6"/>
    <w:basedOn w:val="TableNormal"/>
    <w:uiPriority w:val="68"/>
    <w:rsid w:val="00673EB6"/>
    <w:pPr>
      <w:spacing w:before="120" w:after="120" w:line="240" w:lineRule="auto"/>
    </w:pPr>
    <w:rPr>
      <w:rFonts w:ascii="Segoe UI" w:eastAsiaTheme="majorEastAsia" w:hAnsi="Segoe U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auto"/>
    </w:tcPr>
    <w:tblStylePr w:type="firstRow">
      <w:rPr>
        <w:b/>
        <w:bCs/>
        <w:color w:val="FFFFFF" w:themeColor="background1"/>
      </w:rPr>
      <w:tblPr/>
      <w:tcPr>
        <w:shd w:val="clear" w:color="auto" w:fill="E46C0A"/>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FFFFFF" w:themeColor="background1"/>
      </w:rPr>
      <w:tblPr/>
      <w:tcPr>
        <w:shd w:val="clear" w:color="auto" w:fill="E46C0A"/>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Horz">
      <w:tblPr/>
      <w:tcPr>
        <w:shd w:val="clear" w:color="auto" w:fill="FFFFFF" w:themeFill="background1"/>
      </w:tcPr>
    </w:tblStylePr>
    <w:tblStylePr w:type="nwCell">
      <w:tblPr/>
      <w:tcPr>
        <w:shd w:val="clear" w:color="auto" w:fill="FFFFFF" w:themeFill="background1"/>
      </w:tcPr>
    </w:tblStylePr>
  </w:style>
  <w:style w:type="paragraph" w:styleId="PlainText">
    <w:name w:val="Plain Text"/>
    <w:basedOn w:val="Normal"/>
    <w:link w:val="PlainTextChar"/>
    <w:uiPriority w:val="99"/>
    <w:unhideWhenUsed/>
    <w:rsid w:val="00D23D79"/>
    <w:pPr>
      <w:spacing w:after="0"/>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D23D79"/>
    <w:rPr>
      <w:rFonts w:ascii="Calibri" w:eastAsiaTheme="minorHAnsi" w:hAnsi="Calibri"/>
      <w:szCs w:val="21"/>
    </w:rPr>
  </w:style>
  <w:style w:type="table" w:styleId="MediumGrid3-Accent6">
    <w:name w:val="Medium Grid 3 Accent 6"/>
    <w:basedOn w:val="TableNormal"/>
    <w:uiPriority w:val="69"/>
    <w:rsid w:val="005139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5139A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TOC4">
    <w:name w:val="toc 4"/>
    <w:basedOn w:val="Normal"/>
    <w:next w:val="Normal"/>
    <w:autoRedefine/>
    <w:uiPriority w:val="39"/>
    <w:unhideWhenUsed/>
    <w:rsid w:val="00EF2455"/>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EF2455"/>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EF2455"/>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EF2455"/>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EF2455"/>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EF2455"/>
    <w:pPr>
      <w:spacing w:after="100" w:line="259" w:lineRule="auto"/>
      <w:ind w:left="1760"/>
    </w:pPr>
    <w:rPr>
      <w:rFonts w:asciiTheme="minorHAnsi" w:eastAsiaTheme="minorEastAsia" w:hAnsiTheme="minorHAnsi" w:cstheme="minorBidi"/>
      <w:szCs w:val="22"/>
      <w:lang w:eastAsia="en-AU"/>
    </w:rPr>
  </w:style>
  <w:style w:type="character" w:customStyle="1" w:styleId="UnresolvedMention1">
    <w:name w:val="Unresolved Mention1"/>
    <w:basedOn w:val="DefaultParagraphFont"/>
    <w:uiPriority w:val="99"/>
    <w:semiHidden/>
    <w:unhideWhenUsed/>
    <w:rsid w:val="00EF2455"/>
    <w:rPr>
      <w:color w:val="605E5C"/>
      <w:shd w:val="clear" w:color="auto" w:fill="E1DFDD"/>
    </w:rPr>
  </w:style>
  <w:style w:type="character" w:customStyle="1" w:styleId="UnresolvedMention">
    <w:name w:val="Unresolved Mention"/>
    <w:basedOn w:val="DefaultParagraphFont"/>
    <w:uiPriority w:val="99"/>
    <w:semiHidden/>
    <w:unhideWhenUsed/>
    <w:rsid w:val="00F00647"/>
    <w:rPr>
      <w:color w:val="605E5C"/>
      <w:shd w:val="clear" w:color="auto" w:fill="E1DFDD"/>
    </w:rPr>
  </w:style>
  <w:style w:type="paragraph" w:customStyle="1" w:styleId="Heading20">
    <w:name w:val="Heading2"/>
    <w:basedOn w:val="Heading3"/>
    <w:link w:val="Heading2Char0"/>
    <w:qFormat/>
    <w:rsid w:val="00102874"/>
  </w:style>
  <w:style w:type="character" w:customStyle="1" w:styleId="Heading2Char0">
    <w:name w:val="Heading2 Char"/>
    <w:basedOn w:val="Heading3Char"/>
    <w:link w:val="Heading20"/>
    <w:rsid w:val="00102874"/>
    <w:rPr>
      <w:rFonts w:ascii="Segoe UI" w:eastAsiaTheme="majorEastAsia" w:hAnsi="Segoe UI" w:cstheme="majorBidi"/>
      <w:bCs/>
      <w:color w:val="E46C0A"/>
      <w:sz w:val="32"/>
      <w:szCs w:val="20"/>
    </w:rPr>
  </w:style>
  <w:style w:type="paragraph" w:customStyle="1" w:styleId="appendix7h2">
    <w:name w:val="appendix 7 h2"/>
    <w:basedOn w:val="Normal"/>
    <w:link w:val="appendix7h2Char"/>
    <w:qFormat/>
    <w:rsid w:val="002A580E"/>
    <w:pPr>
      <w:spacing w:before="200" w:after="120"/>
      <w:outlineLvl w:val="1"/>
    </w:pPr>
    <w:rPr>
      <w:b/>
      <w:color w:val="E46C0A"/>
      <w:sz w:val="36"/>
      <w:szCs w:val="32"/>
    </w:rPr>
  </w:style>
  <w:style w:type="paragraph" w:customStyle="1" w:styleId="appendix7h3">
    <w:name w:val="appendix 7 h3"/>
    <w:basedOn w:val="Normal"/>
    <w:link w:val="appendix7h3Char"/>
    <w:qFormat/>
    <w:rsid w:val="002A580E"/>
    <w:pPr>
      <w:spacing w:before="240" w:after="0"/>
      <w:outlineLvl w:val="2"/>
    </w:pPr>
    <w:rPr>
      <w:color w:val="E46C0A"/>
      <w:sz w:val="32"/>
      <w:szCs w:val="28"/>
    </w:rPr>
  </w:style>
  <w:style w:type="character" w:customStyle="1" w:styleId="appendix7h2Char">
    <w:name w:val="appendix 7 h2 Char"/>
    <w:basedOn w:val="DefaultParagraphFont"/>
    <w:link w:val="appendix7h2"/>
    <w:rsid w:val="002A580E"/>
    <w:rPr>
      <w:rFonts w:ascii="Segoe UI" w:hAnsi="Segoe UI" w:cs="Times New Roman"/>
      <w:b/>
      <w:color w:val="E46C0A"/>
      <w:sz w:val="36"/>
      <w:szCs w:val="32"/>
    </w:rPr>
  </w:style>
  <w:style w:type="paragraph" w:customStyle="1" w:styleId="appendix7h30">
    <w:name w:val="appendix7 h3"/>
    <w:basedOn w:val="appendix7h3"/>
    <w:link w:val="appendix7h3Char0"/>
    <w:qFormat/>
    <w:rsid w:val="002A580E"/>
  </w:style>
  <w:style w:type="character" w:customStyle="1" w:styleId="appendix7h3Char">
    <w:name w:val="appendix 7 h3 Char"/>
    <w:basedOn w:val="DefaultParagraphFont"/>
    <w:link w:val="appendix7h3"/>
    <w:rsid w:val="002A580E"/>
    <w:rPr>
      <w:rFonts w:ascii="Segoe UI" w:hAnsi="Segoe UI" w:cs="Times New Roman"/>
      <w:color w:val="E46C0A"/>
      <w:sz w:val="32"/>
      <w:szCs w:val="28"/>
    </w:rPr>
  </w:style>
  <w:style w:type="paragraph" w:customStyle="1" w:styleId="app7h3">
    <w:name w:val="app7h3"/>
    <w:basedOn w:val="appendix7h30"/>
    <w:link w:val="app7h3Char"/>
    <w:qFormat/>
    <w:rsid w:val="002A580E"/>
  </w:style>
  <w:style w:type="character" w:customStyle="1" w:styleId="appendix7h3Char0">
    <w:name w:val="appendix7 h3 Char"/>
    <w:basedOn w:val="appendix7h3Char"/>
    <w:link w:val="appendix7h30"/>
    <w:rsid w:val="002A580E"/>
    <w:rPr>
      <w:rFonts w:ascii="Segoe UI" w:hAnsi="Segoe UI" w:cs="Times New Roman"/>
      <w:color w:val="E46C0A"/>
      <w:sz w:val="32"/>
      <w:szCs w:val="28"/>
    </w:rPr>
  </w:style>
  <w:style w:type="character" w:customStyle="1" w:styleId="app7h3Char">
    <w:name w:val="app7h3 Char"/>
    <w:basedOn w:val="appendix7h3Char0"/>
    <w:link w:val="app7h3"/>
    <w:rsid w:val="002A580E"/>
    <w:rPr>
      <w:rFonts w:ascii="Segoe UI" w:hAnsi="Segoe UI" w:cs="Times New Roman"/>
      <w:color w:val="E46C0A"/>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5018">
      <w:bodyDiv w:val="1"/>
      <w:marLeft w:val="0"/>
      <w:marRight w:val="0"/>
      <w:marTop w:val="0"/>
      <w:marBottom w:val="0"/>
      <w:divBdr>
        <w:top w:val="none" w:sz="0" w:space="0" w:color="auto"/>
        <w:left w:val="none" w:sz="0" w:space="0" w:color="auto"/>
        <w:bottom w:val="none" w:sz="0" w:space="0" w:color="auto"/>
        <w:right w:val="none" w:sz="0" w:space="0" w:color="auto"/>
      </w:divBdr>
    </w:div>
    <w:div w:id="140998717">
      <w:bodyDiv w:val="1"/>
      <w:marLeft w:val="0"/>
      <w:marRight w:val="0"/>
      <w:marTop w:val="0"/>
      <w:marBottom w:val="0"/>
      <w:divBdr>
        <w:top w:val="none" w:sz="0" w:space="0" w:color="auto"/>
        <w:left w:val="none" w:sz="0" w:space="0" w:color="auto"/>
        <w:bottom w:val="none" w:sz="0" w:space="0" w:color="auto"/>
        <w:right w:val="none" w:sz="0" w:space="0" w:color="auto"/>
      </w:divBdr>
    </w:div>
    <w:div w:id="147134514">
      <w:bodyDiv w:val="1"/>
      <w:marLeft w:val="0"/>
      <w:marRight w:val="0"/>
      <w:marTop w:val="0"/>
      <w:marBottom w:val="0"/>
      <w:divBdr>
        <w:top w:val="none" w:sz="0" w:space="0" w:color="auto"/>
        <w:left w:val="none" w:sz="0" w:space="0" w:color="auto"/>
        <w:bottom w:val="none" w:sz="0" w:space="0" w:color="auto"/>
        <w:right w:val="none" w:sz="0" w:space="0" w:color="auto"/>
      </w:divBdr>
    </w:div>
    <w:div w:id="153029697">
      <w:bodyDiv w:val="1"/>
      <w:marLeft w:val="0"/>
      <w:marRight w:val="0"/>
      <w:marTop w:val="0"/>
      <w:marBottom w:val="0"/>
      <w:divBdr>
        <w:top w:val="none" w:sz="0" w:space="0" w:color="auto"/>
        <w:left w:val="none" w:sz="0" w:space="0" w:color="auto"/>
        <w:bottom w:val="none" w:sz="0" w:space="0" w:color="auto"/>
        <w:right w:val="none" w:sz="0" w:space="0" w:color="auto"/>
      </w:divBdr>
    </w:div>
    <w:div w:id="171265316">
      <w:bodyDiv w:val="1"/>
      <w:marLeft w:val="0"/>
      <w:marRight w:val="0"/>
      <w:marTop w:val="0"/>
      <w:marBottom w:val="0"/>
      <w:divBdr>
        <w:top w:val="none" w:sz="0" w:space="0" w:color="auto"/>
        <w:left w:val="none" w:sz="0" w:space="0" w:color="auto"/>
        <w:bottom w:val="none" w:sz="0" w:space="0" w:color="auto"/>
        <w:right w:val="none" w:sz="0" w:space="0" w:color="auto"/>
      </w:divBdr>
    </w:div>
    <w:div w:id="183985641">
      <w:bodyDiv w:val="1"/>
      <w:marLeft w:val="0"/>
      <w:marRight w:val="0"/>
      <w:marTop w:val="0"/>
      <w:marBottom w:val="0"/>
      <w:divBdr>
        <w:top w:val="none" w:sz="0" w:space="0" w:color="auto"/>
        <w:left w:val="none" w:sz="0" w:space="0" w:color="auto"/>
        <w:bottom w:val="none" w:sz="0" w:space="0" w:color="auto"/>
        <w:right w:val="none" w:sz="0" w:space="0" w:color="auto"/>
      </w:divBdr>
    </w:div>
    <w:div w:id="217202859">
      <w:bodyDiv w:val="1"/>
      <w:marLeft w:val="0"/>
      <w:marRight w:val="0"/>
      <w:marTop w:val="0"/>
      <w:marBottom w:val="0"/>
      <w:divBdr>
        <w:top w:val="none" w:sz="0" w:space="0" w:color="auto"/>
        <w:left w:val="none" w:sz="0" w:space="0" w:color="auto"/>
        <w:bottom w:val="none" w:sz="0" w:space="0" w:color="auto"/>
        <w:right w:val="none" w:sz="0" w:space="0" w:color="auto"/>
      </w:divBdr>
    </w:div>
    <w:div w:id="236285696">
      <w:bodyDiv w:val="1"/>
      <w:marLeft w:val="0"/>
      <w:marRight w:val="0"/>
      <w:marTop w:val="0"/>
      <w:marBottom w:val="0"/>
      <w:divBdr>
        <w:top w:val="none" w:sz="0" w:space="0" w:color="auto"/>
        <w:left w:val="none" w:sz="0" w:space="0" w:color="auto"/>
        <w:bottom w:val="none" w:sz="0" w:space="0" w:color="auto"/>
        <w:right w:val="none" w:sz="0" w:space="0" w:color="auto"/>
      </w:divBdr>
    </w:div>
    <w:div w:id="241109596">
      <w:bodyDiv w:val="1"/>
      <w:marLeft w:val="0"/>
      <w:marRight w:val="0"/>
      <w:marTop w:val="0"/>
      <w:marBottom w:val="0"/>
      <w:divBdr>
        <w:top w:val="none" w:sz="0" w:space="0" w:color="auto"/>
        <w:left w:val="none" w:sz="0" w:space="0" w:color="auto"/>
        <w:bottom w:val="none" w:sz="0" w:space="0" w:color="auto"/>
        <w:right w:val="none" w:sz="0" w:space="0" w:color="auto"/>
      </w:divBdr>
    </w:div>
    <w:div w:id="257325379">
      <w:bodyDiv w:val="1"/>
      <w:marLeft w:val="0"/>
      <w:marRight w:val="0"/>
      <w:marTop w:val="0"/>
      <w:marBottom w:val="0"/>
      <w:divBdr>
        <w:top w:val="none" w:sz="0" w:space="0" w:color="auto"/>
        <w:left w:val="none" w:sz="0" w:space="0" w:color="auto"/>
        <w:bottom w:val="none" w:sz="0" w:space="0" w:color="auto"/>
        <w:right w:val="none" w:sz="0" w:space="0" w:color="auto"/>
      </w:divBdr>
    </w:div>
    <w:div w:id="261383359">
      <w:bodyDiv w:val="1"/>
      <w:marLeft w:val="0"/>
      <w:marRight w:val="0"/>
      <w:marTop w:val="0"/>
      <w:marBottom w:val="0"/>
      <w:divBdr>
        <w:top w:val="none" w:sz="0" w:space="0" w:color="auto"/>
        <w:left w:val="none" w:sz="0" w:space="0" w:color="auto"/>
        <w:bottom w:val="none" w:sz="0" w:space="0" w:color="auto"/>
        <w:right w:val="none" w:sz="0" w:space="0" w:color="auto"/>
      </w:divBdr>
    </w:div>
    <w:div w:id="274411067">
      <w:bodyDiv w:val="1"/>
      <w:marLeft w:val="0"/>
      <w:marRight w:val="0"/>
      <w:marTop w:val="0"/>
      <w:marBottom w:val="0"/>
      <w:divBdr>
        <w:top w:val="none" w:sz="0" w:space="0" w:color="auto"/>
        <w:left w:val="none" w:sz="0" w:space="0" w:color="auto"/>
        <w:bottom w:val="none" w:sz="0" w:space="0" w:color="auto"/>
        <w:right w:val="none" w:sz="0" w:space="0" w:color="auto"/>
      </w:divBdr>
    </w:div>
    <w:div w:id="298076010">
      <w:bodyDiv w:val="1"/>
      <w:marLeft w:val="0"/>
      <w:marRight w:val="0"/>
      <w:marTop w:val="0"/>
      <w:marBottom w:val="0"/>
      <w:divBdr>
        <w:top w:val="none" w:sz="0" w:space="0" w:color="auto"/>
        <w:left w:val="none" w:sz="0" w:space="0" w:color="auto"/>
        <w:bottom w:val="none" w:sz="0" w:space="0" w:color="auto"/>
        <w:right w:val="none" w:sz="0" w:space="0" w:color="auto"/>
      </w:divBdr>
    </w:div>
    <w:div w:id="306860227">
      <w:bodyDiv w:val="1"/>
      <w:marLeft w:val="0"/>
      <w:marRight w:val="0"/>
      <w:marTop w:val="0"/>
      <w:marBottom w:val="0"/>
      <w:divBdr>
        <w:top w:val="none" w:sz="0" w:space="0" w:color="auto"/>
        <w:left w:val="none" w:sz="0" w:space="0" w:color="auto"/>
        <w:bottom w:val="none" w:sz="0" w:space="0" w:color="auto"/>
        <w:right w:val="none" w:sz="0" w:space="0" w:color="auto"/>
      </w:divBdr>
    </w:div>
    <w:div w:id="326711565">
      <w:bodyDiv w:val="1"/>
      <w:marLeft w:val="0"/>
      <w:marRight w:val="0"/>
      <w:marTop w:val="0"/>
      <w:marBottom w:val="0"/>
      <w:divBdr>
        <w:top w:val="none" w:sz="0" w:space="0" w:color="auto"/>
        <w:left w:val="none" w:sz="0" w:space="0" w:color="auto"/>
        <w:bottom w:val="none" w:sz="0" w:space="0" w:color="auto"/>
        <w:right w:val="none" w:sz="0" w:space="0" w:color="auto"/>
      </w:divBdr>
    </w:div>
    <w:div w:id="347678791">
      <w:bodyDiv w:val="1"/>
      <w:marLeft w:val="0"/>
      <w:marRight w:val="0"/>
      <w:marTop w:val="0"/>
      <w:marBottom w:val="0"/>
      <w:divBdr>
        <w:top w:val="none" w:sz="0" w:space="0" w:color="auto"/>
        <w:left w:val="none" w:sz="0" w:space="0" w:color="auto"/>
        <w:bottom w:val="none" w:sz="0" w:space="0" w:color="auto"/>
        <w:right w:val="none" w:sz="0" w:space="0" w:color="auto"/>
      </w:divBdr>
    </w:div>
    <w:div w:id="367335749">
      <w:bodyDiv w:val="1"/>
      <w:marLeft w:val="0"/>
      <w:marRight w:val="0"/>
      <w:marTop w:val="0"/>
      <w:marBottom w:val="0"/>
      <w:divBdr>
        <w:top w:val="none" w:sz="0" w:space="0" w:color="auto"/>
        <w:left w:val="none" w:sz="0" w:space="0" w:color="auto"/>
        <w:bottom w:val="none" w:sz="0" w:space="0" w:color="auto"/>
        <w:right w:val="none" w:sz="0" w:space="0" w:color="auto"/>
      </w:divBdr>
    </w:div>
    <w:div w:id="431242504">
      <w:bodyDiv w:val="1"/>
      <w:marLeft w:val="0"/>
      <w:marRight w:val="0"/>
      <w:marTop w:val="0"/>
      <w:marBottom w:val="0"/>
      <w:divBdr>
        <w:top w:val="none" w:sz="0" w:space="0" w:color="auto"/>
        <w:left w:val="none" w:sz="0" w:space="0" w:color="auto"/>
        <w:bottom w:val="none" w:sz="0" w:space="0" w:color="auto"/>
        <w:right w:val="none" w:sz="0" w:space="0" w:color="auto"/>
      </w:divBdr>
    </w:div>
    <w:div w:id="441729045">
      <w:bodyDiv w:val="1"/>
      <w:marLeft w:val="0"/>
      <w:marRight w:val="0"/>
      <w:marTop w:val="0"/>
      <w:marBottom w:val="0"/>
      <w:divBdr>
        <w:top w:val="none" w:sz="0" w:space="0" w:color="auto"/>
        <w:left w:val="none" w:sz="0" w:space="0" w:color="auto"/>
        <w:bottom w:val="none" w:sz="0" w:space="0" w:color="auto"/>
        <w:right w:val="none" w:sz="0" w:space="0" w:color="auto"/>
      </w:divBdr>
    </w:div>
    <w:div w:id="487405271">
      <w:bodyDiv w:val="1"/>
      <w:marLeft w:val="0"/>
      <w:marRight w:val="0"/>
      <w:marTop w:val="0"/>
      <w:marBottom w:val="0"/>
      <w:divBdr>
        <w:top w:val="none" w:sz="0" w:space="0" w:color="auto"/>
        <w:left w:val="none" w:sz="0" w:space="0" w:color="auto"/>
        <w:bottom w:val="none" w:sz="0" w:space="0" w:color="auto"/>
        <w:right w:val="none" w:sz="0" w:space="0" w:color="auto"/>
      </w:divBdr>
    </w:div>
    <w:div w:id="508566988">
      <w:bodyDiv w:val="1"/>
      <w:marLeft w:val="0"/>
      <w:marRight w:val="0"/>
      <w:marTop w:val="0"/>
      <w:marBottom w:val="0"/>
      <w:divBdr>
        <w:top w:val="none" w:sz="0" w:space="0" w:color="auto"/>
        <w:left w:val="none" w:sz="0" w:space="0" w:color="auto"/>
        <w:bottom w:val="none" w:sz="0" w:space="0" w:color="auto"/>
        <w:right w:val="none" w:sz="0" w:space="0" w:color="auto"/>
      </w:divBdr>
    </w:div>
    <w:div w:id="523640739">
      <w:bodyDiv w:val="1"/>
      <w:marLeft w:val="0"/>
      <w:marRight w:val="0"/>
      <w:marTop w:val="0"/>
      <w:marBottom w:val="0"/>
      <w:divBdr>
        <w:top w:val="none" w:sz="0" w:space="0" w:color="auto"/>
        <w:left w:val="none" w:sz="0" w:space="0" w:color="auto"/>
        <w:bottom w:val="none" w:sz="0" w:space="0" w:color="auto"/>
        <w:right w:val="none" w:sz="0" w:space="0" w:color="auto"/>
      </w:divBdr>
    </w:div>
    <w:div w:id="618952745">
      <w:bodyDiv w:val="1"/>
      <w:marLeft w:val="0"/>
      <w:marRight w:val="0"/>
      <w:marTop w:val="0"/>
      <w:marBottom w:val="0"/>
      <w:divBdr>
        <w:top w:val="none" w:sz="0" w:space="0" w:color="auto"/>
        <w:left w:val="none" w:sz="0" w:space="0" w:color="auto"/>
        <w:bottom w:val="none" w:sz="0" w:space="0" w:color="auto"/>
        <w:right w:val="none" w:sz="0" w:space="0" w:color="auto"/>
      </w:divBdr>
    </w:div>
    <w:div w:id="642195373">
      <w:bodyDiv w:val="1"/>
      <w:marLeft w:val="0"/>
      <w:marRight w:val="0"/>
      <w:marTop w:val="0"/>
      <w:marBottom w:val="0"/>
      <w:divBdr>
        <w:top w:val="none" w:sz="0" w:space="0" w:color="auto"/>
        <w:left w:val="none" w:sz="0" w:space="0" w:color="auto"/>
        <w:bottom w:val="none" w:sz="0" w:space="0" w:color="auto"/>
        <w:right w:val="none" w:sz="0" w:space="0" w:color="auto"/>
      </w:divBdr>
    </w:div>
    <w:div w:id="673731578">
      <w:bodyDiv w:val="1"/>
      <w:marLeft w:val="0"/>
      <w:marRight w:val="0"/>
      <w:marTop w:val="0"/>
      <w:marBottom w:val="0"/>
      <w:divBdr>
        <w:top w:val="none" w:sz="0" w:space="0" w:color="auto"/>
        <w:left w:val="none" w:sz="0" w:space="0" w:color="auto"/>
        <w:bottom w:val="none" w:sz="0" w:space="0" w:color="auto"/>
        <w:right w:val="none" w:sz="0" w:space="0" w:color="auto"/>
      </w:divBdr>
    </w:div>
    <w:div w:id="674461175">
      <w:bodyDiv w:val="1"/>
      <w:marLeft w:val="0"/>
      <w:marRight w:val="0"/>
      <w:marTop w:val="0"/>
      <w:marBottom w:val="0"/>
      <w:divBdr>
        <w:top w:val="none" w:sz="0" w:space="0" w:color="auto"/>
        <w:left w:val="none" w:sz="0" w:space="0" w:color="auto"/>
        <w:bottom w:val="none" w:sz="0" w:space="0" w:color="auto"/>
        <w:right w:val="none" w:sz="0" w:space="0" w:color="auto"/>
      </w:divBdr>
    </w:div>
    <w:div w:id="674651669">
      <w:bodyDiv w:val="1"/>
      <w:marLeft w:val="0"/>
      <w:marRight w:val="0"/>
      <w:marTop w:val="0"/>
      <w:marBottom w:val="0"/>
      <w:divBdr>
        <w:top w:val="none" w:sz="0" w:space="0" w:color="auto"/>
        <w:left w:val="none" w:sz="0" w:space="0" w:color="auto"/>
        <w:bottom w:val="none" w:sz="0" w:space="0" w:color="auto"/>
        <w:right w:val="none" w:sz="0" w:space="0" w:color="auto"/>
      </w:divBdr>
    </w:div>
    <w:div w:id="697043490">
      <w:bodyDiv w:val="1"/>
      <w:marLeft w:val="0"/>
      <w:marRight w:val="0"/>
      <w:marTop w:val="0"/>
      <w:marBottom w:val="0"/>
      <w:divBdr>
        <w:top w:val="none" w:sz="0" w:space="0" w:color="auto"/>
        <w:left w:val="none" w:sz="0" w:space="0" w:color="auto"/>
        <w:bottom w:val="none" w:sz="0" w:space="0" w:color="auto"/>
        <w:right w:val="none" w:sz="0" w:space="0" w:color="auto"/>
      </w:divBdr>
    </w:div>
    <w:div w:id="714812176">
      <w:bodyDiv w:val="1"/>
      <w:marLeft w:val="0"/>
      <w:marRight w:val="0"/>
      <w:marTop w:val="0"/>
      <w:marBottom w:val="0"/>
      <w:divBdr>
        <w:top w:val="none" w:sz="0" w:space="0" w:color="auto"/>
        <w:left w:val="none" w:sz="0" w:space="0" w:color="auto"/>
        <w:bottom w:val="none" w:sz="0" w:space="0" w:color="auto"/>
        <w:right w:val="none" w:sz="0" w:space="0" w:color="auto"/>
      </w:divBdr>
    </w:div>
    <w:div w:id="781998416">
      <w:bodyDiv w:val="1"/>
      <w:marLeft w:val="0"/>
      <w:marRight w:val="0"/>
      <w:marTop w:val="0"/>
      <w:marBottom w:val="0"/>
      <w:divBdr>
        <w:top w:val="none" w:sz="0" w:space="0" w:color="auto"/>
        <w:left w:val="none" w:sz="0" w:space="0" w:color="auto"/>
        <w:bottom w:val="none" w:sz="0" w:space="0" w:color="auto"/>
        <w:right w:val="none" w:sz="0" w:space="0" w:color="auto"/>
      </w:divBdr>
    </w:div>
    <w:div w:id="785004167">
      <w:bodyDiv w:val="1"/>
      <w:marLeft w:val="0"/>
      <w:marRight w:val="0"/>
      <w:marTop w:val="0"/>
      <w:marBottom w:val="0"/>
      <w:divBdr>
        <w:top w:val="none" w:sz="0" w:space="0" w:color="auto"/>
        <w:left w:val="none" w:sz="0" w:space="0" w:color="auto"/>
        <w:bottom w:val="none" w:sz="0" w:space="0" w:color="auto"/>
        <w:right w:val="none" w:sz="0" w:space="0" w:color="auto"/>
      </w:divBdr>
    </w:div>
    <w:div w:id="796221412">
      <w:bodyDiv w:val="1"/>
      <w:marLeft w:val="0"/>
      <w:marRight w:val="0"/>
      <w:marTop w:val="0"/>
      <w:marBottom w:val="0"/>
      <w:divBdr>
        <w:top w:val="none" w:sz="0" w:space="0" w:color="auto"/>
        <w:left w:val="none" w:sz="0" w:space="0" w:color="auto"/>
        <w:bottom w:val="none" w:sz="0" w:space="0" w:color="auto"/>
        <w:right w:val="none" w:sz="0" w:space="0" w:color="auto"/>
      </w:divBdr>
    </w:div>
    <w:div w:id="836657185">
      <w:bodyDiv w:val="1"/>
      <w:marLeft w:val="0"/>
      <w:marRight w:val="0"/>
      <w:marTop w:val="0"/>
      <w:marBottom w:val="0"/>
      <w:divBdr>
        <w:top w:val="none" w:sz="0" w:space="0" w:color="auto"/>
        <w:left w:val="none" w:sz="0" w:space="0" w:color="auto"/>
        <w:bottom w:val="none" w:sz="0" w:space="0" w:color="auto"/>
        <w:right w:val="none" w:sz="0" w:space="0" w:color="auto"/>
      </w:divBdr>
    </w:div>
    <w:div w:id="882523736">
      <w:bodyDiv w:val="1"/>
      <w:marLeft w:val="0"/>
      <w:marRight w:val="0"/>
      <w:marTop w:val="0"/>
      <w:marBottom w:val="0"/>
      <w:divBdr>
        <w:top w:val="none" w:sz="0" w:space="0" w:color="auto"/>
        <w:left w:val="none" w:sz="0" w:space="0" w:color="auto"/>
        <w:bottom w:val="none" w:sz="0" w:space="0" w:color="auto"/>
        <w:right w:val="none" w:sz="0" w:space="0" w:color="auto"/>
      </w:divBdr>
    </w:div>
    <w:div w:id="903761094">
      <w:bodyDiv w:val="1"/>
      <w:marLeft w:val="0"/>
      <w:marRight w:val="0"/>
      <w:marTop w:val="0"/>
      <w:marBottom w:val="0"/>
      <w:divBdr>
        <w:top w:val="none" w:sz="0" w:space="0" w:color="auto"/>
        <w:left w:val="none" w:sz="0" w:space="0" w:color="auto"/>
        <w:bottom w:val="none" w:sz="0" w:space="0" w:color="auto"/>
        <w:right w:val="none" w:sz="0" w:space="0" w:color="auto"/>
      </w:divBdr>
    </w:div>
    <w:div w:id="906770261">
      <w:bodyDiv w:val="1"/>
      <w:marLeft w:val="0"/>
      <w:marRight w:val="0"/>
      <w:marTop w:val="0"/>
      <w:marBottom w:val="0"/>
      <w:divBdr>
        <w:top w:val="none" w:sz="0" w:space="0" w:color="auto"/>
        <w:left w:val="none" w:sz="0" w:space="0" w:color="auto"/>
        <w:bottom w:val="none" w:sz="0" w:space="0" w:color="auto"/>
        <w:right w:val="none" w:sz="0" w:space="0" w:color="auto"/>
      </w:divBdr>
    </w:div>
    <w:div w:id="916282728">
      <w:bodyDiv w:val="1"/>
      <w:marLeft w:val="0"/>
      <w:marRight w:val="0"/>
      <w:marTop w:val="0"/>
      <w:marBottom w:val="0"/>
      <w:divBdr>
        <w:top w:val="none" w:sz="0" w:space="0" w:color="auto"/>
        <w:left w:val="none" w:sz="0" w:space="0" w:color="auto"/>
        <w:bottom w:val="none" w:sz="0" w:space="0" w:color="auto"/>
        <w:right w:val="none" w:sz="0" w:space="0" w:color="auto"/>
      </w:divBdr>
    </w:div>
    <w:div w:id="922182721">
      <w:bodyDiv w:val="1"/>
      <w:marLeft w:val="0"/>
      <w:marRight w:val="0"/>
      <w:marTop w:val="0"/>
      <w:marBottom w:val="0"/>
      <w:divBdr>
        <w:top w:val="none" w:sz="0" w:space="0" w:color="auto"/>
        <w:left w:val="none" w:sz="0" w:space="0" w:color="auto"/>
        <w:bottom w:val="none" w:sz="0" w:space="0" w:color="auto"/>
        <w:right w:val="none" w:sz="0" w:space="0" w:color="auto"/>
      </w:divBdr>
    </w:div>
    <w:div w:id="985203059">
      <w:bodyDiv w:val="1"/>
      <w:marLeft w:val="0"/>
      <w:marRight w:val="0"/>
      <w:marTop w:val="0"/>
      <w:marBottom w:val="0"/>
      <w:divBdr>
        <w:top w:val="none" w:sz="0" w:space="0" w:color="auto"/>
        <w:left w:val="none" w:sz="0" w:space="0" w:color="auto"/>
        <w:bottom w:val="none" w:sz="0" w:space="0" w:color="auto"/>
        <w:right w:val="none" w:sz="0" w:space="0" w:color="auto"/>
      </w:divBdr>
    </w:div>
    <w:div w:id="1030454172">
      <w:bodyDiv w:val="1"/>
      <w:marLeft w:val="0"/>
      <w:marRight w:val="0"/>
      <w:marTop w:val="0"/>
      <w:marBottom w:val="0"/>
      <w:divBdr>
        <w:top w:val="none" w:sz="0" w:space="0" w:color="auto"/>
        <w:left w:val="none" w:sz="0" w:space="0" w:color="auto"/>
        <w:bottom w:val="none" w:sz="0" w:space="0" w:color="auto"/>
        <w:right w:val="none" w:sz="0" w:space="0" w:color="auto"/>
      </w:divBdr>
    </w:div>
    <w:div w:id="1033458323">
      <w:bodyDiv w:val="1"/>
      <w:marLeft w:val="0"/>
      <w:marRight w:val="0"/>
      <w:marTop w:val="0"/>
      <w:marBottom w:val="0"/>
      <w:divBdr>
        <w:top w:val="none" w:sz="0" w:space="0" w:color="auto"/>
        <w:left w:val="none" w:sz="0" w:space="0" w:color="auto"/>
        <w:bottom w:val="none" w:sz="0" w:space="0" w:color="auto"/>
        <w:right w:val="none" w:sz="0" w:space="0" w:color="auto"/>
      </w:divBdr>
    </w:div>
    <w:div w:id="1042943456">
      <w:bodyDiv w:val="1"/>
      <w:marLeft w:val="0"/>
      <w:marRight w:val="0"/>
      <w:marTop w:val="0"/>
      <w:marBottom w:val="0"/>
      <w:divBdr>
        <w:top w:val="none" w:sz="0" w:space="0" w:color="auto"/>
        <w:left w:val="none" w:sz="0" w:space="0" w:color="auto"/>
        <w:bottom w:val="none" w:sz="0" w:space="0" w:color="auto"/>
        <w:right w:val="none" w:sz="0" w:space="0" w:color="auto"/>
      </w:divBdr>
    </w:div>
    <w:div w:id="1044595356">
      <w:bodyDiv w:val="1"/>
      <w:marLeft w:val="0"/>
      <w:marRight w:val="0"/>
      <w:marTop w:val="0"/>
      <w:marBottom w:val="0"/>
      <w:divBdr>
        <w:top w:val="none" w:sz="0" w:space="0" w:color="auto"/>
        <w:left w:val="none" w:sz="0" w:space="0" w:color="auto"/>
        <w:bottom w:val="none" w:sz="0" w:space="0" w:color="auto"/>
        <w:right w:val="none" w:sz="0" w:space="0" w:color="auto"/>
      </w:divBdr>
    </w:div>
    <w:div w:id="1055158020">
      <w:bodyDiv w:val="1"/>
      <w:marLeft w:val="0"/>
      <w:marRight w:val="0"/>
      <w:marTop w:val="0"/>
      <w:marBottom w:val="0"/>
      <w:divBdr>
        <w:top w:val="none" w:sz="0" w:space="0" w:color="auto"/>
        <w:left w:val="none" w:sz="0" w:space="0" w:color="auto"/>
        <w:bottom w:val="none" w:sz="0" w:space="0" w:color="auto"/>
        <w:right w:val="none" w:sz="0" w:space="0" w:color="auto"/>
      </w:divBdr>
    </w:div>
    <w:div w:id="1067386595">
      <w:bodyDiv w:val="1"/>
      <w:marLeft w:val="0"/>
      <w:marRight w:val="0"/>
      <w:marTop w:val="0"/>
      <w:marBottom w:val="0"/>
      <w:divBdr>
        <w:top w:val="none" w:sz="0" w:space="0" w:color="auto"/>
        <w:left w:val="none" w:sz="0" w:space="0" w:color="auto"/>
        <w:bottom w:val="none" w:sz="0" w:space="0" w:color="auto"/>
        <w:right w:val="none" w:sz="0" w:space="0" w:color="auto"/>
      </w:divBdr>
    </w:div>
    <w:div w:id="1093938752">
      <w:bodyDiv w:val="1"/>
      <w:marLeft w:val="0"/>
      <w:marRight w:val="0"/>
      <w:marTop w:val="0"/>
      <w:marBottom w:val="0"/>
      <w:divBdr>
        <w:top w:val="none" w:sz="0" w:space="0" w:color="auto"/>
        <w:left w:val="none" w:sz="0" w:space="0" w:color="auto"/>
        <w:bottom w:val="none" w:sz="0" w:space="0" w:color="auto"/>
        <w:right w:val="none" w:sz="0" w:space="0" w:color="auto"/>
      </w:divBdr>
    </w:div>
    <w:div w:id="1099566091">
      <w:bodyDiv w:val="1"/>
      <w:marLeft w:val="0"/>
      <w:marRight w:val="0"/>
      <w:marTop w:val="0"/>
      <w:marBottom w:val="0"/>
      <w:divBdr>
        <w:top w:val="none" w:sz="0" w:space="0" w:color="auto"/>
        <w:left w:val="none" w:sz="0" w:space="0" w:color="auto"/>
        <w:bottom w:val="none" w:sz="0" w:space="0" w:color="auto"/>
        <w:right w:val="none" w:sz="0" w:space="0" w:color="auto"/>
      </w:divBdr>
    </w:div>
    <w:div w:id="1122917230">
      <w:bodyDiv w:val="1"/>
      <w:marLeft w:val="0"/>
      <w:marRight w:val="0"/>
      <w:marTop w:val="0"/>
      <w:marBottom w:val="0"/>
      <w:divBdr>
        <w:top w:val="none" w:sz="0" w:space="0" w:color="auto"/>
        <w:left w:val="none" w:sz="0" w:space="0" w:color="auto"/>
        <w:bottom w:val="none" w:sz="0" w:space="0" w:color="auto"/>
        <w:right w:val="none" w:sz="0" w:space="0" w:color="auto"/>
      </w:divBdr>
    </w:div>
    <w:div w:id="1147430226">
      <w:bodyDiv w:val="1"/>
      <w:marLeft w:val="0"/>
      <w:marRight w:val="0"/>
      <w:marTop w:val="0"/>
      <w:marBottom w:val="0"/>
      <w:divBdr>
        <w:top w:val="none" w:sz="0" w:space="0" w:color="auto"/>
        <w:left w:val="none" w:sz="0" w:space="0" w:color="auto"/>
        <w:bottom w:val="none" w:sz="0" w:space="0" w:color="auto"/>
        <w:right w:val="none" w:sz="0" w:space="0" w:color="auto"/>
      </w:divBdr>
    </w:div>
    <w:div w:id="1178034802">
      <w:bodyDiv w:val="1"/>
      <w:marLeft w:val="0"/>
      <w:marRight w:val="0"/>
      <w:marTop w:val="0"/>
      <w:marBottom w:val="0"/>
      <w:divBdr>
        <w:top w:val="none" w:sz="0" w:space="0" w:color="auto"/>
        <w:left w:val="none" w:sz="0" w:space="0" w:color="auto"/>
        <w:bottom w:val="none" w:sz="0" w:space="0" w:color="auto"/>
        <w:right w:val="none" w:sz="0" w:space="0" w:color="auto"/>
      </w:divBdr>
    </w:div>
    <w:div w:id="1184783617">
      <w:bodyDiv w:val="1"/>
      <w:marLeft w:val="0"/>
      <w:marRight w:val="0"/>
      <w:marTop w:val="0"/>
      <w:marBottom w:val="0"/>
      <w:divBdr>
        <w:top w:val="none" w:sz="0" w:space="0" w:color="auto"/>
        <w:left w:val="none" w:sz="0" w:space="0" w:color="auto"/>
        <w:bottom w:val="none" w:sz="0" w:space="0" w:color="auto"/>
        <w:right w:val="none" w:sz="0" w:space="0" w:color="auto"/>
      </w:divBdr>
    </w:div>
    <w:div w:id="1187207688">
      <w:bodyDiv w:val="1"/>
      <w:marLeft w:val="0"/>
      <w:marRight w:val="0"/>
      <w:marTop w:val="0"/>
      <w:marBottom w:val="0"/>
      <w:divBdr>
        <w:top w:val="none" w:sz="0" w:space="0" w:color="auto"/>
        <w:left w:val="none" w:sz="0" w:space="0" w:color="auto"/>
        <w:bottom w:val="none" w:sz="0" w:space="0" w:color="auto"/>
        <w:right w:val="none" w:sz="0" w:space="0" w:color="auto"/>
      </w:divBdr>
    </w:div>
    <w:div w:id="1194345973">
      <w:bodyDiv w:val="1"/>
      <w:marLeft w:val="0"/>
      <w:marRight w:val="0"/>
      <w:marTop w:val="0"/>
      <w:marBottom w:val="0"/>
      <w:divBdr>
        <w:top w:val="none" w:sz="0" w:space="0" w:color="auto"/>
        <w:left w:val="none" w:sz="0" w:space="0" w:color="auto"/>
        <w:bottom w:val="none" w:sz="0" w:space="0" w:color="auto"/>
        <w:right w:val="none" w:sz="0" w:space="0" w:color="auto"/>
      </w:divBdr>
    </w:div>
    <w:div w:id="1216166394">
      <w:bodyDiv w:val="1"/>
      <w:marLeft w:val="0"/>
      <w:marRight w:val="0"/>
      <w:marTop w:val="0"/>
      <w:marBottom w:val="0"/>
      <w:divBdr>
        <w:top w:val="none" w:sz="0" w:space="0" w:color="auto"/>
        <w:left w:val="none" w:sz="0" w:space="0" w:color="auto"/>
        <w:bottom w:val="none" w:sz="0" w:space="0" w:color="auto"/>
        <w:right w:val="none" w:sz="0" w:space="0" w:color="auto"/>
      </w:divBdr>
    </w:div>
    <w:div w:id="1221752285">
      <w:bodyDiv w:val="1"/>
      <w:marLeft w:val="0"/>
      <w:marRight w:val="0"/>
      <w:marTop w:val="0"/>
      <w:marBottom w:val="0"/>
      <w:divBdr>
        <w:top w:val="none" w:sz="0" w:space="0" w:color="auto"/>
        <w:left w:val="none" w:sz="0" w:space="0" w:color="auto"/>
        <w:bottom w:val="none" w:sz="0" w:space="0" w:color="auto"/>
        <w:right w:val="none" w:sz="0" w:space="0" w:color="auto"/>
      </w:divBdr>
    </w:div>
    <w:div w:id="1233539116">
      <w:bodyDiv w:val="1"/>
      <w:marLeft w:val="0"/>
      <w:marRight w:val="0"/>
      <w:marTop w:val="0"/>
      <w:marBottom w:val="0"/>
      <w:divBdr>
        <w:top w:val="none" w:sz="0" w:space="0" w:color="auto"/>
        <w:left w:val="none" w:sz="0" w:space="0" w:color="auto"/>
        <w:bottom w:val="none" w:sz="0" w:space="0" w:color="auto"/>
        <w:right w:val="none" w:sz="0" w:space="0" w:color="auto"/>
      </w:divBdr>
    </w:div>
    <w:div w:id="1238827509">
      <w:bodyDiv w:val="1"/>
      <w:marLeft w:val="0"/>
      <w:marRight w:val="0"/>
      <w:marTop w:val="0"/>
      <w:marBottom w:val="0"/>
      <w:divBdr>
        <w:top w:val="none" w:sz="0" w:space="0" w:color="auto"/>
        <w:left w:val="none" w:sz="0" w:space="0" w:color="auto"/>
        <w:bottom w:val="none" w:sz="0" w:space="0" w:color="auto"/>
        <w:right w:val="none" w:sz="0" w:space="0" w:color="auto"/>
      </w:divBdr>
    </w:div>
    <w:div w:id="1247031720">
      <w:bodyDiv w:val="1"/>
      <w:marLeft w:val="0"/>
      <w:marRight w:val="0"/>
      <w:marTop w:val="0"/>
      <w:marBottom w:val="0"/>
      <w:divBdr>
        <w:top w:val="none" w:sz="0" w:space="0" w:color="auto"/>
        <w:left w:val="none" w:sz="0" w:space="0" w:color="auto"/>
        <w:bottom w:val="none" w:sz="0" w:space="0" w:color="auto"/>
        <w:right w:val="none" w:sz="0" w:space="0" w:color="auto"/>
      </w:divBdr>
    </w:div>
    <w:div w:id="1274289504">
      <w:bodyDiv w:val="1"/>
      <w:marLeft w:val="0"/>
      <w:marRight w:val="0"/>
      <w:marTop w:val="0"/>
      <w:marBottom w:val="0"/>
      <w:divBdr>
        <w:top w:val="none" w:sz="0" w:space="0" w:color="auto"/>
        <w:left w:val="none" w:sz="0" w:space="0" w:color="auto"/>
        <w:bottom w:val="none" w:sz="0" w:space="0" w:color="auto"/>
        <w:right w:val="none" w:sz="0" w:space="0" w:color="auto"/>
      </w:divBdr>
    </w:div>
    <w:div w:id="1312097549">
      <w:bodyDiv w:val="1"/>
      <w:marLeft w:val="0"/>
      <w:marRight w:val="0"/>
      <w:marTop w:val="0"/>
      <w:marBottom w:val="0"/>
      <w:divBdr>
        <w:top w:val="none" w:sz="0" w:space="0" w:color="auto"/>
        <w:left w:val="none" w:sz="0" w:space="0" w:color="auto"/>
        <w:bottom w:val="none" w:sz="0" w:space="0" w:color="auto"/>
        <w:right w:val="none" w:sz="0" w:space="0" w:color="auto"/>
      </w:divBdr>
    </w:div>
    <w:div w:id="1320576421">
      <w:bodyDiv w:val="1"/>
      <w:marLeft w:val="0"/>
      <w:marRight w:val="0"/>
      <w:marTop w:val="0"/>
      <w:marBottom w:val="0"/>
      <w:divBdr>
        <w:top w:val="none" w:sz="0" w:space="0" w:color="auto"/>
        <w:left w:val="none" w:sz="0" w:space="0" w:color="auto"/>
        <w:bottom w:val="none" w:sz="0" w:space="0" w:color="auto"/>
        <w:right w:val="none" w:sz="0" w:space="0" w:color="auto"/>
      </w:divBdr>
    </w:div>
    <w:div w:id="1325164846">
      <w:bodyDiv w:val="1"/>
      <w:marLeft w:val="0"/>
      <w:marRight w:val="0"/>
      <w:marTop w:val="0"/>
      <w:marBottom w:val="0"/>
      <w:divBdr>
        <w:top w:val="none" w:sz="0" w:space="0" w:color="auto"/>
        <w:left w:val="none" w:sz="0" w:space="0" w:color="auto"/>
        <w:bottom w:val="none" w:sz="0" w:space="0" w:color="auto"/>
        <w:right w:val="none" w:sz="0" w:space="0" w:color="auto"/>
      </w:divBdr>
    </w:div>
    <w:div w:id="1325625413">
      <w:bodyDiv w:val="1"/>
      <w:marLeft w:val="0"/>
      <w:marRight w:val="0"/>
      <w:marTop w:val="0"/>
      <w:marBottom w:val="0"/>
      <w:divBdr>
        <w:top w:val="none" w:sz="0" w:space="0" w:color="auto"/>
        <w:left w:val="none" w:sz="0" w:space="0" w:color="auto"/>
        <w:bottom w:val="none" w:sz="0" w:space="0" w:color="auto"/>
        <w:right w:val="none" w:sz="0" w:space="0" w:color="auto"/>
      </w:divBdr>
    </w:div>
    <w:div w:id="1327131521">
      <w:bodyDiv w:val="1"/>
      <w:marLeft w:val="0"/>
      <w:marRight w:val="0"/>
      <w:marTop w:val="0"/>
      <w:marBottom w:val="0"/>
      <w:divBdr>
        <w:top w:val="none" w:sz="0" w:space="0" w:color="auto"/>
        <w:left w:val="none" w:sz="0" w:space="0" w:color="auto"/>
        <w:bottom w:val="none" w:sz="0" w:space="0" w:color="auto"/>
        <w:right w:val="none" w:sz="0" w:space="0" w:color="auto"/>
      </w:divBdr>
    </w:div>
    <w:div w:id="1368263590">
      <w:bodyDiv w:val="1"/>
      <w:marLeft w:val="0"/>
      <w:marRight w:val="0"/>
      <w:marTop w:val="0"/>
      <w:marBottom w:val="0"/>
      <w:divBdr>
        <w:top w:val="none" w:sz="0" w:space="0" w:color="auto"/>
        <w:left w:val="none" w:sz="0" w:space="0" w:color="auto"/>
        <w:bottom w:val="none" w:sz="0" w:space="0" w:color="auto"/>
        <w:right w:val="none" w:sz="0" w:space="0" w:color="auto"/>
      </w:divBdr>
    </w:div>
    <w:div w:id="1385332616">
      <w:bodyDiv w:val="1"/>
      <w:marLeft w:val="0"/>
      <w:marRight w:val="0"/>
      <w:marTop w:val="0"/>
      <w:marBottom w:val="0"/>
      <w:divBdr>
        <w:top w:val="none" w:sz="0" w:space="0" w:color="auto"/>
        <w:left w:val="none" w:sz="0" w:space="0" w:color="auto"/>
        <w:bottom w:val="none" w:sz="0" w:space="0" w:color="auto"/>
        <w:right w:val="none" w:sz="0" w:space="0" w:color="auto"/>
      </w:divBdr>
    </w:div>
    <w:div w:id="1400397674">
      <w:bodyDiv w:val="1"/>
      <w:marLeft w:val="0"/>
      <w:marRight w:val="0"/>
      <w:marTop w:val="0"/>
      <w:marBottom w:val="0"/>
      <w:divBdr>
        <w:top w:val="none" w:sz="0" w:space="0" w:color="auto"/>
        <w:left w:val="none" w:sz="0" w:space="0" w:color="auto"/>
        <w:bottom w:val="none" w:sz="0" w:space="0" w:color="auto"/>
        <w:right w:val="none" w:sz="0" w:space="0" w:color="auto"/>
      </w:divBdr>
    </w:div>
    <w:div w:id="1406298246">
      <w:bodyDiv w:val="1"/>
      <w:marLeft w:val="0"/>
      <w:marRight w:val="0"/>
      <w:marTop w:val="0"/>
      <w:marBottom w:val="0"/>
      <w:divBdr>
        <w:top w:val="none" w:sz="0" w:space="0" w:color="auto"/>
        <w:left w:val="none" w:sz="0" w:space="0" w:color="auto"/>
        <w:bottom w:val="none" w:sz="0" w:space="0" w:color="auto"/>
        <w:right w:val="none" w:sz="0" w:space="0" w:color="auto"/>
      </w:divBdr>
    </w:div>
    <w:div w:id="1411074455">
      <w:bodyDiv w:val="1"/>
      <w:marLeft w:val="0"/>
      <w:marRight w:val="0"/>
      <w:marTop w:val="0"/>
      <w:marBottom w:val="0"/>
      <w:divBdr>
        <w:top w:val="none" w:sz="0" w:space="0" w:color="auto"/>
        <w:left w:val="none" w:sz="0" w:space="0" w:color="auto"/>
        <w:bottom w:val="none" w:sz="0" w:space="0" w:color="auto"/>
        <w:right w:val="none" w:sz="0" w:space="0" w:color="auto"/>
      </w:divBdr>
    </w:div>
    <w:div w:id="1456482679">
      <w:bodyDiv w:val="1"/>
      <w:marLeft w:val="0"/>
      <w:marRight w:val="0"/>
      <w:marTop w:val="0"/>
      <w:marBottom w:val="0"/>
      <w:divBdr>
        <w:top w:val="none" w:sz="0" w:space="0" w:color="auto"/>
        <w:left w:val="none" w:sz="0" w:space="0" w:color="auto"/>
        <w:bottom w:val="none" w:sz="0" w:space="0" w:color="auto"/>
        <w:right w:val="none" w:sz="0" w:space="0" w:color="auto"/>
      </w:divBdr>
    </w:div>
    <w:div w:id="1474517235">
      <w:bodyDiv w:val="1"/>
      <w:marLeft w:val="0"/>
      <w:marRight w:val="0"/>
      <w:marTop w:val="0"/>
      <w:marBottom w:val="0"/>
      <w:divBdr>
        <w:top w:val="none" w:sz="0" w:space="0" w:color="auto"/>
        <w:left w:val="none" w:sz="0" w:space="0" w:color="auto"/>
        <w:bottom w:val="none" w:sz="0" w:space="0" w:color="auto"/>
        <w:right w:val="none" w:sz="0" w:space="0" w:color="auto"/>
      </w:divBdr>
    </w:div>
    <w:div w:id="1497301253">
      <w:bodyDiv w:val="1"/>
      <w:marLeft w:val="0"/>
      <w:marRight w:val="0"/>
      <w:marTop w:val="0"/>
      <w:marBottom w:val="0"/>
      <w:divBdr>
        <w:top w:val="none" w:sz="0" w:space="0" w:color="auto"/>
        <w:left w:val="none" w:sz="0" w:space="0" w:color="auto"/>
        <w:bottom w:val="none" w:sz="0" w:space="0" w:color="auto"/>
        <w:right w:val="none" w:sz="0" w:space="0" w:color="auto"/>
      </w:divBdr>
    </w:div>
    <w:div w:id="1505433546">
      <w:bodyDiv w:val="1"/>
      <w:marLeft w:val="0"/>
      <w:marRight w:val="0"/>
      <w:marTop w:val="0"/>
      <w:marBottom w:val="0"/>
      <w:divBdr>
        <w:top w:val="none" w:sz="0" w:space="0" w:color="auto"/>
        <w:left w:val="none" w:sz="0" w:space="0" w:color="auto"/>
        <w:bottom w:val="none" w:sz="0" w:space="0" w:color="auto"/>
        <w:right w:val="none" w:sz="0" w:space="0" w:color="auto"/>
      </w:divBdr>
    </w:div>
    <w:div w:id="1505434106">
      <w:bodyDiv w:val="1"/>
      <w:marLeft w:val="0"/>
      <w:marRight w:val="0"/>
      <w:marTop w:val="0"/>
      <w:marBottom w:val="0"/>
      <w:divBdr>
        <w:top w:val="none" w:sz="0" w:space="0" w:color="auto"/>
        <w:left w:val="none" w:sz="0" w:space="0" w:color="auto"/>
        <w:bottom w:val="none" w:sz="0" w:space="0" w:color="auto"/>
        <w:right w:val="none" w:sz="0" w:space="0" w:color="auto"/>
      </w:divBdr>
    </w:div>
    <w:div w:id="1509562926">
      <w:bodyDiv w:val="1"/>
      <w:marLeft w:val="0"/>
      <w:marRight w:val="0"/>
      <w:marTop w:val="0"/>
      <w:marBottom w:val="0"/>
      <w:divBdr>
        <w:top w:val="none" w:sz="0" w:space="0" w:color="auto"/>
        <w:left w:val="none" w:sz="0" w:space="0" w:color="auto"/>
        <w:bottom w:val="none" w:sz="0" w:space="0" w:color="auto"/>
        <w:right w:val="none" w:sz="0" w:space="0" w:color="auto"/>
      </w:divBdr>
    </w:div>
    <w:div w:id="1594895824">
      <w:bodyDiv w:val="1"/>
      <w:marLeft w:val="0"/>
      <w:marRight w:val="0"/>
      <w:marTop w:val="0"/>
      <w:marBottom w:val="0"/>
      <w:divBdr>
        <w:top w:val="none" w:sz="0" w:space="0" w:color="auto"/>
        <w:left w:val="none" w:sz="0" w:space="0" w:color="auto"/>
        <w:bottom w:val="none" w:sz="0" w:space="0" w:color="auto"/>
        <w:right w:val="none" w:sz="0" w:space="0" w:color="auto"/>
      </w:divBdr>
    </w:div>
    <w:div w:id="1651784713">
      <w:bodyDiv w:val="1"/>
      <w:marLeft w:val="0"/>
      <w:marRight w:val="0"/>
      <w:marTop w:val="0"/>
      <w:marBottom w:val="0"/>
      <w:divBdr>
        <w:top w:val="none" w:sz="0" w:space="0" w:color="auto"/>
        <w:left w:val="none" w:sz="0" w:space="0" w:color="auto"/>
        <w:bottom w:val="none" w:sz="0" w:space="0" w:color="auto"/>
        <w:right w:val="none" w:sz="0" w:space="0" w:color="auto"/>
      </w:divBdr>
    </w:div>
    <w:div w:id="1673487176">
      <w:bodyDiv w:val="1"/>
      <w:marLeft w:val="0"/>
      <w:marRight w:val="0"/>
      <w:marTop w:val="0"/>
      <w:marBottom w:val="0"/>
      <w:divBdr>
        <w:top w:val="none" w:sz="0" w:space="0" w:color="auto"/>
        <w:left w:val="none" w:sz="0" w:space="0" w:color="auto"/>
        <w:bottom w:val="none" w:sz="0" w:space="0" w:color="auto"/>
        <w:right w:val="none" w:sz="0" w:space="0" w:color="auto"/>
      </w:divBdr>
    </w:div>
    <w:div w:id="1682201056">
      <w:bodyDiv w:val="1"/>
      <w:marLeft w:val="0"/>
      <w:marRight w:val="0"/>
      <w:marTop w:val="0"/>
      <w:marBottom w:val="0"/>
      <w:divBdr>
        <w:top w:val="none" w:sz="0" w:space="0" w:color="auto"/>
        <w:left w:val="none" w:sz="0" w:space="0" w:color="auto"/>
        <w:bottom w:val="none" w:sz="0" w:space="0" w:color="auto"/>
        <w:right w:val="none" w:sz="0" w:space="0" w:color="auto"/>
      </w:divBdr>
    </w:div>
    <w:div w:id="1704553783">
      <w:bodyDiv w:val="1"/>
      <w:marLeft w:val="0"/>
      <w:marRight w:val="0"/>
      <w:marTop w:val="0"/>
      <w:marBottom w:val="0"/>
      <w:divBdr>
        <w:top w:val="none" w:sz="0" w:space="0" w:color="auto"/>
        <w:left w:val="none" w:sz="0" w:space="0" w:color="auto"/>
        <w:bottom w:val="none" w:sz="0" w:space="0" w:color="auto"/>
        <w:right w:val="none" w:sz="0" w:space="0" w:color="auto"/>
      </w:divBdr>
    </w:div>
    <w:div w:id="1709916368">
      <w:bodyDiv w:val="1"/>
      <w:marLeft w:val="0"/>
      <w:marRight w:val="0"/>
      <w:marTop w:val="0"/>
      <w:marBottom w:val="0"/>
      <w:divBdr>
        <w:top w:val="none" w:sz="0" w:space="0" w:color="auto"/>
        <w:left w:val="none" w:sz="0" w:space="0" w:color="auto"/>
        <w:bottom w:val="none" w:sz="0" w:space="0" w:color="auto"/>
        <w:right w:val="none" w:sz="0" w:space="0" w:color="auto"/>
      </w:divBdr>
    </w:div>
    <w:div w:id="1727951500">
      <w:bodyDiv w:val="1"/>
      <w:marLeft w:val="0"/>
      <w:marRight w:val="0"/>
      <w:marTop w:val="0"/>
      <w:marBottom w:val="0"/>
      <w:divBdr>
        <w:top w:val="none" w:sz="0" w:space="0" w:color="auto"/>
        <w:left w:val="none" w:sz="0" w:space="0" w:color="auto"/>
        <w:bottom w:val="none" w:sz="0" w:space="0" w:color="auto"/>
        <w:right w:val="none" w:sz="0" w:space="0" w:color="auto"/>
      </w:divBdr>
    </w:div>
    <w:div w:id="1734963548">
      <w:bodyDiv w:val="1"/>
      <w:marLeft w:val="0"/>
      <w:marRight w:val="0"/>
      <w:marTop w:val="0"/>
      <w:marBottom w:val="0"/>
      <w:divBdr>
        <w:top w:val="none" w:sz="0" w:space="0" w:color="auto"/>
        <w:left w:val="none" w:sz="0" w:space="0" w:color="auto"/>
        <w:bottom w:val="none" w:sz="0" w:space="0" w:color="auto"/>
        <w:right w:val="none" w:sz="0" w:space="0" w:color="auto"/>
      </w:divBdr>
    </w:div>
    <w:div w:id="1772703651">
      <w:bodyDiv w:val="1"/>
      <w:marLeft w:val="0"/>
      <w:marRight w:val="0"/>
      <w:marTop w:val="0"/>
      <w:marBottom w:val="0"/>
      <w:divBdr>
        <w:top w:val="none" w:sz="0" w:space="0" w:color="auto"/>
        <w:left w:val="none" w:sz="0" w:space="0" w:color="auto"/>
        <w:bottom w:val="none" w:sz="0" w:space="0" w:color="auto"/>
        <w:right w:val="none" w:sz="0" w:space="0" w:color="auto"/>
      </w:divBdr>
    </w:div>
    <w:div w:id="1779326008">
      <w:bodyDiv w:val="1"/>
      <w:marLeft w:val="0"/>
      <w:marRight w:val="0"/>
      <w:marTop w:val="0"/>
      <w:marBottom w:val="0"/>
      <w:divBdr>
        <w:top w:val="none" w:sz="0" w:space="0" w:color="auto"/>
        <w:left w:val="none" w:sz="0" w:space="0" w:color="auto"/>
        <w:bottom w:val="none" w:sz="0" w:space="0" w:color="auto"/>
        <w:right w:val="none" w:sz="0" w:space="0" w:color="auto"/>
      </w:divBdr>
    </w:div>
    <w:div w:id="1798795700">
      <w:bodyDiv w:val="1"/>
      <w:marLeft w:val="0"/>
      <w:marRight w:val="0"/>
      <w:marTop w:val="0"/>
      <w:marBottom w:val="0"/>
      <w:divBdr>
        <w:top w:val="none" w:sz="0" w:space="0" w:color="auto"/>
        <w:left w:val="none" w:sz="0" w:space="0" w:color="auto"/>
        <w:bottom w:val="none" w:sz="0" w:space="0" w:color="auto"/>
        <w:right w:val="none" w:sz="0" w:space="0" w:color="auto"/>
      </w:divBdr>
    </w:div>
    <w:div w:id="1813791683">
      <w:bodyDiv w:val="1"/>
      <w:marLeft w:val="0"/>
      <w:marRight w:val="0"/>
      <w:marTop w:val="0"/>
      <w:marBottom w:val="0"/>
      <w:divBdr>
        <w:top w:val="none" w:sz="0" w:space="0" w:color="auto"/>
        <w:left w:val="none" w:sz="0" w:space="0" w:color="auto"/>
        <w:bottom w:val="none" w:sz="0" w:space="0" w:color="auto"/>
        <w:right w:val="none" w:sz="0" w:space="0" w:color="auto"/>
      </w:divBdr>
    </w:div>
    <w:div w:id="1815246396">
      <w:bodyDiv w:val="1"/>
      <w:marLeft w:val="0"/>
      <w:marRight w:val="0"/>
      <w:marTop w:val="0"/>
      <w:marBottom w:val="0"/>
      <w:divBdr>
        <w:top w:val="none" w:sz="0" w:space="0" w:color="auto"/>
        <w:left w:val="none" w:sz="0" w:space="0" w:color="auto"/>
        <w:bottom w:val="none" w:sz="0" w:space="0" w:color="auto"/>
        <w:right w:val="none" w:sz="0" w:space="0" w:color="auto"/>
      </w:divBdr>
    </w:div>
    <w:div w:id="1830712241">
      <w:bodyDiv w:val="1"/>
      <w:marLeft w:val="0"/>
      <w:marRight w:val="0"/>
      <w:marTop w:val="0"/>
      <w:marBottom w:val="0"/>
      <w:divBdr>
        <w:top w:val="none" w:sz="0" w:space="0" w:color="auto"/>
        <w:left w:val="none" w:sz="0" w:space="0" w:color="auto"/>
        <w:bottom w:val="none" w:sz="0" w:space="0" w:color="auto"/>
        <w:right w:val="none" w:sz="0" w:space="0" w:color="auto"/>
      </w:divBdr>
    </w:div>
    <w:div w:id="1847281269">
      <w:bodyDiv w:val="1"/>
      <w:marLeft w:val="0"/>
      <w:marRight w:val="0"/>
      <w:marTop w:val="0"/>
      <w:marBottom w:val="0"/>
      <w:divBdr>
        <w:top w:val="none" w:sz="0" w:space="0" w:color="auto"/>
        <w:left w:val="none" w:sz="0" w:space="0" w:color="auto"/>
        <w:bottom w:val="none" w:sz="0" w:space="0" w:color="auto"/>
        <w:right w:val="none" w:sz="0" w:space="0" w:color="auto"/>
      </w:divBdr>
    </w:div>
    <w:div w:id="1848514381">
      <w:bodyDiv w:val="1"/>
      <w:marLeft w:val="0"/>
      <w:marRight w:val="0"/>
      <w:marTop w:val="0"/>
      <w:marBottom w:val="0"/>
      <w:divBdr>
        <w:top w:val="none" w:sz="0" w:space="0" w:color="auto"/>
        <w:left w:val="none" w:sz="0" w:space="0" w:color="auto"/>
        <w:bottom w:val="none" w:sz="0" w:space="0" w:color="auto"/>
        <w:right w:val="none" w:sz="0" w:space="0" w:color="auto"/>
      </w:divBdr>
    </w:div>
    <w:div w:id="1855879577">
      <w:bodyDiv w:val="1"/>
      <w:marLeft w:val="0"/>
      <w:marRight w:val="0"/>
      <w:marTop w:val="0"/>
      <w:marBottom w:val="0"/>
      <w:divBdr>
        <w:top w:val="none" w:sz="0" w:space="0" w:color="auto"/>
        <w:left w:val="none" w:sz="0" w:space="0" w:color="auto"/>
        <w:bottom w:val="none" w:sz="0" w:space="0" w:color="auto"/>
        <w:right w:val="none" w:sz="0" w:space="0" w:color="auto"/>
      </w:divBdr>
    </w:div>
    <w:div w:id="1860701106">
      <w:bodyDiv w:val="1"/>
      <w:marLeft w:val="0"/>
      <w:marRight w:val="0"/>
      <w:marTop w:val="0"/>
      <w:marBottom w:val="0"/>
      <w:divBdr>
        <w:top w:val="none" w:sz="0" w:space="0" w:color="auto"/>
        <w:left w:val="none" w:sz="0" w:space="0" w:color="auto"/>
        <w:bottom w:val="none" w:sz="0" w:space="0" w:color="auto"/>
        <w:right w:val="none" w:sz="0" w:space="0" w:color="auto"/>
      </w:divBdr>
    </w:div>
    <w:div w:id="1925651691">
      <w:bodyDiv w:val="1"/>
      <w:marLeft w:val="0"/>
      <w:marRight w:val="0"/>
      <w:marTop w:val="0"/>
      <w:marBottom w:val="0"/>
      <w:divBdr>
        <w:top w:val="none" w:sz="0" w:space="0" w:color="auto"/>
        <w:left w:val="none" w:sz="0" w:space="0" w:color="auto"/>
        <w:bottom w:val="none" w:sz="0" w:space="0" w:color="auto"/>
        <w:right w:val="none" w:sz="0" w:space="0" w:color="auto"/>
      </w:divBdr>
    </w:div>
    <w:div w:id="1958641404">
      <w:bodyDiv w:val="1"/>
      <w:marLeft w:val="0"/>
      <w:marRight w:val="0"/>
      <w:marTop w:val="0"/>
      <w:marBottom w:val="0"/>
      <w:divBdr>
        <w:top w:val="none" w:sz="0" w:space="0" w:color="auto"/>
        <w:left w:val="none" w:sz="0" w:space="0" w:color="auto"/>
        <w:bottom w:val="none" w:sz="0" w:space="0" w:color="auto"/>
        <w:right w:val="none" w:sz="0" w:space="0" w:color="auto"/>
      </w:divBdr>
    </w:div>
    <w:div w:id="1999190455">
      <w:bodyDiv w:val="1"/>
      <w:marLeft w:val="0"/>
      <w:marRight w:val="0"/>
      <w:marTop w:val="0"/>
      <w:marBottom w:val="0"/>
      <w:divBdr>
        <w:top w:val="none" w:sz="0" w:space="0" w:color="auto"/>
        <w:left w:val="none" w:sz="0" w:space="0" w:color="auto"/>
        <w:bottom w:val="none" w:sz="0" w:space="0" w:color="auto"/>
        <w:right w:val="none" w:sz="0" w:space="0" w:color="auto"/>
      </w:divBdr>
    </w:div>
    <w:div w:id="2003849810">
      <w:bodyDiv w:val="1"/>
      <w:marLeft w:val="0"/>
      <w:marRight w:val="0"/>
      <w:marTop w:val="0"/>
      <w:marBottom w:val="0"/>
      <w:divBdr>
        <w:top w:val="none" w:sz="0" w:space="0" w:color="auto"/>
        <w:left w:val="none" w:sz="0" w:space="0" w:color="auto"/>
        <w:bottom w:val="none" w:sz="0" w:space="0" w:color="auto"/>
        <w:right w:val="none" w:sz="0" w:space="0" w:color="auto"/>
      </w:divBdr>
    </w:div>
    <w:div w:id="2008364498">
      <w:bodyDiv w:val="1"/>
      <w:marLeft w:val="0"/>
      <w:marRight w:val="0"/>
      <w:marTop w:val="0"/>
      <w:marBottom w:val="0"/>
      <w:divBdr>
        <w:top w:val="none" w:sz="0" w:space="0" w:color="auto"/>
        <w:left w:val="none" w:sz="0" w:space="0" w:color="auto"/>
        <w:bottom w:val="none" w:sz="0" w:space="0" w:color="auto"/>
        <w:right w:val="none" w:sz="0" w:space="0" w:color="auto"/>
      </w:divBdr>
    </w:div>
    <w:div w:id="2035644433">
      <w:bodyDiv w:val="1"/>
      <w:marLeft w:val="0"/>
      <w:marRight w:val="0"/>
      <w:marTop w:val="0"/>
      <w:marBottom w:val="0"/>
      <w:divBdr>
        <w:top w:val="none" w:sz="0" w:space="0" w:color="auto"/>
        <w:left w:val="none" w:sz="0" w:space="0" w:color="auto"/>
        <w:bottom w:val="none" w:sz="0" w:space="0" w:color="auto"/>
        <w:right w:val="none" w:sz="0" w:space="0" w:color="auto"/>
      </w:divBdr>
    </w:div>
    <w:div w:id="2071076727">
      <w:bodyDiv w:val="1"/>
      <w:marLeft w:val="0"/>
      <w:marRight w:val="0"/>
      <w:marTop w:val="0"/>
      <w:marBottom w:val="0"/>
      <w:divBdr>
        <w:top w:val="none" w:sz="0" w:space="0" w:color="auto"/>
        <w:left w:val="none" w:sz="0" w:space="0" w:color="auto"/>
        <w:bottom w:val="none" w:sz="0" w:space="0" w:color="auto"/>
        <w:right w:val="none" w:sz="0" w:space="0" w:color="auto"/>
      </w:divBdr>
    </w:div>
    <w:div w:id="2109618911">
      <w:bodyDiv w:val="1"/>
      <w:marLeft w:val="0"/>
      <w:marRight w:val="0"/>
      <w:marTop w:val="0"/>
      <w:marBottom w:val="0"/>
      <w:divBdr>
        <w:top w:val="none" w:sz="0" w:space="0" w:color="auto"/>
        <w:left w:val="none" w:sz="0" w:space="0" w:color="auto"/>
        <w:bottom w:val="none" w:sz="0" w:space="0" w:color="auto"/>
        <w:right w:val="none" w:sz="0" w:space="0" w:color="auto"/>
      </w:divBdr>
    </w:div>
    <w:div w:id="2123458244">
      <w:bodyDiv w:val="1"/>
      <w:marLeft w:val="0"/>
      <w:marRight w:val="0"/>
      <w:marTop w:val="0"/>
      <w:marBottom w:val="0"/>
      <w:divBdr>
        <w:top w:val="none" w:sz="0" w:space="0" w:color="auto"/>
        <w:left w:val="none" w:sz="0" w:space="0" w:color="auto"/>
        <w:bottom w:val="none" w:sz="0" w:space="0" w:color="auto"/>
        <w:right w:val="none" w:sz="0" w:space="0" w:color="auto"/>
      </w:divBdr>
    </w:div>
    <w:div w:id="212595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s://ssir.org/articles/entry/overhead_costs_the_obsession_must_stop" TargetMode="External"/><Relationship Id="rId50" Type="http://schemas.openxmlformats.org/officeDocument/2006/relationships/hyperlink" Target="http://www.health.gov.au/internet/main/publishing.nsf/Content/D2F6B905F3F667DACA2580D400014BF1/$File/My%20Life%20My%20Lead%20Consultation%20Report.pdf" TargetMode="External"/><Relationship Id="rId55" Type="http://schemas.openxmlformats.org/officeDocument/2006/relationships/hyperlink" Target="https://www.thesaturdaypaper.com.au/news/politics/2018/03/31/gap-not-closing-indigenous-disadvantage/15224148006024"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www.abs.gov.au/ausstats/abs@.nsf/Lookup/by%20Subject/3303.0~2018~Main%20Features~Intentional%20self-harm,%20key%20characteristics~3" TargetMode="External"/><Relationship Id="rId53" Type="http://schemas.openxmlformats.org/officeDocument/2006/relationships/hyperlink" Target="https://www.niaa.gov.au/sites/default/files/reports/closing-the-gap-2019/sites/default/files/ctg-report-20193872.pdf?a=1" TargetMode="External"/><Relationship Id="rId58" Type="http://schemas.openxmlformats.org/officeDocument/2006/relationships/image" Target="cid:38F596D0-517C-4C2E-B397-24CDDD98E975@TL-WA850R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1.health.gov.au/internet/main/publishing.nsf/content/B92E980680486C3BCA257BF0001BAF01/$File/health-plan.pdf" TargetMode="External"/><Relationship Id="rId57" Type="http://schemas.openxmlformats.org/officeDocument/2006/relationships/image" Target="media/image34.png"/><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knowledge.insead.edu/leadership-organisations/measuring-the-effectiveness-of-corporate-governance-1149" TargetMode="External"/><Relationship Id="rId52" Type="http://schemas.openxmlformats.org/officeDocument/2006/relationships/hyperlink" Target="http://www.health.gov.au/internet/main/publishing.nsf/Content/AC51639D3C8CD4ECCA257E8B00007AC5/$File/DOH_ImplementationPlan_v3.pdf" TargetMode="External"/><Relationship Id="rId60" Type="http://schemas.openxmlformats.org/officeDocument/2006/relationships/footer" Target="footer5.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www.unit4.com/blog/2018/07/accounting-for-overheads-in-project-driven-ngos" TargetMode="External"/><Relationship Id="rId56" Type="http://schemas.openxmlformats.org/officeDocument/2006/relationships/hyperlink" Target="https://www.telethonkids.org.au" TargetMode="External"/><Relationship Id="rId64" Type="http://schemas.openxmlformats.org/officeDocument/2006/relationships/header" Target="header4.xml"/><Relationship Id="rId8" Type="http://schemas.openxmlformats.org/officeDocument/2006/relationships/image" Target="media/image1.jpg"/><Relationship Id="rId51" Type="http://schemas.openxmlformats.org/officeDocument/2006/relationships/hyperlink" Target="https://www1.health.gov.au/internet/main/publishing.nsf/Content/1CE7187EC4965005CA25802800127B49/$File/Indigenous%20Strategy.pdf"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amhocn.org/sites/default/files/publication_files/lcq_guidance_-_clinical_and_service_development_0.pdf" TargetMode="External"/><Relationship Id="rId59" Type="http://schemas.openxmlformats.org/officeDocument/2006/relationships/header" Target="header2.xml"/><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yperlink" Target="http://caepr.cass.anu.edu.au/sites/default/files/docs/CAEPR_Census_Paper_2.pdf" TargetMode="External"/><Relationship Id="rId6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6.jpg"/></Relationships>
</file>

<file path=word/_rels/footnotes.xml.rels><?xml version="1.0" encoding="UTF-8" standalone="yes"?>
<Relationships xmlns="http://schemas.openxmlformats.org/package/2006/relationships"><Relationship Id="rId2" Type="http://schemas.openxmlformats.org/officeDocument/2006/relationships/hyperlink" Target="https://www.menzies.edu.au/page/Resources/Strong_souls_assessment_tool/" TargetMode="External"/><Relationship Id="rId1" Type="http://schemas.openxmlformats.org/officeDocument/2006/relationships/hyperlink" Target="http://www.acwa.org.au/BookingRetrieve.aspx?ID=193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EDAD3-66FF-4B5F-BCE9-D08122D65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35550</Words>
  <Characters>202639</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Final Report Summative Evaluation of the National Indigenous Critical Response Service</vt:lpstr>
    </vt:vector>
  </TitlesOfParts>
  <Company/>
  <LinksUpToDate>false</LinksUpToDate>
  <CharactersWithSpaces>237714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Summative Evaluation of the National Indigenous Critical Response Service</dc:title>
  <dc:creator/>
  <cp:lastModifiedBy/>
  <cp:revision>1</cp:revision>
  <dcterms:created xsi:type="dcterms:W3CDTF">2020-10-30T06:01:00Z</dcterms:created>
  <dcterms:modified xsi:type="dcterms:W3CDTF">2020-11-02T03:03:00Z</dcterms:modified>
</cp:coreProperties>
</file>